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4358"/>
        <w:gridCol w:w="1314"/>
        <w:gridCol w:w="1485"/>
        <w:gridCol w:w="2251"/>
        <w:gridCol w:w="222"/>
        <w:gridCol w:w="658"/>
        <w:gridCol w:w="1408"/>
        <w:gridCol w:w="1485"/>
        <w:gridCol w:w="1914"/>
      </w:tblGrid>
      <w:tr w:rsidR="00646EBF" w:rsidRPr="00646EBF" w14:paraId="35F95DF4" w14:textId="77777777" w:rsidTr="49C7D27B">
        <w:trPr>
          <w:trHeight w:val="423"/>
        </w:trPr>
        <w:tc>
          <w:tcPr>
            <w:tcW w:w="15535" w:type="dxa"/>
            <w:gridSpan w:val="10"/>
            <w:shd w:val="clear" w:color="auto" w:fill="4B86CD"/>
            <w:noWrap/>
            <w:hideMark/>
          </w:tcPr>
          <w:p w14:paraId="75033625" w14:textId="77777777" w:rsidR="00646EBF" w:rsidRPr="00646EBF" w:rsidRDefault="00646EBF" w:rsidP="00646EBF">
            <w:pPr>
              <w:spacing w:after="0" w:line="240" w:lineRule="auto"/>
              <w:rPr>
                <w:rFonts w:ascii="Calibri" w:eastAsia="Times New Roman" w:hAnsi="Calibri" w:cs="Calibri"/>
                <w:b/>
                <w:bCs/>
                <w:color w:val="FFFFFF"/>
                <w:lang w:eastAsia="en-GB"/>
              </w:rPr>
            </w:pPr>
            <w:r>
              <w:rPr>
                <w:rFonts w:ascii="Calibri" w:eastAsia="Times New Roman" w:hAnsi="Calibri" w:cs="Calibri"/>
                <w:b/>
                <w:bCs/>
                <w:color w:val="FFFFFF"/>
                <w:lang w:eastAsia="en-GB"/>
              </w:rPr>
              <w:t>Assumptions</w:t>
            </w:r>
          </w:p>
        </w:tc>
      </w:tr>
      <w:tr w:rsidR="00FB0B64" w:rsidRPr="00646EBF" w14:paraId="6CE5E70E" w14:textId="77777777" w:rsidTr="00FB0B64">
        <w:trPr>
          <w:trHeight w:val="117"/>
        </w:trPr>
        <w:tc>
          <w:tcPr>
            <w:tcW w:w="439" w:type="dxa"/>
            <w:shd w:val="clear" w:color="auto" w:fill="auto"/>
            <w:noWrap/>
            <w:hideMark/>
          </w:tcPr>
          <w:p w14:paraId="3A962A9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0" w:type="auto"/>
            <w:shd w:val="clear" w:color="auto" w:fill="auto"/>
            <w:noWrap/>
            <w:hideMark/>
          </w:tcPr>
          <w:p w14:paraId="2DEBB6BF"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249" w:type="dxa"/>
            <w:shd w:val="clear" w:color="auto" w:fill="auto"/>
            <w:noWrap/>
            <w:hideMark/>
          </w:tcPr>
          <w:p w14:paraId="46CE8E76"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410" w:type="dxa"/>
            <w:shd w:val="clear" w:color="auto" w:fill="auto"/>
            <w:noWrap/>
            <w:hideMark/>
          </w:tcPr>
          <w:p w14:paraId="7D3C0CDF"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2251" w:type="dxa"/>
            <w:shd w:val="clear" w:color="auto" w:fill="auto"/>
            <w:noWrap/>
            <w:hideMark/>
          </w:tcPr>
          <w:p w14:paraId="03C6B636"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0" w:type="auto"/>
            <w:shd w:val="clear" w:color="auto" w:fill="auto"/>
            <w:noWrap/>
            <w:hideMark/>
          </w:tcPr>
          <w:p w14:paraId="7948D802"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632" w:type="dxa"/>
            <w:shd w:val="clear" w:color="auto" w:fill="auto"/>
            <w:noWrap/>
            <w:hideMark/>
          </w:tcPr>
          <w:p w14:paraId="7A93ACE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337" w:type="dxa"/>
            <w:shd w:val="clear" w:color="auto" w:fill="auto"/>
            <w:noWrap/>
            <w:hideMark/>
          </w:tcPr>
          <w:p w14:paraId="0E5BF9CD"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410" w:type="dxa"/>
            <w:shd w:val="clear" w:color="auto" w:fill="auto"/>
            <w:noWrap/>
            <w:hideMark/>
          </w:tcPr>
          <w:p w14:paraId="798ADAA7"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913" w:type="dxa"/>
            <w:shd w:val="clear" w:color="auto" w:fill="auto"/>
            <w:noWrap/>
            <w:hideMark/>
          </w:tcPr>
          <w:p w14:paraId="5EF326D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r>
      <w:tr w:rsidR="00FB0B64" w:rsidRPr="00646EBF" w14:paraId="39B84E10" w14:textId="77777777" w:rsidTr="00FB0B64">
        <w:trPr>
          <w:trHeight w:val="900"/>
        </w:trPr>
        <w:tc>
          <w:tcPr>
            <w:tcW w:w="439" w:type="dxa"/>
            <w:shd w:val="clear" w:color="auto" w:fill="4B86CD"/>
            <w:vAlign w:val="center"/>
            <w:hideMark/>
          </w:tcPr>
          <w:p w14:paraId="4ADDE2DF" w14:textId="77777777" w:rsidR="00646EBF" w:rsidRPr="00646EBF" w:rsidRDefault="00646EBF" w:rsidP="00646EBF">
            <w:pPr>
              <w:spacing w:after="0" w:line="240" w:lineRule="auto"/>
              <w:jc w:val="right"/>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ID</w:t>
            </w:r>
          </w:p>
        </w:tc>
        <w:tc>
          <w:tcPr>
            <w:tcW w:w="0" w:type="auto"/>
            <w:shd w:val="clear" w:color="auto" w:fill="4B86CD"/>
            <w:vAlign w:val="center"/>
            <w:hideMark/>
          </w:tcPr>
          <w:p w14:paraId="3D55564F"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DCUSA text reference</w:t>
            </w:r>
          </w:p>
        </w:tc>
        <w:tc>
          <w:tcPr>
            <w:tcW w:w="1249" w:type="dxa"/>
            <w:shd w:val="clear" w:color="auto" w:fill="4B86CD"/>
            <w:vAlign w:val="center"/>
            <w:hideMark/>
          </w:tcPr>
          <w:p w14:paraId="0DDCF19D"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Assumption</w:t>
            </w:r>
          </w:p>
        </w:tc>
        <w:tc>
          <w:tcPr>
            <w:tcW w:w="1410" w:type="dxa"/>
            <w:shd w:val="clear" w:color="auto" w:fill="4B86CD"/>
            <w:vAlign w:val="center"/>
            <w:hideMark/>
          </w:tcPr>
          <w:p w14:paraId="702DD080"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Worksheet reference</w:t>
            </w:r>
          </w:p>
        </w:tc>
        <w:tc>
          <w:tcPr>
            <w:tcW w:w="2251" w:type="dxa"/>
            <w:shd w:val="clear" w:color="auto" w:fill="4B86CD"/>
            <w:vAlign w:val="center"/>
            <w:hideMark/>
          </w:tcPr>
          <w:p w14:paraId="28A4AEBF"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Description</w:t>
            </w:r>
          </w:p>
        </w:tc>
        <w:tc>
          <w:tcPr>
            <w:tcW w:w="0" w:type="auto"/>
            <w:shd w:val="clear" w:color="auto" w:fill="000000" w:themeFill="text1"/>
            <w:noWrap/>
            <w:vAlign w:val="center"/>
            <w:hideMark/>
          </w:tcPr>
          <w:p w14:paraId="50D08CC2" w14:textId="77777777" w:rsidR="00646EBF" w:rsidRPr="00646EBF" w:rsidRDefault="00646EBF" w:rsidP="00646EBF">
            <w:pPr>
              <w:spacing w:after="0" w:line="240" w:lineRule="auto"/>
              <w:rPr>
                <w:rFonts w:ascii="Calibri" w:eastAsia="Times New Roman" w:hAnsi="Calibri" w:cs="Calibri"/>
                <w:b/>
                <w:bCs/>
                <w:color w:val="FFFFFF"/>
                <w:lang w:eastAsia="en-GB"/>
              </w:rPr>
            </w:pPr>
          </w:p>
        </w:tc>
        <w:tc>
          <w:tcPr>
            <w:tcW w:w="632" w:type="dxa"/>
            <w:shd w:val="clear" w:color="auto" w:fill="4B86CD"/>
            <w:vAlign w:val="center"/>
            <w:hideMark/>
          </w:tcPr>
          <w:p w14:paraId="6BB4D13B"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Type</w:t>
            </w:r>
          </w:p>
        </w:tc>
        <w:tc>
          <w:tcPr>
            <w:tcW w:w="1337" w:type="dxa"/>
            <w:shd w:val="clear" w:color="auto" w:fill="4B86CD"/>
            <w:vAlign w:val="center"/>
            <w:hideMark/>
          </w:tcPr>
          <w:p w14:paraId="12CBADB6"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Justification</w:t>
            </w:r>
          </w:p>
        </w:tc>
        <w:tc>
          <w:tcPr>
            <w:tcW w:w="1410" w:type="dxa"/>
            <w:shd w:val="clear" w:color="auto" w:fill="4B86CD"/>
            <w:vAlign w:val="center"/>
            <w:hideMark/>
          </w:tcPr>
          <w:p w14:paraId="2AD3DA89"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Grouping</w:t>
            </w:r>
          </w:p>
        </w:tc>
        <w:tc>
          <w:tcPr>
            <w:tcW w:w="1913" w:type="dxa"/>
            <w:shd w:val="clear" w:color="auto" w:fill="4B86CD"/>
            <w:vAlign w:val="center"/>
            <w:hideMark/>
          </w:tcPr>
          <w:p w14:paraId="1C73952F"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Proposed Solution</w:t>
            </w:r>
          </w:p>
        </w:tc>
      </w:tr>
      <w:tr w:rsidR="00FB0B64" w:rsidRPr="00646EBF" w14:paraId="4833017F" w14:textId="77777777" w:rsidTr="00FB0B64">
        <w:trPr>
          <w:trHeight w:val="1800"/>
        </w:trPr>
        <w:tc>
          <w:tcPr>
            <w:tcW w:w="439" w:type="dxa"/>
            <w:shd w:val="clear" w:color="auto" w:fill="D9E2F3" w:themeFill="accent1" w:themeFillTint="33"/>
            <w:hideMark/>
          </w:tcPr>
          <w:p w14:paraId="6E9791E7"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w:t>
            </w:r>
          </w:p>
        </w:tc>
        <w:tc>
          <w:tcPr>
            <w:tcW w:w="0" w:type="auto"/>
            <w:shd w:val="clear" w:color="auto" w:fill="D9E2F3" w:themeFill="accent1" w:themeFillTint="33"/>
            <w:hideMark/>
          </w:tcPr>
          <w:p w14:paraId="47C53FCE" w14:textId="2E777F8E"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29 paragraphs 4(a), 5(a), 6, 7, 29, 30, 31, 32</w:t>
            </w:r>
          </w:p>
        </w:tc>
        <w:tc>
          <w:tcPr>
            <w:tcW w:w="1249" w:type="dxa"/>
            <w:shd w:val="clear" w:color="auto" w:fill="D9E2F3" w:themeFill="accent1" w:themeFillTint="33"/>
            <w:hideMark/>
          </w:tcPr>
          <w:p w14:paraId="752DA975" w14:textId="21D2E1FA"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Operating expenditure terminology</w:t>
            </w:r>
          </w:p>
        </w:tc>
        <w:tc>
          <w:tcPr>
            <w:tcW w:w="1410" w:type="dxa"/>
            <w:shd w:val="clear" w:color="auto" w:fill="D9E2F3" w:themeFill="accent1" w:themeFillTint="33"/>
            <w:hideMark/>
          </w:tcPr>
          <w:p w14:paraId="73CAF5B9" w14:textId="0F819AA7"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D9E2F3" w:themeFill="accent1" w:themeFillTint="33"/>
            <w:hideMark/>
          </w:tcPr>
          <w:p w14:paraId="001D53DC" w14:textId="77777777" w:rsidR="006A684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these paragraphs, the DCUSA text refers to “operating expenditure” for values that would in fact be better described simply as “expenditure” as they contain both capex and </w:t>
            </w:r>
            <w:proofErr w:type="spellStart"/>
            <w:r>
              <w:rPr>
                <w:rFonts w:ascii="Calibri" w:eastAsia="Times New Roman" w:hAnsi="Calibri" w:cs="Calibri"/>
                <w:color w:val="000000"/>
                <w:lang w:eastAsia="en-GB"/>
              </w:rPr>
              <w:t>opex</w:t>
            </w:r>
            <w:proofErr w:type="spellEnd"/>
            <w:r>
              <w:rPr>
                <w:rFonts w:ascii="Calibri" w:eastAsia="Times New Roman" w:hAnsi="Calibri" w:cs="Calibri"/>
                <w:color w:val="000000"/>
                <w:lang w:eastAsia="en-GB"/>
              </w:rPr>
              <w:t>.</w:t>
            </w:r>
          </w:p>
          <w:p w14:paraId="4C419CBD" w14:textId="02D2A404"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It has been assumed that in these cases, “operating expenditure” can be interpreted as “expenditure” with no further adjustment required to convert expenditure values to “operating expenditure”.</w:t>
            </w:r>
            <w:r w:rsidR="00646EBF" w:rsidRPr="00646EBF">
              <w:rPr>
                <w:rFonts w:ascii="Calibri" w:eastAsia="Times New Roman" w:hAnsi="Calibri" w:cs="Calibri"/>
                <w:color w:val="000000"/>
                <w:lang w:eastAsia="en-GB"/>
              </w:rPr>
              <w:t xml:space="preserve"> </w:t>
            </w:r>
          </w:p>
        </w:tc>
        <w:tc>
          <w:tcPr>
            <w:tcW w:w="0" w:type="auto"/>
            <w:shd w:val="clear" w:color="auto" w:fill="000000" w:themeFill="text1"/>
            <w:noWrap/>
            <w:hideMark/>
          </w:tcPr>
          <w:p w14:paraId="0C26D31C"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487D817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11DD4140" w14:textId="16F5C689"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10" w:type="dxa"/>
            <w:shd w:val="clear" w:color="auto" w:fill="D9E2F3" w:themeFill="accent1" w:themeFillTint="33"/>
            <w:hideMark/>
          </w:tcPr>
          <w:p w14:paraId="701CE780" w14:textId="7B0C03AC"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w:t>
            </w:r>
            <w:r w:rsidR="00646EBF" w:rsidRPr="00646EBF">
              <w:rPr>
                <w:rFonts w:ascii="Calibri" w:eastAsia="Times New Roman" w:hAnsi="Calibri" w:cs="Calibri"/>
                <w:color w:val="000000"/>
                <w:lang w:eastAsia="en-GB"/>
              </w:rPr>
              <w:t>M - Housekeeping (minor)</w:t>
            </w:r>
          </w:p>
        </w:tc>
        <w:tc>
          <w:tcPr>
            <w:tcW w:w="1913" w:type="dxa"/>
            <w:shd w:val="clear" w:color="auto" w:fill="D9E2F3" w:themeFill="accent1" w:themeFillTint="33"/>
            <w:hideMark/>
          </w:tcPr>
          <w:p w14:paraId="1FE9FCA2" w14:textId="1E2745BE"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‘operating expenditure’ to ‘expenditure’ in Schedule 29 paragraphs 4(a), 5(a), 6, 7, 29, 30, 31, 32</w:t>
            </w:r>
          </w:p>
        </w:tc>
      </w:tr>
      <w:tr w:rsidR="00FB0B64" w:rsidRPr="00646EBF" w14:paraId="072917C3" w14:textId="77777777" w:rsidTr="00FB0B64">
        <w:trPr>
          <w:trHeight w:val="900"/>
        </w:trPr>
        <w:tc>
          <w:tcPr>
            <w:tcW w:w="439" w:type="dxa"/>
            <w:shd w:val="clear" w:color="auto" w:fill="D9E2F3" w:themeFill="accent1" w:themeFillTint="33"/>
            <w:hideMark/>
          </w:tcPr>
          <w:p w14:paraId="67CD377B"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2</w:t>
            </w:r>
          </w:p>
        </w:tc>
        <w:tc>
          <w:tcPr>
            <w:tcW w:w="0" w:type="auto"/>
            <w:shd w:val="clear" w:color="auto" w:fill="D9E2F3" w:themeFill="accent1" w:themeFillTint="33"/>
            <w:hideMark/>
          </w:tcPr>
          <w:p w14:paraId="46D65B6D" w14:textId="13D46E0E"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29, paragraph 2</w:t>
            </w:r>
          </w:p>
        </w:tc>
        <w:tc>
          <w:tcPr>
            <w:tcW w:w="1249" w:type="dxa"/>
            <w:shd w:val="clear" w:color="auto" w:fill="D9E2F3" w:themeFill="accent1" w:themeFillTint="33"/>
            <w:hideMark/>
          </w:tcPr>
          <w:p w14:paraId="287E3419" w14:textId="00DF0555"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List of network levels</w:t>
            </w:r>
          </w:p>
        </w:tc>
        <w:tc>
          <w:tcPr>
            <w:tcW w:w="1410" w:type="dxa"/>
            <w:shd w:val="clear" w:color="auto" w:fill="D9E2F3" w:themeFill="accent1" w:themeFillTint="33"/>
            <w:hideMark/>
          </w:tcPr>
          <w:p w14:paraId="0CA17236" w14:textId="1372B89E"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D9E2F3" w:themeFill="accent1" w:themeFillTint="33"/>
            <w:hideMark/>
          </w:tcPr>
          <w:p w14:paraId="28A72DE7" w14:textId="47362E1E"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 list of the network levels </w:t>
            </w:r>
            <w:r w:rsidR="0056186C">
              <w:rPr>
                <w:rFonts w:ascii="Calibri" w:eastAsia="Times New Roman" w:hAnsi="Calibri" w:cs="Calibri"/>
                <w:color w:val="000000"/>
                <w:lang w:eastAsia="en-GB"/>
              </w:rPr>
              <w:t>into which the DNOs network is split does not acknowledge that the combined EHV and 132kV level is split into four levels for the calculation of EDCM discounts</w:t>
            </w:r>
          </w:p>
        </w:tc>
        <w:tc>
          <w:tcPr>
            <w:tcW w:w="0" w:type="auto"/>
            <w:shd w:val="clear" w:color="auto" w:fill="000000" w:themeFill="text1"/>
            <w:noWrap/>
            <w:hideMark/>
          </w:tcPr>
          <w:p w14:paraId="3098B7CF"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6DD03F36" w14:textId="6E7CA621"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37" w:type="dxa"/>
            <w:shd w:val="clear" w:color="auto" w:fill="D9E2F3" w:themeFill="accent1" w:themeFillTint="33"/>
            <w:hideMark/>
          </w:tcPr>
          <w:p w14:paraId="6915F19A" w14:textId="086C1F41"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Clarification Only </w:t>
            </w:r>
          </w:p>
        </w:tc>
        <w:tc>
          <w:tcPr>
            <w:tcW w:w="1410" w:type="dxa"/>
            <w:shd w:val="clear" w:color="auto" w:fill="D9E2F3" w:themeFill="accent1" w:themeFillTint="33"/>
            <w:hideMark/>
          </w:tcPr>
          <w:p w14:paraId="09E28BDF" w14:textId="2D27B3BD"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PCDM – Housekeeping (minor)</w:t>
            </w:r>
          </w:p>
        </w:tc>
        <w:tc>
          <w:tcPr>
            <w:tcW w:w="1913" w:type="dxa"/>
            <w:shd w:val="clear" w:color="auto" w:fill="D9E2F3" w:themeFill="accent1" w:themeFillTint="33"/>
            <w:hideMark/>
          </w:tcPr>
          <w:p w14:paraId="01AD0977" w14:textId="77777777" w:rsid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2:</w:t>
            </w:r>
          </w:p>
          <w:p w14:paraId="531CA534" w14:textId="385CD7E1" w:rsidR="0056186C" w:rsidRPr="0056186C" w:rsidRDefault="0056186C" w:rsidP="00646EBF">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‘For the purpose of calculating discount percentages, the DNO Party’s network is split into five levels: (i) LV services, (ii) LV mains, (iii) HV/LV, (iv) HV and (v) a single level </w:t>
            </w:r>
            <w:r>
              <w:rPr>
                <w:rFonts w:ascii="Calibri" w:eastAsia="Times New Roman" w:hAnsi="Calibri" w:cs="Calibri"/>
                <w:color w:val="000000"/>
                <w:lang w:eastAsia="en-GB"/>
              </w:rPr>
              <w:lastRenderedPageBreak/>
              <w:t xml:space="preserve">covering EHV and 132kV (including EHV/HV), </w:t>
            </w:r>
            <w:r>
              <w:rPr>
                <w:rFonts w:ascii="Calibri" w:eastAsia="Times New Roman" w:hAnsi="Calibri" w:cs="Calibri"/>
                <w:i/>
                <w:iCs/>
                <w:color w:val="000000"/>
                <w:u w:val="single"/>
                <w:lang w:eastAsia="en-GB"/>
              </w:rPr>
              <w:t>although for the purpose of applying discounts in respect of designated HV and LV properties where the DNO to IDNO boundary is at EHV or above EHV and 132kV network levels are split into a further four levels: 0000, 132kV</w:t>
            </w:r>
          </w:p>
        </w:tc>
      </w:tr>
      <w:tr w:rsidR="00FB0B64" w:rsidRPr="00646EBF" w14:paraId="583ECFE5" w14:textId="77777777" w:rsidTr="00FB0B64">
        <w:trPr>
          <w:trHeight w:val="900"/>
        </w:trPr>
        <w:tc>
          <w:tcPr>
            <w:tcW w:w="439" w:type="dxa"/>
            <w:shd w:val="clear" w:color="auto" w:fill="D9E2F3" w:themeFill="accent1" w:themeFillTint="33"/>
            <w:hideMark/>
          </w:tcPr>
          <w:p w14:paraId="4E813BED"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3</w:t>
            </w:r>
          </w:p>
        </w:tc>
        <w:tc>
          <w:tcPr>
            <w:tcW w:w="0" w:type="auto"/>
            <w:shd w:val="clear" w:color="auto" w:fill="D9E2F3" w:themeFill="accent1" w:themeFillTint="33"/>
            <w:hideMark/>
          </w:tcPr>
          <w:p w14:paraId="4EE4D3C1" w14:textId="6D07F01E"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56186C">
              <w:rPr>
                <w:rFonts w:ascii="Calibri" w:eastAsia="Times New Roman" w:hAnsi="Calibri" w:cs="Calibri"/>
                <w:color w:val="000000"/>
                <w:lang w:eastAsia="en-GB"/>
              </w:rPr>
              <w:t>29, paragraph 3</w:t>
            </w:r>
          </w:p>
        </w:tc>
        <w:tc>
          <w:tcPr>
            <w:tcW w:w="1249" w:type="dxa"/>
            <w:shd w:val="clear" w:color="auto" w:fill="D9E2F3" w:themeFill="accent1" w:themeFillTint="33"/>
            <w:hideMark/>
          </w:tcPr>
          <w:p w14:paraId="3B9C7917" w14:textId="5E75ABBB"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List of CDCM discount calculation steps</w:t>
            </w:r>
          </w:p>
        </w:tc>
        <w:tc>
          <w:tcPr>
            <w:tcW w:w="1410" w:type="dxa"/>
            <w:shd w:val="clear" w:color="auto" w:fill="D9E2F3" w:themeFill="accent1" w:themeFillTint="33"/>
            <w:hideMark/>
          </w:tcPr>
          <w:p w14:paraId="7CDE495C" w14:textId="2946DD86"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D9E2F3" w:themeFill="accent1" w:themeFillTint="33"/>
            <w:hideMark/>
          </w:tcPr>
          <w:p w14:paraId="76B13EBD" w14:textId="09D9515A"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This paragraph sets out a list of steps that the calculation of CDCM discounts includes. This list is high-level and non-comprehensive and is not assumed to have any impact on the calculations.</w:t>
            </w:r>
            <w:r w:rsidR="00646EBF" w:rsidRPr="00646EBF">
              <w:rPr>
                <w:rFonts w:ascii="Calibri" w:eastAsia="Times New Roman" w:hAnsi="Calibri" w:cs="Calibri"/>
                <w:color w:val="000000"/>
                <w:lang w:eastAsia="en-GB"/>
              </w:rPr>
              <w:t xml:space="preserve"> </w:t>
            </w:r>
          </w:p>
        </w:tc>
        <w:tc>
          <w:tcPr>
            <w:tcW w:w="0" w:type="auto"/>
            <w:shd w:val="clear" w:color="auto" w:fill="000000" w:themeFill="text1"/>
            <w:noWrap/>
            <w:hideMark/>
          </w:tcPr>
          <w:p w14:paraId="08C0BD4B"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652A979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2E07A380" w14:textId="5448096D"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Removing unnecessary clauses</w:t>
            </w:r>
          </w:p>
        </w:tc>
        <w:tc>
          <w:tcPr>
            <w:tcW w:w="1410" w:type="dxa"/>
            <w:shd w:val="clear" w:color="auto" w:fill="D9E2F3" w:themeFill="accent1" w:themeFillTint="33"/>
            <w:hideMark/>
          </w:tcPr>
          <w:p w14:paraId="76183F30" w14:textId="437C2283"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w:t>
            </w:r>
            <w:r w:rsidR="00646EBF" w:rsidRPr="00646EBF">
              <w:rPr>
                <w:rFonts w:ascii="Calibri" w:eastAsia="Times New Roman" w:hAnsi="Calibri" w:cs="Calibri"/>
                <w:color w:val="000000"/>
                <w:lang w:eastAsia="en-GB"/>
              </w:rPr>
              <w:t>M - Housekeeping (</w:t>
            </w:r>
            <w:r>
              <w:rPr>
                <w:rFonts w:ascii="Calibri" w:eastAsia="Times New Roman" w:hAnsi="Calibri" w:cs="Calibri"/>
                <w:color w:val="000000"/>
                <w:lang w:eastAsia="en-GB"/>
              </w:rPr>
              <w:t>removing unnecessary clauses</w:t>
            </w:r>
            <w:r w:rsidR="00646EBF" w:rsidRPr="00646EBF">
              <w:rPr>
                <w:rFonts w:ascii="Calibri" w:eastAsia="Times New Roman" w:hAnsi="Calibri" w:cs="Calibri"/>
                <w:color w:val="000000"/>
                <w:lang w:eastAsia="en-GB"/>
              </w:rPr>
              <w:t>)</w:t>
            </w:r>
          </w:p>
        </w:tc>
        <w:tc>
          <w:tcPr>
            <w:tcW w:w="1913" w:type="dxa"/>
            <w:shd w:val="clear" w:color="auto" w:fill="D9E2F3" w:themeFill="accent1" w:themeFillTint="33"/>
            <w:hideMark/>
          </w:tcPr>
          <w:p w14:paraId="1B3CFE8A" w14:textId="559F5FBE"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Remove clause 3 and create a more comprehensive list in the user guide</w:t>
            </w:r>
          </w:p>
        </w:tc>
      </w:tr>
      <w:tr w:rsidR="00FB0B64" w:rsidRPr="00646EBF" w14:paraId="2DB926AF" w14:textId="77777777" w:rsidTr="00FB0B64">
        <w:trPr>
          <w:trHeight w:val="1500"/>
        </w:trPr>
        <w:tc>
          <w:tcPr>
            <w:tcW w:w="439" w:type="dxa"/>
            <w:shd w:val="clear" w:color="auto" w:fill="D9E2F3" w:themeFill="accent1" w:themeFillTint="33"/>
            <w:hideMark/>
          </w:tcPr>
          <w:p w14:paraId="7CBA56FC"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4</w:t>
            </w:r>
          </w:p>
        </w:tc>
        <w:tc>
          <w:tcPr>
            <w:tcW w:w="0" w:type="auto"/>
            <w:shd w:val="clear" w:color="auto" w:fill="D9E2F3" w:themeFill="accent1" w:themeFillTint="33"/>
            <w:hideMark/>
          </w:tcPr>
          <w:p w14:paraId="13A7F6BD" w14:textId="4AE72DE9"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56186C">
              <w:rPr>
                <w:rFonts w:ascii="Calibri" w:eastAsia="Times New Roman" w:hAnsi="Calibri" w:cs="Calibri"/>
                <w:color w:val="000000"/>
                <w:lang w:eastAsia="en-GB"/>
              </w:rPr>
              <w:t>29, paragraph 4</w:t>
            </w:r>
          </w:p>
        </w:tc>
        <w:tc>
          <w:tcPr>
            <w:tcW w:w="1249" w:type="dxa"/>
            <w:shd w:val="clear" w:color="auto" w:fill="D9E2F3" w:themeFill="accent1" w:themeFillTint="33"/>
            <w:hideMark/>
          </w:tcPr>
          <w:p w14:paraId="2DB1676F" w14:textId="64B821B9"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List of CDCM discount inputs</w:t>
            </w:r>
          </w:p>
        </w:tc>
        <w:tc>
          <w:tcPr>
            <w:tcW w:w="1410" w:type="dxa"/>
            <w:shd w:val="clear" w:color="auto" w:fill="D9E2F3" w:themeFill="accent1" w:themeFillTint="33"/>
            <w:hideMark/>
          </w:tcPr>
          <w:p w14:paraId="09D9DEB3" w14:textId="23C36011"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D9E2F3" w:themeFill="accent1" w:themeFillTint="33"/>
            <w:hideMark/>
          </w:tcPr>
          <w:p w14:paraId="0641368C" w14:textId="55958810"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This paragraph sets out a list of inputs for the calculation of CDCM discounts. The list, however, is high-level and non-comprehensive. As such, it has been assumed that omissions from the list or inputs referred to, </w:t>
            </w:r>
            <w:r>
              <w:rPr>
                <w:rFonts w:ascii="Calibri" w:eastAsia="Times New Roman" w:hAnsi="Calibri" w:cs="Calibri"/>
                <w:color w:val="000000"/>
                <w:lang w:eastAsia="en-GB"/>
              </w:rPr>
              <w:lastRenderedPageBreak/>
              <w:t>but not used, can be ignored.</w:t>
            </w:r>
          </w:p>
        </w:tc>
        <w:tc>
          <w:tcPr>
            <w:tcW w:w="0" w:type="auto"/>
            <w:shd w:val="clear" w:color="auto" w:fill="000000" w:themeFill="text1"/>
            <w:noWrap/>
            <w:hideMark/>
          </w:tcPr>
          <w:p w14:paraId="0ED65135"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4EF62882"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547CDD4A" w14:textId="4CA7310E"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Removing unnecessary clauses</w:t>
            </w:r>
          </w:p>
        </w:tc>
        <w:tc>
          <w:tcPr>
            <w:tcW w:w="1410" w:type="dxa"/>
            <w:shd w:val="clear" w:color="auto" w:fill="D9E2F3" w:themeFill="accent1" w:themeFillTint="33"/>
            <w:hideMark/>
          </w:tcPr>
          <w:p w14:paraId="55424675" w14:textId="6265148A"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w:t>
            </w:r>
            <w:r w:rsidR="00646EBF" w:rsidRPr="00646EBF">
              <w:rPr>
                <w:rFonts w:ascii="Calibri" w:eastAsia="Times New Roman" w:hAnsi="Calibri" w:cs="Calibri"/>
                <w:color w:val="000000"/>
                <w:lang w:eastAsia="en-GB"/>
              </w:rPr>
              <w:t>M - Housekeeping (</w:t>
            </w:r>
            <w:r>
              <w:rPr>
                <w:rFonts w:ascii="Calibri" w:eastAsia="Times New Roman" w:hAnsi="Calibri" w:cs="Calibri"/>
                <w:color w:val="000000"/>
                <w:lang w:eastAsia="en-GB"/>
              </w:rPr>
              <w:t>removing unnecessary clauses</w:t>
            </w:r>
            <w:r w:rsidR="00646EBF" w:rsidRPr="00646EBF">
              <w:rPr>
                <w:rFonts w:ascii="Calibri" w:eastAsia="Times New Roman" w:hAnsi="Calibri" w:cs="Calibri"/>
                <w:color w:val="000000"/>
                <w:lang w:eastAsia="en-GB"/>
              </w:rPr>
              <w:t>)</w:t>
            </w:r>
          </w:p>
        </w:tc>
        <w:tc>
          <w:tcPr>
            <w:tcW w:w="1913" w:type="dxa"/>
            <w:shd w:val="clear" w:color="auto" w:fill="D9E2F3" w:themeFill="accent1" w:themeFillTint="33"/>
            <w:hideMark/>
          </w:tcPr>
          <w:p w14:paraId="6A95E9E4" w14:textId="38DAB8BE"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Remove clause 4 and create a more comprehensive list in the user guide</w:t>
            </w:r>
          </w:p>
        </w:tc>
      </w:tr>
      <w:tr w:rsidR="00FB0B64" w:rsidRPr="00646EBF" w14:paraId="2C11F1F6" w14:textId="77777777" w:rsidTr="00FB0B64">
        <w:trPr>
          <w:trHeight w:val="900"/>
        </w:trPr>
        <w:tc>
          <w:tcPr>
            <w:tcW w:w="439" w:type="dxa"/>
            <w:shd w:val="clear" w:color="auto" w:fill="D9E2F3" w:themeFill="accent1" w:themeFillTint="33"/>
            <w:hideMark/>
          </w:tcPr>
          <w:p w14:paraId="330DE277"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5</w:t>
            </w:r>
          </w:p>
        </w:tc>
        <w:tc>
          <w:tcPr>
            <w:tcW w:w="0" w:type="auto"/>
            <w:shd w:val="clear" w:color="auto" w:fill="D9E2F3" w:themeFill="accent1" w:themeFillTint="33"/>
            <w:hideMark/>
          </w:tcPr>
          <w:p w14:paraId="36B5AF5F" w14:textId="18ED7A5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56186C">
              <w:rPr>
                <w:rFonts w:ascii="Calibri" w:eastAsia="Times New Roman" w:hAnsi="Calibri" w:cs="Calibri"/>
                <w:color w:val="000000"/>
                <w:lang w:eastAsia="en-GB"/>
              </w:rPr>
              <w:t>29, paragraph 5</w:t>
            </w:r>
          </w:p>
        </w:tc>
        <w:tc>
          <w:tcPr>
            <w:tcW w:w="1249" w:type="dxa"/>
            <w:shd w:val="clear" w:color="auto" w:fill="D9E2F3" w:themeFill="accent1" w:themeFillTint="33"/>
            <w:hideMark/>
          </w:tcPr>
          <w:p w14:paraId="73159591" w14:textId="7FA302ED"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discount steps</w:t>
            </w:r>
          </w:p>
        </w:tc>
        <w:tc>
          <w:tcPr>
            <w:tcW w:w="1410" w:type="dxa"/>
            <w:shd w:val="clear" w:color="auto" w:fill="D9E2F3" w:themeFill="accent1" w:themeFillTint="33"/>
            <w:hideMark/>
          </w:tcPr>
          <w:p w14:paraId="1E17D583" w14:textId="3D9B9826"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D9E2F3" w:themeFill="accent1" w:themeFillTint="33"/>
            <w:hideMark/>
          </w:tcPr>
          <w:p w14:paraId="1366C38E" w14:textId="7A7BA9A3"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This paragraph notes that the calculation of EDCM discounts is a two-part process but then only goes on to describe what it refers to as the first part of the process: allocating allowed revenue to network levels. It has been assumed that it is not an issue that this part of the legal text, which appears to be introductory in nature, does not appear to describe the second part of the process. </w:t>
            </w:r>
            <w:r w:rsidR="00646EBF" w:rsidRPr="00646EBF">
              <w:rPr>
                <w:rFonts w:ascii="Calibri" w:eastAsia="Times New Roman" w:hAnsi="Calibri" w:cs="Calibri"/>
                <w:color w:val="000000"/>
                <w:lang w:eastAsia="en-GB"/>
              </w:rPr>
              <w:t xml:space="preserve">  </w:t>
            </w:r>
          </w:p>
        </w:tc>
        <w:tc>
          <w:tcPr>
            <w:tcW w:w="0" w:type="auto"/>
            <w:shd w:val="clear" w:color="auto" w:fill="000000" w:themeFill="text1"/>
            <w:noWrap/>
            <w:hideMark/>
          </w:tcPr>
          <w:p w14:paraId="6868E491"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1B15818B"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2317766F" w14:textId="0CF9CD99"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Removing unnecessary clauses</w:t>
            </w:r>
          </w:p>
        </w:tc>
        <w:tc>
          <w:tcPr>
            <w:tcW w:w="1410" w:type="dxa"/>
            <w:shd w:val="clear" w:color="auto" w:fill="D9E2F3" w:themeFill="accent1" w:themeFillTint="33"/>
            <w:hideMark/>
          </w:tcPr>
          <w:p w14:paraId="562737FF" w14:textId="0A6752A8"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w:t>
            </w:r>
            <w:r w:rsidR="00646EBF" w:rsidRPr="00646EBF">
              <w:rPr>
                <w:rFonts w:ascii="Calibri" w:eastAsia="Times New Roman" w:hAnsi="Calibri" w:cs="Calibri"/>
                <w:color w:val="000000"/>
                <w:lang w:eastAsia="en-GB"/>
              </w:rPr>
              <w:t>M - Housekeeping (</w:t>
            </w:r>
            <w:r>
              <w:rPr>
                <w:rFonts w:ascii="Calibri" w:eastAsia="Times New Roman" w:hAnsi="Calibri" w:cs="Calibri"/>
                <w:color w:val="000000"/>
                <w:lang w:eastAsia="en-GB"/>
              </w:rPr>
              <w:t>removing unnecessary clauses</w:t>
            </w:r>
            <w:r w:rsidR="00646EBF" w:rsidRPr="00646EBF">
              <w:rPr>
                <w:rFonts w:ascii="Calibri" w:eastAsia="Times New Roman" w:hAnsi="Calibri" w:cs="Calibri"/>
                <w:color w:val="000000"/>
                <w:lang w:eastAsia="en-GB"/>
              </w:rPr>
              <w:t>)</w:t>
            </w:r>
          </w:p>
        </w:tc>
        <w:tc>
          <w:tcPr>
            <w:tcW w:w="1913" w:type="dxa"/>
            <w:shd w:val="clear" w:color="auto" w:fill="D9E2F3" w:themeFill="accent1" w:themeFillTint="33"/>
            <w:hideMark/>
          </w:tcPr>
          <w:p w14:paraId="399C09E7" w14:textId="5509D3D0" w:rsidR="00646EBF" w:rsidRPr="00646EBF" w:rsidRDefault="0056186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Remove clause 5 and create a more comprehensive list in the user guide</w:t>
            </w:r>
          </w:p>
        </w:tc>
      </w:tr>
      <w:tr w:rsidR="00FB0B64" w:rsidRPr="00646EBF" w14:paraId="06DC16EB" w14:textId="77777777" w:rsidTr="00FB0B64">
        <w:trPr>
          <w:trHeight w:val="1800"/>
        </w:trPr>
        <w:tc>
          <w:tcPr>
            <w:tcW w:w="439" w:type="dxa"/>
            <w:shd w:val="clear" w:color="auto" w:fill="D9E2F3" w:themeFill="accent1" w:themeFillTint="33"/>
            <w:hideMark/>
          </w:tcPr>
          <w:p w14:paraId="477C30BA"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6</w:t>
            </w:r>
          </w:p>
        </w:tc>
        <w:tc>
          <w:tcPr>
            <w:tcW w:w="0" w:type="auto"/>
            <w:shd w:val="clear" w:color="auto" w:fill="D9E2F3" w:themeFill="accent1" w:themeFillTint="33"/>
            <w:hideMark/>
          </w:tcPr>
          <w:p w14:paraId="0266188E" w14:textId="2C628E31"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56186C">
              <w:rPr>
                <w:rFonts w:ascii="Calibri" w:eastAsia="Times New Roman" w:hAnsi="Calibri" w:cs="Calibri"/>
                <w:color w:val="000000"/>
                <w:lang w:eastAsia="en-GB"/>
              </w:rPr>
              <w:t>29, paragrap</w:t>
            </w:r>
            <w:r w:rsidR="000F7001">
              <w:rPr>
                <w:rFonts w:ascii="Calibri" w:eastAsia="Times New Roman" w:hAnsi="Calibri" w:cs="Calibri"/>
                <w:color w:val="000000"/>
                <w:lang w:eastAsia="en-GB"/>
              </w:rPr>
              <w:t>hs 6 and 9</w:t>
            </w:r>
          </w:p>
        </w:tc>
        <w:tc>
          <w:tcPr>
            <w:tcW w:w="1249" w:type="dxa"/>
            <w:shd w:val="clear" w:color="auto" w:fill="D9E2F3" w:themeFill="accent1" w:themeFillTint="33"/>
            <w:hideMark/>
          </w:tcPr>
          <w:p w14:paraId="21C8AFEB" w14:textId="1834642A"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Expenditure spit between LV services and LV amins</w:t>
            </w:r>
          </w:p>
        </w:tc>
        <w:tc>
          <w:tcPr>
            <w:tcW w:w="1410" w:type="dxa"/>
            <w:shd w:val="clear" w:color="auto" w:fill="D9E2F3" w:themeFill="accent1" w:themeFillTint="33"/>
            <w:hideMark/>
          </w:tcPr>
          <w:p w14:paraId="2B1183EC" w14:textId="694B680B"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PCDM; “Expenditure” sheet</w:t>
            </w:r>
          </w:p>
        </w:tc>
        <w:tc>
          <w:tcPr>
            <w:tcW w:w="2251" w:type="dxa"/>
            <w:shd w:val="clear" w:color="auto" w:fill="D9E2F3" w:themeFill="accent1" w:themeFillTint="33"/>
            <w:hideMark/>
          </w:tcPr>
          <w:p w14:paraId="7FCFC72B" w14:textId="77777777" w:rsid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There is no legal text describing how expenditure values allocated to the LV level are split between LV services and LV mains.</w:t>
            </w:r>
          </w:p>
          <w:p w14:paraId="59FEAC08" w14:textId="04E04B5E" w:rsidR="000F7001"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Consistent with the approach implemented in the charging models to date, it has been assumed that these values must be split </w:t>
            </w:r>
            <w:r>
              <w:rPr>
                <w:rFonts w:ascii="Calibri" w:eastAsia="Times New Roman" w:hAnsi="Calibri" w:cs="Calibri"/>
                <w:color w:val="000000"/>
                <w:lang w:eastAsia="en-GB"/>
              </w:rPr>
              <w:lastRenderedPageBreak/>
              <w:t>based on the relative MEAV value for LV services and LV mains, where “MEAV” is indicated in the “Allocation rules” table. Where “MEAV” is not indicated in the “Allocation rules” table (such as for “Load related new connections &amp; reinforcement (net of contributions)”, values must be fully allocated to LV mains</w:t>
            </w:r>
          </w:p>
        </w:tc>
        <w:tc>
          <w:tcPr>
            <w:tcW w:w="0" w:type="auto"/>
            <w:shd w:val="clear" w:color="auto" w:fill="000000" w:themeFill="text1"/>
            <w:noWrap/>
            <w:hideMark/>
          </w:tcPr>
          <w:p w14:paraId="1A1A8AB2"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074795B3"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6046AEF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10" w:type="dxa"/>
            <w:shd w:val="clear" w:color="auto" w:fill="D9E2F3" w:themeFill="accent1" w:themeFillTint="33"/>
            <w:hideMark/>
          </w:tcPr>
          <w:p w14:paraId="12B4449B" w14:textId="0699CE37"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w:t>
            </w:r>
            <w:r w:rsidR="00646EBF" w:rsidRPr="00646EBF">
              <w:rPr>
                <w:rFonts w:ascii="Calibri" w:eastAsia="Times New Roman" w:hAnsi="Calibri" w:cs="Calibri"/>
                <w:color w:val="000000"/>
                <w:lang w:eastAsia="en-GB"/>
              </w:rPr>
              <w:t>M - Housekeeping (minor)</w:t>
            </w:r>
          </w:p>
        </w:tc>
        <w:tc>
          <w:tcPr>
            <w:tcW w:w="1913" w:type="dxa"/>
            <w:shd w:val="clear" w:color="auto" w:fill="D9E2F3" w:themeFill="accent1" w:themeFillTint="33"/>
            <w:hideMark/>
          </w:tcPr>
          <w:p w14:paraId="6E17604E" w14:textId="77777777" w:rsid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clause 9 (a):</w:t>
            </w:r>
          </w:p>
          <w:p w14:paraId="28B8AB3A" w14:textId="323FF1A7" w:rsidR="000F7001" w:rsidRPr="000F7001" w:rsidRDefault="000F7001" w:rsidP="00646EBF">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‘General reinforcement costs reported in table 2.4 of the 2007/2008 RRP. These are reported by network level. The amount related to the HV </w:t>
            </w:r>
            <w:r>
              <w:rPr>
                <w:rFonts w:ascii="Calibri" w:eastAsia="Times New Roman" w:hAnsi="Calibri" w:cs="Calibri"/>
                <w:i/>
                <w:iCs/>
                <w:color w:val="000000"/>
                <w:u w:val="single"/>
                <w:lang w:eastAsia="en-GB"/>
              </w:rPr>
              <w:t>and LV</w:t>
            </w:r>
            <w:r>
              <w:rPr>
                <w:rFonts w:ascii="Calibri" w:eastAsia="Times New Roman" w:hAnsi="Calibri" w:cs="Calibri"/>
                <w:color w:val="000000"/>
                <w:lang w:eastAsia="en-GB"/>
              </w:rPr>
              <w:t xml:space="preserve"> system</w:t>
            </w:r>
            <w:r>
              <w:rPr>
                <w:rFonts w:ascii="Calibri" w:eastAsia="Times New Roman" w:hAnsi="Calibri" w:cs="Calibri"/>
                <w:i/>
                <w:iCs/>
                <w:color w:val="000000"/>
                <w:u w:val="single"/>
                <w:lang w:eastAsia="en-GB"/>
              </w:rPr>
              <w:t>s</w:t>
            </w:r>
            <w:r>
              <w:rPr>
                <w:rFonts w:ascii="Calibri" w:eastAsia="Times New Roman" w:hAnsi="Calibri" w:cs="Calibri"/>
                <w:color w:val="000000"/>
                <w:lang w:eastAsia="en-GB"/>
              </w:rPr>
              <w:t xml:space="preserve"> is allocated entirely </w:t>
            </w:r>
            <w:r>
              <w:rPr>
                <w:rFonts w:ascii="Calibri" w:eastAsia="Times New Roman" w:hAnsi="Calibri" w:cs="Calibri"/>
                <w:color w:val="000000"/>
                <w:lang w:eastAsia="en-GB"/>
              </w:rPr>
              <w:lastRenderedPageBreak/>
              <w:t xml:space="preserve">to the HV network </w:t>
            </w:r>
            <w:r>
              <w:rPr>
                <w:rFonts w:ascii="Calibri" w:eastAsia="Times New Roman" w:hAnsi="Calibri" w:cs="Calibri"/>
                <w:i/>
                <w:iCs/>
                <w:color w:val="000000"/>
                <w:u w:val="single"/>
                <w:lang w:eastAsia="en-GB"/>
              </w:rPr>
              <w:t xml:space="preserve">and LV mains </w:t>
            </w:r>
            <w:r>
              <w:rPr>
                <w:rFonts w:ascii="Calibri" w:eastAsia="Times New Roman" w:hAnsi="Calibri" w:cs="Calibri"/>
                <w:color w:val="000000"/>
                <w:lang w:eastAsia="en-GB"/>
              </w:rPr>
              <w:t>level</w:t>
            </w:r>
            <w:r>
              <w:rPr>
                <w:rFonts w:ascii="Calibri" w:eastAsia="Times New Roman" w:hAnsi="Calibri" w:cs="Calibri"/>
                <w:i/>
                <w:iCs/>
                <w:color w:val="000000"/>
                <w:u w:val="single"/>
                <w:lang w:eastAsia="en-GB"/>
              </w:rPr>
              <w:t>s respectively</w:t>
            </w:r>
            <w:r>
              <w:rPr>
                <w:rFonts w:ascii="Calibri" w:eastAsia="Times New Roman" w:hAnsi="Calibri" w:cs="Calibri"/>
                <w:color w:val="000000"/>
                <w:lang w:eastAsia="en-GB"/>
              </w:rPr>
              <w:t xml:space="preserve">. No allocation is made for the HV/LV </w:t>
            </w:r>
            <w:r>
              <w:rPr>
                <w:rFonts w:ascii="Calibri" w:eastAsia="Times New Roman" w:hAnsi="Calibri" w:cs="Calibri"/>
                <w:i/>
                <w:iCs/>
                <w:color w:val="000000"/>
                <w:u w:val="single"/>
                <w:lang w:eastAsia="en-GB"/>
              </w:rPr>
              <w:t>or LV services</w:t>
            </w:r>
            <w:r>
              <w:rPr>
                <w:rFonts w:ascii="Calibri" w:eastAsia="Times New Roman" w:hAnsi="Calibri" w:cs="Calibri"/>
                <w:color w:val="000000"/>
                <w:lang w:eastAsia="en-GB"/>
              </w:rPr>
              <w:t xml:space="preserve"> network level</w:t>
            </w:r>
            <w:r>
              <w:rPr>
                <w:rFonts w:ascii="Calibri" w:eastAsia="Times New Roman" w:hAnsi="Calibri" w:cs="Calibri"/>
                <w:i/>
                <w:iCs/>
                <w:color w:val="000000"/>
                <w:u w:val="single"/>
                <w:lang w:eastAsia="en-GB"/>
              </w:rPr>
              <w:t>s.</w:t>
            </w:r>
          </w:p>
        </w:tc>
      </w:tr>
      <w:tr w:rsidR="00FB0B64" w:rsidRPr="00646EBF" w14:paraId="013F854A" w14:textId="77777777" w:rsidTr="00FB0B64">
        <w:trPr>
          <w:trHeight w:val="1800"/>
        </w:trPr>
        <w:tc>
          <w:tcPr>
            <w:tcW w:w="439" w:type="dxa"/>
            <w:shd w:val="clear" w:color="auto" w:fill="D9E2F3" w:themeFill="accent1" w:themeFillTint="33"/>
            <w:hideMark/>
          </w:tcPr>
          <w:p w14:paraId="4467E613"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7</w:t>
            </w:r>
          </w:p>
        </w:tc>
        <w:tc>
          <w:tcPr>
            <w:tcW w:w="0" w:type="auto"/>
            <w:shd w:val="clear" w:color="auto" w:fill="D9E2F3" w:themeFill="accent1" w:themeFillTint="33"/>
            <w:hideMark/>
          </w:tcPr>
          <w:p w14:paraId="60F2434A" w14:textId="35E7C26E"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0F7001">
              <w:rPr>
                <w:rFonts w:ascii="Calibri" w:eastAsia="Times New Roman" w:hAnsi="Calibri" w:cs="Calibri"/>
                <w:color w:val="000000"/>
                <w:lang w:eastAsia="en-GB"/>
              </w:rPr>
              <w:t>29, Allocation rules table</w:t>
            </w:r>
          </w:p>
        </w:tc>
        <w:tc>
          <w:tcPr>
            <w:tcW w:w="1249" w:type="dxa"/>
            <w:shd w:val="clear" w:color="auto" w:fill="D9E2F3" w:themeFill="accent1" w:themeFillTint="33"/>
            <w:hideMark/>
          </w:tcPr>
          <w:p w14:paraId="490C464C" w14:textId="7888717B"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Blank percentages capitalised </w:t>
            </w:r>
          </w:p>
        </w:tc>
        <w:tc>
          <w:tcPr>
            <w:tcW w:w="1410" w:type="dxa"/>
            <w:shd w:val="clear" w:color="auto" w:fill="D9E2F3" w:themeFill="accent1" w:themeFillTint="33"/>
            <w:hideMark/>
          </w:tcPr>
          <w:p w14:paraId="76F1B855" w14:textId="4CD7ACA8"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D9E2F3" w:themeFill="accent1" w:themeFillTint="33"/>
            <w:hideMark/>
          </w:tcPr>
          <w:p w14:paraId="32399635" w14:textId="544E45D7"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table contains no value in the “Percentage Capitalised” column for some cost categories. It has been assumed that no value is equivalent to specifying a rate of zero. Currently in each case where there is a blank, the value it would be applied to is equal to zero, so this assumption has no impact.</w:t>
            </w:r>
          </w:p>
        </w:tc>
        <w:tc>
          <w:tcPr>
            <w:tcW w:w="0" w:type="auto"/>
            <w:shd w:val="clear" w:color="auto" w:fill="000000" w:themeFill="text1"/>
            <w:noWrap/>
            <w:hideMark/>
          </w:tcPr>
          <w:p w14:paraId="66443682"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61EC0F7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381A13D5" w14:textId="0C9EA5FD"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1410" w:type="dxa"/>
            <w:shd w:val="clear" w:color="auto" w:fill="D9E2F3" w:themeFill="accent1" w:themeFillTint="33"/>
            <w:hideMark/>
          </w:tcPr>
          <w:p w14:paraId="5B77B6C8" w14:textId="27B8F0AF"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PCDM – Housekeeping (minor)</w:t>
            </w:r>
          </w:p>
        </w:tc>
        <w:tc>
          <w:tcPr>
            <w:tcW w:w="1913" w:type="dxa"/>
            <w:shd w:val="clear" w:color="auto" w:fill="D9E2F3" w:themeFill="accent1" w:themeFillTint="33"/>
            <w:hideMark/>
          </w:tcPr>
          <w:p w14:paraId="1AABFFC9" w14:textId="03B95CDF" w:rsidR="00646EBF" w:rsidRPr="00646EBF" w:rsidRDefault="000F700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Include 0 in place of blanks in ‘Allocation Rules’ table</w:t>
            </w:r>
          </w:p>
        </w:tc>
      </w:tr>
      <w:tr w:rsidR="00FB0B64" w:rsidRPr="00646EBF" w14:paraId="7EED67F6" w14:textId="77777777" w:rsidTr="00FB0B64">
        <w:trPr>
          <w:trHeight w:val="3000"/>
        </w:trPr>
        <w:tc>
          <w:tcPr>
            <w:tcW w:w="439" w:type="dxa"/>
            <w:shd w:val="clear" w:color="auto" w:fill="D9E2F3" w:themeFill="accent1" w:themeFillTint="33"/>
            <w:hideMark/>
          </w:tcPr>
          <w:p w14:paraId="7CE90F71"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8</w:t>
            </w:r>
          </w:p>
        </w:tc>
        <w:tc>
          <w:tcPr>
            <w:tcW w:w="0" w:type="auto"/>
            <w:shd w:val="clear" w:color="auto" w:fill="D9E2F3" w:themeFill="accent1" w:themeFillTint="33"/>
            <w:hideMark/>
          </w:tcPr>
          <w:p w14:paraId="14025EA9" w14:textId="79169BFE"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843236">
              <w:rPr>
                <w:rFonts w:ascii="Calibri" w:eastAsia="Times New Roman" w:hAnsi="Calibri" w:cs="Calibri"/>
                <w:color w:val="000000"/>
                <w:lang w:eastAsia="en-GB"/>
              </w:rPr>
              <w:t>29, Allocation rules table</w:t>
            </w:r>
          </w:p>
        </w:tc>
        <w:tc>
          <w:tcPr>
            <w:tcW w:w="1249" w:type="dxa"/>
            <w:shd w:val="clear" w:color="auto" w:fill="D9E2F3" w:themeFill="accent1" w:themeFillTint="33"/>
            <w:hideMark/>
          </w:tcPr>
          <w:p w14:paraId="39F63B1B" w14:textId="3D85B7AD"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Percentage capitalised for pension deficit payments</w:t>
            </w:r>
          </w:p>
        </w:tc>
        <w:tc>
          <w:tcPr>
            <w:tcW w:w="1410" w:type="dxa"/>
            <w:shd w:val="clear" w:color="auto" w:fill="D9E2F3" w:themeFill="accent1" w:themeFillTint="33"/>
            <w:hideMark/>
          </w:tcPr>
          <w:p w14:paraId="3646601D" w14:textId="5BB973D2"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D9E2F3" w:themeFill="accent1" w:themeFillTint="33"/>
            <w:hideMark/>
          </w:tcPr>
          <w:p w14:paraId="5280F4F1" w14:textId="3841B1DE" w:rsid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table contains a value in the “Percentage capitalised” column for pension deficit payments but under the current methodology there are no cases where this value has an impact.</w:t>
            </w:r>
          </w:p>
          <w:p w14:paraId="44E20231" w14:textId="09D532CE" w:rsidR="00843236"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This result arises as no DNO Party allocates any pension deficit payments to specific network levels and the “Allocation key” column of the table indicates “Do not allocate”, meaning that the 2007/2008 RRP value is not split across levels based on the relative MEAV value calculated for each network level.</w:t>
            </w:r>
          </w:p>
        </w:tc>
        <w:tc>
          <w:tcPr>
            <w:tcW w:w="0" w:type="auto"/>
            <w:shd w:val="clear" w:color="auto" w:fill="000000" w:themeFill="text1"/>
            <w:noWrap/>
            <w:hideMark/>
          </w:tcPr>
          <w:p w14:paraId="2D7ADA7C"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5D1C81DD" w14:textId="698B6512"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37" w:type="dxa"/>
            <w:shd w:val="clear" w:color="auto" w:fill="D9E2F3" w:themeFill="accent1" w:themeFillTint="33"/>
            <w:hideMark/>
          </w:tcPr>
          <w:p w14:paraId="29AEEBAE" w14:textId="23B14878"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Value is unused but has no impact, so no action needed</w:t>
            </w:r>
          </w:p>
        </w:tc>
        <w:tc>
          <w:tcPr>
            <w:tcW w:w="1410" w:type="dxa"/>
            <w:shd w:val="clear" w:color="auto" w:fill="D9E2F3" w:themeFill="accent1" w:themeFillTint="33"/>
            <w:hideMark/>
          </w:tcPr>
          <w:p w14:paraId="3694375F" w14:textId="619DCEC5"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1913" w:type="dxa"/>
            <w:shd w:val="clear" w:color="auto" w:fill="D9E2F3" w:themeFill="accent1" w:themeFillTint="33"/>
          </w:tcPr>
          <w:p w14:paraId="6F1D0416" w14:textId="792C9C51" w:rsidR="00646EBF" w:rsidRPr="00646EBF" w:rsidRDefault="00646EBF" w:rsidP="00646EBF">
            <w:pPr>
              <w:spacing w:after="0" w:line="240" w:lineRule="auto"/>
              <w:rPr>
                <w:rFonts w:ascii="Calibri" w:eastAsia="Times New Roman" w:hAnsi="Calibri" w:cs="Calibri"/>
                <w:color w:val="000000"/>
                <w:lang w:eastAsia="en-GB"/>
              </w:rPr>
            </w:pPr>
          </w:p>
        </w:tc>
      </w:tr>
      <w:tr w:rsidR="00FB0B64" w:rsidRPr="00646EBF" w14:paraId="2F8BF240" w14:textId="77777777" w:rsidTr="00FB0B64">
        <w:trPr>
          <w:trHeight w:val="3000"/>
        </w:trPr>
        <w:tc>
          <w:tcPr>
            <w:tcW w:w="439" w:type="dxa"/>
            <w:shd w:val="clear" w:color="auto" w:fill="D9E2F3" w:themeFill="accent1" w:themeFillTint="33"/>
            <w:hideMark/>
          </w:tcPr>
          <w:p w14:paraId="74BA4E56"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9</w:t>
            </w:r>
          </w:p>
        </w:tc>
        <w:tc>
          <w:tcPr>
            <w:tcW w:w="0" w:type="auto"/>
            <w:shd w:val="clear" w:color="auto" w:fill="D9E2F3" w:themeFill="accent1" w:themeFillTint="33"/>
            <w:hideMark/>
          </w:tcPr>
          <w:p w14:paraId="2A5C30C1" w14:textId="01954BB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843236">
              <w:rPr>
                <w:rFonts w:ascii="Calibri" w:eastAsia="Times New Roman" w:hAnsi="Calibri" w:cs="Calibri"/>
                <w:color w:val="000000"/>
                <w:lang w:eastAsia="en-GB"/>
              </w:rPr>
              <w:t>29, paragraph 14</w:t>
            </w:r>
          </w:p>
        </w:tc>
        <w:tc>
          <w:tcPr>
            <w:tcW w:w="1249" w:type="dxa"/>
            <w:shd w:val="clear" w:color="auto" w:fill="D9E2F3" w:themeFill="accent1" w:themeFillTint="33"/>
            <w:hideMark/>
          </w:tcPr>
          <w:p w14:paraId="2DC72B2A" w14:textId="24F2011D"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LV/HV vs. HV/LV</w:t>
            </w:r>
          </w:p>
        </w:tc>
        <w:tc>
          <w:tcPr>
            <w:tcW w:w="1410" w:type="dxa"/>
            <w:shd w:val="clear" w:color="auto" w:fill="D9E2F3" w:themeFill="accent1" w:themeFillTint="33"/>
            <w:hideMark/>
          </w:tcPr>
          <w:p w14:paraId="4CCFB5EF" w14:textId="272F4C44"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D9E2F3" w:themeFill="accent1" w:themeFillTint="33"/>
            <w:hideMark/>
          </w:tcPr>
          <w:p w14:paraId="57837D32" w14:textId="2DA6E357"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reference to “LV/HV” can be interpreted as equivalent to “HV/LV”, the terminology used elsewhere.</w:t>
            </w:r>
            <w:r w:rsidR="00646EBF" w:rsidRPr="00646EBF">
              <w:rPr>
                <w:rFonts w:ascii="Calibri" w:eastAsia="Times New Roman" w:hAnsi="Calibri" w:cs="Calibri"/>
                <w:color w:val="000000"/>
                <w:lang w:eastAsia="en-GB"/>
              </w:rPr>
              <w:t xml:space="preserve"> </w:t>
            </w:r>
          </w:p>
        </w:tc>
        <w:tc>
          <w:tcPr>
            <w:tcW w:w="0" w:type="auto"/>
            <w:shd w:val="clear" w:color="auto" w:fill="000000" w:themeFill="text1"/>
            <w:noWrap/>
            <w:hideMark/>
          </w:tcPr>
          <w:p w14:paraId="6A66CC2A"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04B361C5" w14:textId="3524611B"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Part </w:t>
            </w:r>
            <w:r w:rsidR="00843236">
              <w:rPr>
                <w:rFonts w:ascii="Calibri" w:eastAsia="Times New Roman" w:hAnsi="Calibri" w:cs="Calibri"/>
                <w:color w:val="000000"/>
                <w:lang w:eastAsia="en-GB"/>
              </w:rPr>
              <w:t>2</w:t>
            </w:r>
          </w:p>
        </w:tc>
        <w:tc>
          <w:tcPr>
            <w:tcW w:w="1337" w:type="dxa"/>
            <w:shd w:val="clear" w:color="auto" w:fill="D9E2F3" w:themeFill="accent1" w:themeFillTint="33"/>
            <w:hideMark/>
          </w:tcPr>
          <w:p w14:paraId="70BA755D" w14:textId="6674CC4C"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1410" w:type="dxa"/>
            <w:shd w:val="clear" w:color="auto" w:fill="D9E2F3" w:themeFill="accent1" w:themeFillTint="33"/>
            <w:hideMark/>
          </w:tcPr>
          <w:p w14:paraId="3C3576D5" w14:textId="5BA59CBA"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PCDM – Housekeeping (minor)</w:t>
            </w:r>
          </w:p>
        </w:tc>
        <w:tc>
          <w:tcPr>
            <w:tcW w:w="1913" w:type="dxa"/>
            <w:shd w:val="clear" w:color="auto" w:fill="D9E2F3" w:themeFill="accent1" w:themeFillTint="33"/>
            <w:hideMark/>
          </w:tcPr>
          <w:p w14:paraId="6A1CA191" w14:textId="1C237CF8" w:rsidR="00646EBF" w:rsidRPr="00843236" w:rsidRDefault="49C7D27B" w:rsidP="49C7D27B">
            <w:pPr>
              <w:spacing w:after="0" w:line="240" w:lineRule="auto"/>
              <w:rPr>
                <w:rFonts w:ascii="Calibri" w:eastAsia="Times New Roman" w:hAnsi="Calibri" w:cs="Calibri"/>
                <w:color w:val="000000" w:themeColor="text1"/>
                <w:lang w:eastAsia="en-GB"/>
              </w:rPr>
            </w:pPr>
            <w:r w:rsidRPr="49C7D27B">
              <w:rPr>
                <w:rFonts w:ascii="Calibri" w:eastAsia="Times New Roman" w:hAnsi="Calibri" w:cs="Calibri"/>
                <w:color w:val="000000" w:themeColor="text1"/>
                <w:lang w:eastAsia="en-GB"/>
              </w:rPr>
              <w:t xml:space="preserve">Amend clause 14: ‘The DNO Party calculates the net capital expenditure split by LV, </w:t>
            </w:r>
            <w:r w:rsidRPr="49C7D27B">
              <w:rPr>
                <w:rFonts w:ascii="Calibri" w:eastAsia="Times New Roman" w:hAnsi="Calibri" w:cs="Calibri"/>
                <w:i/>
                <w:iCs/>
                <w:color w:val="000000" w:themeColor="text1"/>
                <w:u w:val="single"/>
                <w:lang w:eastAsia="en-GB"/>
              </w:rPr>
              <w:t xml:space="preserve">[LV/HV] [HV/LV], </w:t>
            </w:r>
            <w:r w:rsidRPr="49C7D27B">
              <w:rPr>
                <w:rFonts w:ascii="Calibri" w:eastAsia="Times New Roman" w:hAnsi="Calibri" w:cs="Calibri"/>
                <w:color w:val="000000" w:themeColor="text1"/>
                <w:lang w:eastAsia="en-GB"/>
              </w:rPr>
              <w:t>HV, and EHV and 132kV (which includes EHV/HV)</w:t>
            </w:r>
          </w:p>
        </w:tc>
      </w:tr>
      <w:tr w:rsidR="00FB0B64" w:rsidRPr="00646EBF" w14:paraId="079BB58C" w14:textId="77777777" w:rsidTr="00FB0B64">
        <w:trPr>
          <w:trHeight w:val="3300"/>
        </w:trPr>
        <w:tc>
          <w:tcPr>
            <w:tcW w:w="439" w:type="dxa"/>
            <w:shd w:val="clear" w:color="auto" w:fill="D9E2F3" w:themeFill="accent1" w:themeFillTint="33"/>
            <w:hideMark/>
          </w:tcPr>
          <w:p w14:paraId="26D9473C"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10</w:t>
            </w:r>
          </w:p>
        </w:tc>
        <w:tc>
          <w:tcPr>
            <w:tcW w:w="0" w:type="auto"/>
            <w:shd w:val="clear" w:color="auto" w:fill="D9E2F3" w:themeFill="accent1" w:themeFillTint="33"/>
            <w:hideMark/>
          </w:tcPr>
          <w:p w14:paraId="788E954C" w14:textId="1A03385A"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843236">
              <w:rPr>
                <w:rFonts w:ascii="Calibri" w:eastAsia="Times New Roman" w:hAnsi="Calibri" w:cs="Calibri"/>
                <w:color w:val="000000"/>
                <w:lang w:eastAsia="en-GB"/>
              </w:rPr>
              <w:t>29, paragraph 26 and 46</w:t>
            </w:r>
          </w:p>
        </w:tc>
        <w:tc>
          <w:tcPr>
            <w:tcW w:w="1249" w:type="dxa"/>
            <w:shd w:val="clear" w:color="auto" w:fill="D9E2F3" w:themeFill="accent1" w:themeFillTint="33"/>
            <w:hideMark/>
          </w:tcPr>
          <w:p w14:paraId="11026FE9" w14:textId="5DA70521"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Multiple “U” variables</w:t>
            </w:r>
          </w:p>
        </w:tc>
        <w:tc>
          <w:tcPr>
            <w:tcW w:w="1410" w:type="dxa"/>
            <w:shd w:val="clear" w:color="auto" w:fill="D9E2F3" w:themeFill="accent1" w:themeFillTint="33"/>
            <w:hideMark/>
          </w:tcPr>
          <w:p w14:paraId="258BF551" w14:textId="4418343A" w:rsidR="00646EBF" w:rsidRPr="00646EBF" w:rsidRDefault="0084323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PCDM</w:t>
            </w:r>
            <w:r w:rsidR="001927E8">
              <w:rPr>
                <w:rFonts w:ascii="Calibri" w:eastAsia="Times New Roman" w:hAnsi="Calibri" w:cs="Calibri"/>
                <w:color w:val="000000"/>
                <w:lang w:eastAsia="en-GB"/>
              </w:rPr>
              <w:t>; “Rev allocation” sheet</w:t>
            </w:r>
          </w:p>
        </w:tc>
        <w:tc>
          <w:tcPr>
            <w:tcW w:w="2251" w:type="dxa"/>
            <w:shd w:val="clear" w:color="auto" w:fill="D9E2F3" w:themeFill="accent1" w:themeFillTint="33"/>
            <w:hideMark/>
          </w:tcPr>
          <w:p w14:paraId="054EFCB2" w14:textId="1156FED2" w:rsidR="00646EBF" w:rsidRPr="00646EBF" w:rsidRDefault="001927E8"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29 refers to two variables named “U”. Given their different roles in the methodology are quite different (one deals with adjustments for loses, while the other deals with the share of revenue not discounted) it has been assumed that their scope is limited to their respective paragraphs and that there is no interaction between them.</w:t>
            </w:r>
          </w:p>
        </w:tc>
        <w:tc>
          <w:tcPr>
            <w:tcW w:w="0" w:type="auto"/>
            <w:shd w:val="clear" w:color="auto" w:fill="000000" w:themeFill="text1"/>
            <w:noWrap/>
            <w:hideMark/>
          </w:tcPr>
          <w:p w14:paraId="4240EB17"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4F87B48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2426BEA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10" w:type="dxa"/>
            <w:shd w:val="clear" w:color="auto" w:fill="D9E2F3" w:themeFill="accent1" w:themeFillTint="33"/>
            <w:hideMark/>
          </w:tcPr>
          <w:p w14:paraId="7D6D9576" w14:textId="065CB6E1" w:rsidR="00646EBF" w:rsidRPr="00646EBF" w:rsidRDefault="001927E8"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w:t>
            </w:r>
            <w:r w:rsidR="00646EBF" w:rsidRPr="00646EBF">
              <w:rPr>
                <w:rFonts w:ascii="Calibri" w:eastAsia="Times New Roman" w:hAnsi="Calibri" w:cs="Calibri"/>
                <w:color w:val="000000"/>
                <w:lang w:eastAsia="en-GB"/>
              </w:rPr>
              <w:t>M - Housekeeping (minor)</w:t>
            </w:r>
          </w:p>
        </w:tc>
        <w:tc>
          <w:tcPr>
            <w:tcW w:w="1913" w:type="dxa"/>
            <w:shd w:val="clear" w:color="auto" w:fill="D9E2F3" w:themeFill="accent1" w:themeFillTint="33"/>
            <w:hideMark/>
          </w:tcPr>
          <w:p w14:paraId="700BCCEB" w14:textId="1434F096" w:rsidR="00646EBF" w:rsidRPr="00646EBF" w:rsidRDefault="001927E8"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references to “U” in clause 26 to “U_1” and reference to “U” in clause 46 to “U_2”</w:t>
            </w:r>
          </w:p>
        </w:tc>
      </w:tr>
      <w:tr w:rsidR="00FB0B64" w:rsidRPr="00646EBF" w14:paraId="6EA7D57B" w14:textId="77777777" w:rsidTr="00FB0B64">
        <w:trPr>
          <w:trHeight w:val="1800"/>
        </w:trPr>
        <w:tc>
          <w:tcPr>
            <w:tcW w:w="439" w:type="dxa"/>
            <w:shd w:val="clear" w:color="auto" w:fill="FFF2CC" w:themeFill="accent4" w:themeFillTint="33"/>
            <w:hideMark/>
          </w:tcPr>
          <w:p w14:paraId="7B907D32" w14:textId="77777777" w:rsidR="00FB0B64" w:rsidRPr="00646EBF" w:rsidRDefault="00FB0B64"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11</w:t>
            </w:r>
          </w:p>
        </w:tc>
        <w:tc>
          <w:tcPr>
            <w:tcW w:w="0" w:type="auto"/>
            <w:shd w:val="clear" w:color="auto" w:fill="FFF2CC" w:themeFill="accent4" w:themeFillTint="33"/>
            <w:hideMark/>
          </w:tcPr>
          <w:p w14:paraId="711FCFFC" w14:textId="3F96F898" w:rsidR="00FB0B64" w:rsidRPr="00646EBF" w:rsidRDefault="00FB0B64"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Pr>
                <w:rFonts w:ascii="Calibri" w:eastAsia="Times New Roman" w:hAnsi="Calibri" w:cs="Calibri"/>
                <w:color w:val="000000"/>
                <w:lang w:eastAsia="en-GB"/>
              </w:rPr>
              <w:t>29, paragraph 38</w:t>
            </w:r>
          </w:p>
        </w:tc>
        <w:tc>
          <w:tcPr>
            <w:tcW w:w="1249" w:type="dxa"/>
            <w:shd w:val="clear" w:color="auto" w:fill="FFF2CC" w:themeFill="accent4" w:themeFillTint="33"/>
            <w:hideMark/>
          </w:tcPr>
          <w:p w14:paraId="6C7AFB3E" w14:textId="77991B0F" w:rsidR="00FB0B64" w:rsidRPr="00646EBF" w:rsidRDefault="00FB0B64"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Allocations to the 132kV/EHV substations level in Scotland</w:t>
            </w:r>
          </w:p>
        </w:tc>
        <w:tc>
          <w:tcPr>
            <w:tcW w:w="1410" w:type="dxa"/>
            <w:shd w:val="clear" w:color="auto" w:fill="FFF2CC" w:themeFill="accent4" w:themeFillTint="33"/>
            <w:hideMark/>
          </w:tcPr>
          <w:p w14:paraId="45056DBD" w14:textId="46B93F3A" w:rsidR="00FB0B64" w:rsidRPr="00646EBF" w:rsidRDefault="00FB0B64"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w:t>
            </w:r>
          </w:p>
        </w:tc>
        <w:tc>
          <w:tcPr>
            <w:tcW w:w="2251" w:type="dxa"/>
            <w:shd w:val="clear" w:color="auto" w:fill="FFF2CC" w:themeFill="accent4" w:themeFillTint="33"/>
            <w:hideMark/>
          </w:tcPr>
          <w:p w14:paraId="040C1FEA" w14:textId="77777777" w:rsidR="00FB0B64" w:rsidRDefault="00FB0B64"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This paragraph notes that the percentage allocated to the EHV and 132kV level is split into four levels. In doing so, it notes in parentheses that the “132kV circuits” and “132kV/EHV substations” levels are “England and Wales only”.</w:t>
            </w:r>
          </w:p>
          <w:p w14:paraId="5DDEC304" w14:textId="77777777" w:rsidR="00FB0B64" w:rsidRDefault="00FB0B64"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two Scottish DNOs currently do have positive asset counts for assets that are mapped to the 132kV/EHV substations level: “33kV circuit breaker, </w:t>
            </w:r>
            <w:r>
              <w:rPr>
                <w:rFonts w:ascii="Calibri" w:eastAsia="Times New Roman" w:hAnsi="Calibri" w:cs="Calibri"/>
                <w:color w:val="000000"/>
                <w:lang w:eastAsia="en-GB"/>
              </w:rPr>
              <w:lastRenderedPageBreak/>
              <w:t>indoors” and “33kV circuit breaker, outdoors”. The basis for this mapping is set out in the “MEAV EDCM mapping” table.</w:t>
            </w:r>
          </w:p>
          <w:p w14:paraId="7002550C" w14:textId="77777777" w:rsidR="00FB0B64" w:rsidRDefault="00FB0B64"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If those two asset types would otherwise be mapped to the EHV level, no impact on PCDM discounts for the Scottish DNOs has been identified as the movement between those two categories would only affect “EDCM boundary 132kV/EHV” and “EDCM boundary 132kV/EHV” discounts, which are not applied in Scotland.</w:t>
            </w:r>
          </w:p>
          <w:p w14:paraId="7C4FBB02" w14:textId="0C01F61F" w:rsidR="00FB0B64" w:rsidRPr="00646EBF" w:rsidRDefault="00FB0B64"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Given the above, no restriction has been made to stop these values flowing through for Scottish DNOs.</w:t>
            </w:r>
          </w:p>
        </w:tc>
        <w:tc>
          <w:tcPr>
            <w:tcW w:w="0" w:type="auto"/>
            <w:shd w:val="clear" w:color="auto" w:fill="000000" w:themeFill="text1"/>
            <w:noWrap/>
            <w:hideMark/>
          </w:tcPr>
          <w:p w14:paraId="19C62348" w14:textId="77777777" w:rsidR="00FB0B64" w:rsidRPr="00646EBF" w:rsidRDefault="00FB0B64" w:rsidP="00646EBF">
            <w:pPr>
              <w:spacing w:after="0" w:line="240" w:lineRule="auto"/>
              <w:rPr>
                <w:rFonts w:ascii="Calibri" w:eastAsia="Times New Roman" w:hAnsi="Calibri" w:cs="Calibri"/>
                <w:color w:val="000000"/>
                <w:lang w:eastAsia="en-GB"/>
              </w:rPr>
            </w:pPr>
          </w:p>
        </w:tc>
        <w:tc>
          <w:tcPr>
            <w:tcW w:w="632" w:type="dxa"/>
            <w:shd w:val="clear" w:color="auto" w:fill="auto"/>
          </w:tcPr>
          <w:p w14:paraId="50F64D80" w14:textId="77777777" w:rsidR="00FB0B64" w:rsidRPr="00646EBF" w:rsidRDefault="00FB0B64" w:rsidP="001927E8">
            <w:pPr>
              <w:spacing w:after="0" w:line="240" w:lineRule="auto"/>
              <w:jc w:val="center"/>
              <w:rPr>
                <w:rFonts w:ascii="Calibri" w:eastAsia="Times New Roman" w:hAnsi="Calibri" w:cs="Calibri"/>
                <w:color w:val="000000"/>
                <w:lang w:eastAsia="en-GB"/>
              </w:rPr>
            </w:pPr>
          </w:p>
        </w:tc>
        <w:tc>
          <w:tcPr>
            <w:tcW w:w="1337" w:type="dxa"/>
            <w:shd w:val="clear" w:color="auto" w:fill="auto"/>
          </w:tcPr>
          <w:p w14:paraId="1407F7FA" w14:textId="77777777" w:rsidR="00FB0B64" w:rsidRPr="00646EBF" w:rsidRDefault="00FB0B64" w:rsidP="001927E8">
            <w:pPr>
              <w:spacing w:after="0" w:line="240" w:lineRule="auto"/>
              <w:jc w:val="center"/>
              <w:rPr>
                <w:rFonts w:ascii="Calibri" w:eastAsia="Times New Roman" w:hAnsi="Calibri" w:cs="Calibri"/>
                <w:color w:val="000000"/>
                <w:lang w:eastAsia="en-GB"/>
              </w:rPr>
            </w:pPr>
          </w:p>
        </w:tc>
        <w:tc>
          <w:tcPr>
            <w:tcW w:w="1410" w:type="dxa"/>
            <w:shd w:val="clear" w:color="auto" w:fill="auto"/>
          </w:tcPr>
          <w:p w14:paraId="10C0E872" w14:textId="77777777" w:rsidR="00FB0B64" w:rsidRPr="00646EBF" w:rsidRDefault="00FB0B64" w:rsidP="001927E8">
            <w:pPr>
              <w:spacing w:after="0" w:line="240" w:lineRule="auto"/>
              <w:jc w:val="center"/>
              <w:rPr>
                <w:rFonts w:ascii="Calibri" w:eastAsia="Times New Roman" w:hAnsi="Calibri" w:cs="Calibri"/>
                <w:color w:val="000000"/>
                <w:lang w:eastAsia="en-GB"/>
              </w:rPr>
            </w:pPr>
          </w:p>
        </w:tc>
        <w:tc>
          <w:tcPr>
            <w:tcW w:w="1913" w:type="dxa"/>
            <w:shd w:val="clear" w:color="auto" w:fill="auto"/>
          </w:tcPr>
          <w:p w14:paraId="33EBD602" w14:textId="612E86CD" w:rsidR="00FB0B64" w:rsidRPr="00646EBF" w:rsidRDefault="00FB0B64" w:rsidP="001927E8">
            <w:pPr>
              <w:spacing w:after="0" w:line="240" w:lineRule="auto"/>
              <w:jc w:val="center"/>
              <w:rPr>
                <w:rFonts w:ascii="Calibri" w:eastAsia="Times New Roman" w:hAnsi="Calibri" w:cs="Calibri"/>
                <w:color w:val="000000"/>
                <w:lang w:eastAsia="en-GB"/>
              </w:rPr>
            </w:pPr>
          </w:p>
        </w:tc>
      </w:tr>
      <w:tr w:rsidR="00FB0B64" w:rsidRPr="00646EBF" w14:paraId="50717903" w14:textId="77777777" w:rsidTr="00FB0B64">
        <w:trPr>
          <w:trHeight w:val="2400"/>
        </w:trPr>
        <w:tc>
          <w:tcPr>
            <w:tcW w:w="439" w:type="dxa"/>
            <w:shd w:val="clear" w:color="auto" w:fill="D9E2F3" w:themeFill="accent1" w:themeFillTint="33"/>
            <w:hideMark/>
          </w:tcPr>
          <w:p w14:paraId="37B5CEB0"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12</w:t>
            </w:r>
          </w:p>
        </w:tc>
        <w:tc>
          <w:tcPr>
            <w:tcW w:w="0" w:type="auto"/>
            <w:shd w:val="clear" w:color="auto" w:fill="D9E2F3" w:themeFill="accent1" w:themeFillTint="33"/>
            <w:hideMark/>
          </w:tcPr>
          <w:p w14:paraId="54C70B48" w14:textId="4C4476DC"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1927E8">
              <w:rPr>
                <w:rFonts w:ascii="Calibri" w:eastAsia="Times New Roman" w:hAnsi="Calibri" w:cs="Calibri"/>
                <w:color w:val="000000"/>
                <w:lang w:eastAsia="en-GB"/>
              </w:rPr>
              <w:t xml:space="preserve">29, </w:t>
            </w:r>
            <w:r w:rsidR="008C0313">
              <w:rPr>
                <w:rFonts w:ascii="Calibri" w:eastAsia="Times New Roman" w:hAnsi="Calibri" w:cs="Calibri"/>
                <w:color w:val="000000"/>
                <w:lang w:eastAsia="en-GB"/>
              </w:rPr>
              <w:t>paragraph 46</w:t>
            </w:r>
          </w:p>
        </w:tc>
        <w:tc>
          <w:tcPr>
            <w:tcW w:w="1249" w:type="dxa"/>
            <w:shd w:val="clear" w:color="auto" w:fill="D9E2F3" w:themeFill="accent1" w:themeFillTint="33"/>
            <w:hideMark/>
          </w:tcPr>
          <w:p w14:paraId="73089EB9" w14:textId="40294CB3"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U</w:t>
            </w:r>
          </w:p>
        </w:tc>
        <w:tc>
          <w:tcPr>
            <w:tcW w:w="1410" w:type="dxa"/>
            <w:shd w:val="clear" w:color="auto" w:fill="D9E2F3" w:themeFill="accent1" w:themeFillTint="33"/>
            <w:hideMark/>
          </w:tcPr>
          <w:p w14:paraId="2CBE09AF" w14:textId="53A45E76"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PCDM; “EDCM discounts”</w:t>
            </w:r>
          </w:p>
        </w:tc>
        <w:tc>
          <w:tcPr>
            <w:tcW w:w="2251" w:type="dxa"/>
            <w:shd w:val="clear" w:color="auto" w:fill="D9E2F3" w:themeFill="accent1" w:themeFillTint="33"/>
            <w:hideMark/>
          </w:tcPr>
          <w:p w14:paraId="0153E9DC" w14:textId="77777777" w:rsid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Paragraph 46 currently defines the variable “U” as follows:</w:t>
            </w:r>
          </w:p>
          <w:p w14:paraId="0158C1B8" w14:textId="77777777" w:rsidR="008C0313" w:rsidRDefault="008C0313" w:rsidP="00646EBF">
            <w:pPr>
              <w:spacing w:after="0" w:line="240" w:lineRule="auto"/>
              <w:rPr>
                <w:rFonts w:ascii="Calibri" w:eastAsia="Times New Roman" w:hAnsi="Calibri" w:cs="Calibri"/>
                <w:i/>
                <w:iCs/>
                <w:color w:val="000000"/>
                <w:lang w:eastAsia="en-GB"/>
              </w:rPr>
            </w:pPr>
            <w:r>
              <w:rPr>
                <w:rFonts w:ascii="Calibri" w:eastAsia="Times New Roman" w:hAnsi="Calibri" w:cs="Calibri"/>
                <w:i/>
                <w:iCs/>
                <w:color w:val="000000"/>
                <w:lang w:eastAsia="en-GB"/>
              </w:rPr>
              <w:t xml:space="preserve">“U is the ratio of the sum of the DNO Party’s total incentive revenue and the transmission exit </w:t>
            </w:r>
            <w:r>
              <w:rPr>
                <w:rFonts w:ascii="Calibri" w:eastAsia="Times New Roman" w:hAnsi="Calibri" w:cs="Calibri"/>
                <w:i/>
                <w:iCs/>
                <w:color w:val="000000"/>
                <w:lang w:eastAsia="en-GB"/>
              </w:rPr>
              <w:lastRenderedPageBreak/>
              <w:t>charge, and the DNO Party’s total Allowed Revenue including any incentive revenue and transmission exit charge”.</w:t>
            </w:r>
          </w:p>
          <w:p w14:paraId="49D0E2D3" w14:textId="77777777" w:rsidR="008C0313"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To retain consistency with the approach applied to shares of the all-the-way tariffs allocated to network levels, it was assumed that for the development of the new PCDM the definition of “U” in Paragraph 46 could be assumed to be as follows:</w:t>
            </w:r>
          </w:p>
          <w:p w14:paraId="11863666" w14:textId="486071F1" w:rsidR="008C0313" w:rsidRPr="008C0313" w:rsidRDefault="008C0313" w:rsidP="00646EBF">
            <w:pPr>
              <w:spacing w:after="0" w:line="240" w:lineRule="auto"/>
              <w:rPr>
                <w:rFonts w:ascii="Calibri" w:eastAsia="Times New Roman" w:hAnsi="Calibri" w:cs="Calibri"/>
                <w:i/>
                <w:iCs/>
                <w:color w:val="000000"/>
                <w:lang w:eastAsia="en-GB"/>
              </w:rPr>
            </w:pPr>
            <w:r>
              <w:rPr>
                <w:rFonts w:ascii="Calibri" w:eastAsia="Times New Roman" w:hAnsi="Calibri" w:cs="Calibri"/>
                <w:i/>
                <w:iCs/>
                <w:color w:val="000000"/>
                <w:lang w:eastAsia="en-GB"/>
              </w:rPr>
              <w:t>“U is the percentage that the [Revenue not to share per unit] represents the sum of the [Revenue to share per unit] across all network levels and the [Revenue not to share per unit].”</w:t>
            </w:r>
          </w:p>
        </w:tc>
        <w:tc>
          <w:tcPr>
            <w:tcW w:w="0" w:type="auto"/>
            <w:shd w:val="clear" w:color="auto" w:fill="000000" w:themeFill="text1"/>
            <w:noWrap/>
            <w:hideMark/>
          </w:tcPr>
          <w:p w14:paraId="64E1A6E4"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3FCC6FB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20E7899E"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10" w:type="dxa"/>
            <w:shd w:val="clear" w:color="auto" w:fill="D9E2F3" w:themeFill="accent1" w:themeFillTint="33"/>
            <w:hideMark/>
          </w:tcPr>
          <w:p w14:paraId="6D9731B6" w14:textId="09102970"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w:t>
            </w:r>
            <w:r w:rsidR="00646EBF" w:rsidRPr="00646EBF">
              <w:rPr>
                <w:rFonts w:ascii="Calibri" w:eastAsia="Times New Roman" w:hAnsi="Calibri" w:cs="Calibri"/>
                <w:color w:val="000000"/>
                <w:lang w:eastAsia="en-GB"/>
              </w:rPr>
              <w:t>M - Housekeeping (minor)</w:t>
            </w:r>
          </w:p>
        </w:tc>
        <w:tc>
          <w:tcPr>
            <w:tcW w:w="1913" w:type="dxa"/>
            <w:shd w:val="clear" w:color="auto" w:fill="D9E2F3" w:themeFill="accent1" w:themeFillTint="33"/>
            <w:hideMark/>
          </w:tcPr>
          <w:p w14:paraId="36EAF102" w14:textId="77777777" w:rsid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 46:</w:t>
            </w:r>
          </w:p>
          <w:p w14:paraId="5C5AFF9D" w14:textId="613BA3AB" w:rsidR="008C0313" w:rsidRPr="008C0313" w:rsidRDefault="008C0313" w:rsidP="00646EBF">
            <w:pPr>
              <w:spacing w:after="0" w:line="240" w:lineRule="auto"/>
              <w:rPr>
                <w:rFonts w:ascii="Calibri" w:eastAsia="Times New Roman" w:hAnsi="Calibri" w:cs="Calibri"/>
                <w:i/>
                <w:iCs/>
                <w:color w:val="000000"/>
                <w:u w:val="single"/>
                <w:lang w:eastAsia="en-GB"/>
              </w:rPr>
            </w:pPr>
            <w:r>
              <w:rPr>
                <w:rFonts w:ascii="Calibri" w:eastAsia="Times New Roman" w:hAnsi="Calibri" w:cs="Calibri"/>
                <w:i/>
                <w:iCs/>
                <w:color w:val="000000"/>
                <w:u w:val="single"/>
                <w:lang w:eastAsia="en-GB"/>
              </w:rPr>
              <w:t xml:space="preserve">“[U is the ratio of the sum of the DNO Party’s total incentive revenue and the transmission exit charge, and the </w:t>
            </w:r>
            <w:r>
              <w:rPr>
                <w:rFonts w:ascii="Calibri" w:eastAsia="Times New Roman" w:hAnsi="Calibri" w:cs="Calibri"/>
                <w:i/>
                <w:iCs/>
                <w:color w:val="000000"/>
                <w:u w:val="single"/>
                <w:lang w:eastAsia="en-GB"/>
              </w:rPr>
              <w:lastRenderedPageBreak/>
              <w:t xml:space="preserve">DNO Party’s total Allowed Revenue including any incentive revenue and transmission exit charge.]” </w:t>
            </w:r>
            <w:r>
              <w:rPr>
                <w:rFonts w:ascii="Calibri" w:eastAsia="Times New Roman" w:hAnsi="Calibri" w:cs="Calibri"/>
                <w:color w:val="000000"/>
                <w:lang w:eastAsia="en-GB"/>
              </w:rPr>
              <w:t xml:space="preserve">to </w:t>
            </w:r>
            <w:r>
              <w:rPr>
                <w:rFonts w:ascii="Calibri" w:eastAsia="Times New Roman" w:hAnsi="Calibri" w:cs="Calibri"/>
                <w:i/>
                <w:iCs/>
                <w:color w:val="000000"/>
                <w:u w:val="single"/>
                <w:lang w:eastAsia="en-GB"/>
              </w:rPr>
              <w:t>“U is the percentage that the [Revenue not to share per unit] represents of the sum of the [Revenue to share per unit] across all network levels and the [Revenue not to share per unit].”</w:t>
            </w:r>
          </w:p>
        </w:tc>
      </w:tr>
      <w:tr w:rsidR="00FB0B64" w:rsidRPr="00646EBF" w14:paraId="3FA4EB5B" w14:textId="77777777" w:rsidTr="00FB0B64">
        <w:trPr>
          <w:trHeight w:val="900"/>
        </w:trPr>
        <w:tc>
          <w:tcPr>
            <w:tcW w:w="439" w:type="dxa"/>
            <w:shd w:val="clear" w:color="auto" w:fill="D9E2F3" w:themeFill="accent1" w:themeFillTint="33"/>
            <w:hideMark/>
          </w:tcPr>
          <w:p w14:paraId="2C3C46E0"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13</w:t>
            </w:r>
          </w:p>
        </w:tc>
        <w:tc>
          <w:tcPr>
            <w:tcW w:w="0" w:type="auto"/>
            <w:shd w:val="clear" w:color="auto" w:fill="D9E2F3" w:themeFill="accent1" w:themeFillTint="33"/>
            <w:hideMark/>
          </w:tcPr>
          <w:p w14:paraId="1F77D099" w14:textId="74648120"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8C0313">
              <w:rPr>
                <w:rFonts w:ascii="Calibri" w:eastAsia="Times New Roman" w:hAnsi="Calibri" w:cs="Calibri"/>
                <w:color w:val="000000"/>
                <w:lang w:eastAsia="en-GB"/>
              </w:rPr>
              <w:t xml:space="preserve">29, multiple paragraphs </w:t>
            </w:r>
          </w:p>
        </w:tc>
        <w:tc>
          <w:tcPr>
            <w:tcW w:w="1249" w:type="dxa"/>
            <w:shd w:val="clear" w:color="auto" w:fill="D9E2F3" w:themeFill="accent1" w:themeFillTint="33"/>
            <w:hideMark/>
          </w:tcPr>
          <w:p w14:paraId="528A5386" w14:textId="340EAFF7"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Price base of financial value inputs</w:t>
            </w:r>
          </w:p>
        </w:tc>
        <w:tc>
          <w:tcPr>
            <w:tcW w:w="1410" w:type="dxa"/>
            <w:shd w:val="clear" w:color="auto" w:fill="D9E2F3" w:themeFill="accent1" w:themeFillTint="33"/>
            <w:hideMark/>
          </w:tcPr>
          <w:p w14:paraId="1FB322A2" w14:textId="10254A8B"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PCDM; “DNO inputs” sheet</w:t>
            </w:r>
          </w:p>
        </w:tc>
        <w:tc>
          <w:tcPr>
            <w:tcW w:w="2251" w:type="dxa"/>
            <w:shd w:val="clear" w:color="auto" w:fill="D9E2F3" w:themeFill="accent1" w:themeFillTint="33"/>
            <w:hideMark/>
          </w:tcPr>
          <w:p w14:paraId="36446A5B" w14:textId="17216D6B"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DCUSA text does not specify the price base in which DNO Parties must state financial values. It has been assumed, therefore, that the onus in on DNO Parties to ensure that their input values are </w:t>
            </w:r>
            <w:r>
              <w:rPr>
                <w:rFonts w:ascii="Calibri" w:eastAsia="Times New Roman" w:hAnsi="Calibri" w:cs="Calibri"/>
                <w:color w:val="000000"/>
                <w:lang w:eastAsia="en-GB"/>
              </w:rPr>
              <w:lastRenderedPageBreak/>
              <w:t>consistent with appropriate use of inflation adjustments, where necessary.</w:t>
            </w:r>
          </w:p>
        </w:tc>
        <w:tc>
          <w:tcPr>
            <w:tcW w:w="0" w:type="auto"/>
            <w:shd w:val="clear" w:color="auto" w:fill="000000" w:themeFill="text1"/>
            <w:noWrap/>
            <w:hideMark/>
          </w:tcPr>
          <w:p w14:paraId="79B1062A"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174662AF" w14:textId="1F6FAEBC"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37" w:type="dxa"/>
            <w:shd w:val="clear" w:color="auto" w:fill="D9E2F3" w:themeFill="accent1" w:themeFillTint="33"/>
            <w:hideMark/>
          </w:tcPr>
          <w:p w14:paraId="02449CEF" w14:textId="41D4D51D"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needed – methodology follows logical order, with the step to bound being after this step.</w:t>
            </w:r>
          </w:p>
        </w:tc>
        <w:tc>
          <w:tcPr>
            <w:tcW w:w="1410" w:type="dxa"/>
            <w:shd w:val="clear" w:color="auto" w:fill="D9E2F3" w:themeFill="accent1" w:themeFillTint="33"/>
            <w:hideMark/>
          </w:tcPr>
          <w:p w14:paraId="1D4529A2" w14:textId="20EE4757" w:rsidR="00646EBF" w:rsidRPr="00646EBF" w:rsidRDefault="008C031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1913" w:type="dxa"/>
            <w:shd w:val="clear" w:color="auto" w:fill="D9E2F3" w:themeFill="accent1" w:themeFillTint="33"/>
            <w:hideMark/>
          </w:tcPr>
          <w:p w14:paraId="015AF729" w14:textId="46BB8014" w:rsidR="00646EBF" w:rsidRPr="00646EBF" w:rsidRDefault="00646EBF" w:rsidP="00646EBF">
            <w:pPr>
              <w:spacing w:after="0" w:line="240" w:lineRule="auto"/>
              <w:rPr>
                <w:rFonts w:ascii="Calibri" w:eastAsia="Times New Roman" w:hAnsi="Calibri" w:cs="Calibri"/>
                <w:color w:val="000000"/>
                <w:lang w:eastAsia="en-GB"/>
              </w:rPr>
            </w:pPr>
          </w:p>
        </w:tc>
      </w:tr>
      <w:tr w:rsidR="00FB0B64" w:rsidRPr="00646EBF" w14:paraId="202F1877" w14:textId="77777777" w:rsidTr="00FB0B64">
        <w:trPr>
          <w:trHeight w:val="2100"/>
        </w:trPr>
        <w:tc>
          <w:tcPr>
            <w:tcW w:w="439" w:type="dxa"/>
            <w:shd w:val="clear" w:color="auto" w:fill="FFF2CC" w:themeFill="accent4" w:themeFillTint="33"/>
            <w:hideMark/>
          </w:tcPr>
          <w:p w14:paraId="34E5E0A8"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14</w:t>
            </w:r>
          </w:p>
        </w:tc>
        <w:tc>
          <w:tcPr>
            <w:tcW w:w="0" w:type="auto"/>
            <w:shd w:val="clear" w:color="auto" w:fill="FFF2CC" w:themeFill="accent4" w:themeFillTint="33"/>
            <w:hideMark/>
          </w:tcPr>
          <w:p w14:paraId="71E8600D" w14:textId="2A9F49DB"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2D42C2">
              <w:rPr>
                <w:rFonts w:ascii="Calibri" w:eastAsia="Times New Roman" w:hAnsi="Calibri" w:cs="Calibri"/>
                <w:color w:val="000000"/>
                <w:lang w:eastAsia="en-GB"/>
              </w:rPr>
              <w:t>29, paragraph 11A (introduced in DCP306)</w:t>
            </w:r>
          </w:p>
        </w:tc>
        <w:tc>
          <w:tcPr>
            <w:tcW w:w="1249" w:type="dxa"/>
            <w:shd w:val="clear" w:color="auto" w:fill="FFF2CC" w:themeFill="accent4" w:themeFillTint="33"/>
            <w:hideMark/>
          </w:tcPr>
          <w:p w14:paraId="7AB9B673" w14:textId="1FC70E91" w:rsidR="00646EBF" w:rsidRP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Interaction of Paragraph 11A with earlier paragraphs in Schedule 29</w:t>
            </w:r>
          </w:p>
        </w:tc>
        <w:tc>
          <w:tcPr>
            <w:tcW w:w="1410" w:type="dxa"/>
            <w:shd w:val="clear" w:color="auto" w:fill="FFF2CC" w:themeFill="accent4" w:themeFillTint="33"/>
            <w:hideMark/>
          </w:tcPr>
          <w:p w14:paraId="419950FD" w14:textId="26999307" w:rsidR="00646EBF" w:rsidRP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“Expenditure” sheet</w:t>
            </w:r>
          </w:p>
        </w:tc>
        <w:tc>
          <w:tcPr>
            <w:tcW w:w="2251" w:type="dxa"/>
            <w:shd w:val="clear" w:color="auto" w:fill="FFF2CC" w:themeFill="accent4" w:themeFillTint="33"/>
            <w:hideMark/>
          </w:tcPr>
          <w:p w14:paraId="31C4D373" w14:textId="429500C9" w:rsidR="00646EBF" w:rsidRP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It has been assumed that the direct allocation of LV services happens after the allocation to network levels within the RRP and after the allocation to network levels by MEAV. This assumes that the “Ofgem Licence Fees” input is a single value to be entered into Input 402-G rather than val</w:t>
            </w:r>
            <w:bookmarkStart w:id="0" w:name="_GoBack"/>
            <w:bookmarkEnd w:id="0"/>
            <w:r>
              <w:rPr>
                <w:rFonts w:ascii="Calibri" w:eastAsia="Times New Roman" w:hAnsi="Calibri" w:cs="Calibri"/>
                <w:color w:val="000000"/>
                <w:lang w:eastAsia="en-GB"/>
              </w:rPr>
              <w:t>ues which vary across voltage level to be entered into Input 402-H. It has therefore been assumed that Paragraph 11A is enacted within Paragraph 6, and that any subsequent mentions in Schedule 29 of allocated operating costs refer to those as allocated by Paragraph 6 and Paragraph 11A. This means that this part of the legal text is non-linear.</w:t>
            </w:r>
          </w:p>
        </w:tc>
        <w:tc>
          <w:tcPr>
            <w:tcW w:w="0" w:type="auto"/>
            <w:shd w:val="clear" w:color="auto" w:fill="000000" w:themeFill="text1"/>
            <w:noWrap/>
            <w:hideMark/>
          </w:tcPr>
          <w:p w14:paraId="66F0BEF0"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FFFFFF" w:themeFill="background1"/>
            <w:hideMark/>
          </w:tcPr>
          <w:p w14:paraId="3CD9E710"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FFFFFF" w:themeFill="background1"/>
            <w:hideMark/>
          </w:tcPr>
          <w:p w14:paraId="0E821D8B"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10" w:type="dxa"/>
            <w:shd w:val="clear" w:color="auto" w:fill="FFFFFF" w:themeFill="background1"/>
            <w:hideMark/>
          </w:tcPr>
          <w:p w14:paraId="30B410F9" w14:textId="3BBA5C9A" w:rsidR="00646EBF" w:rsidRP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PCD</w:t>
            </w:r>
            <w:r w:rsidR="00646EBF" w:rsidRPr="00646EBF">
              <w:rPr>
                <w:rFonts w:ascii="Calibri" w:eastAsia="Times New Roman" w:hAnsi="Calibri" w:cs="Calibri"/>
                <w:color w:val="000000"/>
                <w:lang w:eastAsia="en-GB"/>
              </w:rPr>
              <w:t>M - Housekeeping (minor)</w:t>
            </w:r>
          </w:p>
        </w:tc>
        <w:tc>
          <w:tcPr>
            <w:tcW w:w="1913" w:type="dxa"/>
            <w:shd w:val="clear" w:color="auto" w:fill="FFFFFF" w:themeFill="background1"/>
            <w:hideMark/>
          </w:tcPr>
          <w:p w14:paraId="06C84A60" w14:textId="77777777" w:rsid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Quick fix:</w:t>
            </w:r>
          </w:p>
          <w:p w14:paraId="4D64B6FB" w14:textId="77777777" w:rsidR="002D42C2"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Costs described in table 2.6 of the 2007/2008 RRP as “Ofgem Licence Fees” shall be: </w:t>
            </w:r>
            <w:r>
              <w:rPr>
                <w:rFonts w:ascii="Calibri" w:eastAsia="Times New Roman" w:hAnsi="Calibri" w:cs="Calibri"/>
                <w:i/>
                <w:iCs/>
                <w:color w:val="000000"/>
                <w:u w:val="single"/>
                <w:lang w:eastAsia="en-GB"/>
              </w:rPr>
              <w:t>input as a single value covering all voltage levels;</w:t>
            </w:r>
            <w:r>
              <w:rPr>
                <w:rFonts w:ascii="Calibri" w:eastAsia="Times New Roman" w:hAnsi="Calibri" w:cs="Calibri"/>
                <w:color w:val="000000"/>
                <w:lang w:eastAsia="en-GB"/>
              </w:rPr>
              <w:t xml:space="preserve"> 100% allocated directly to the LV services level </w:t>
            </w:r>
            <w:r>
              <w:rPr>
                <w:rFonts w:ascii="Calibri" w:eastAsia="Times New Roman" w:hAnsi="Calibri" w:cs="Calibri"/>
                <w:i/>
                <w:iCs/>
                <w:color w:val="000000"/>
                <w:u w:val="single"/>
                <w:lang w:eastAsia="en-GB"/>
              </w:rPr>
              <w:t xml:space="preserve">once all other costs have been allocated; </w:t>
            </w:r>
            <w:r>
              <w:rPr>
                <w:rFonts w:ascii="Calibri" w:eastAsia="Times New Roman" w:hAnsi="Calibri" w:cs="Calibri"/>
                <w:color w:val="000000"/>
                <w:lang w:eastAsia="en-GB"/>
              </w:rPr>
              <w:t>and treated as indirect costs.</w:t>
            </w:r>
          </w:p>
          <w:p w14:paraId="6072B063" w14:textId="77777777" w:rsidR="002D42C2" w:rsidRDefault="002D42C2" w:rsidP="00646EBF">
            <w:pPr>
              <w:spacing w:after="0" w:line="240" w:lineRule="auto"/>
              <w:rPr>
                <w:rFonts w:ascii="Calibri" w:eastAsia="Times New Roman" w:hAnsi="Calibri" w:cs="Calibri"/>
                <w:color w:val="000000"/>
                <w:lang w:eastAsia="en-GB"/>
              </w:rPr>
            </w:pPr>
          </w:p>
          <w:p w14:paraId="43480476" w14:textId="77777777" w:rsidR="002D42C2"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Longer term resolution:</w:t>
            </w:r>
          </w:p>
          <w:p w14:paraId="06FBF222" w14:textId="32CA329F" w:rsidR="002D42C2" w:rsidRPr="002D42C2"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Address legal text clauses surrounding the allocation rules table to flow more logically and be clear on how expectations should be dealt with.</w:t>
            </w:r>
          </w:p>
        </w:tc>
      </w:tr>
      <w:tr w:rsidR="00FB0B64" w:rsidRPr="00646EBF" w14:paraId="102ACA08" w14:textId="77777777" w:rsidTr="00FB0B64">
        <w:trPr>
          <w:trHeight w:val="900"/>
        </w:trPr>
        <w:tc>
          <w:tcPr>
            <w:tcW w:w="439" w:type="dxa"/>
            <w:shd w:val="clear" w:color="auto" w:fill="D9E2F3" w:themeFill="accent1" w:themeFillTint="33"/>
            <w:hideMark/>
          </w:tcPr>
          <w:p w14:paraId="49CA58FC"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15</w:t>
            </w:r>
          </w:p>
        </w:tc>
        <w:tc>
          <w:tcPr>
            <w:tcW w:w="0" w:type="auto"/>
            <w:shd w:val="clear" w:color="auto" w:fill="D9E2F3" w:themeFill="accent1" w:themeFillTint="33"/>
            <w:hideMark/>
          </w:tcPr>
          <w:p w14:paraId="72C48785" w14:textId="073892C9"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2D42C2">
              <w:rPr>
                <w:rFonts w:ascii="Calibri" w:eastAsia="Times New Roman" w:hAnsi="Calibri" w:cs="Calibri"/>
                <w:color w:val="000000"/>
                <w:lang w:eastAsia="en-GB"/>
              </w:rPr>
              <w:t>29, paragraph 11A (introduced in DCP 306</w:t>
            </w:r>
          </w:p>
        </w:tc>
        <w:tc>
          <w:tcPr>
            <w:tcW w:w="1249" w:type="dxa"/>
            <w:shd w:val="clear" w:color="auto" w:fill="D9E2F3" w:themeFill="accent1" w:themeFillTint="33"/>
            <w:hideMark/>
          </w:tcPr>
          <w:p w14:paraId="7890008F" w14:textId="0CE9371B" w:rsidR="00646EBF" w:rsidRP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Direct and Indirect costs within Paragraph 11A</w:t>
            </w:r>
          </w:p>
        </w:tc>
        <w:tc>
          <w:tcPr>
            <w:tcW w:w="1410" w:type="dxa"/>
            <w:shd w:val="clear" w:color="auto" w:fill="D9E2F3" w:themeFill="accent1" w:themeFillTint="33"/>
            <w:hideMark/>
          </w:tcPr>
          <w:p w14:paraId="477268E8" w14:textId="60C5D443" w:rsidR="00646EBF" w:rsidRP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“Direct” sheet</w:t>
            </w:r>
          </w:p>
        </w:tc>
        <w:tc>
          <w:tcPr>
            <w:tcW w:w="2251" w:type="dxa"/>
            <w:shd w:val="clear" w:color="auto" w:fill="D9E2F3" w:themeFill="accent1" w:themeFillTint="33"/>
            <w:hideMark/>
          </w:tcPr>
          <w:p w14:paraId="0B2F68F9" w14:textId="6CC2FA77" w:rsidR="00646EBF" w:rsidRP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It is assumed that the “direct cost indicators” for Ofgem licence fees is 0, but for all other non-activity costs it is 1. This means that the Ofgem licence fees are treated as an indirect cost, and the other non-activity costs are treated as direct costs. This assumes that, within this part of the legal text, references to expenditure being “directly allocated” refer to direct allocation to LV services in the context of paragraph 6, rather than direct and indirect costs in the context of Paragraph 29-32. Paragraph 11A explicitly specifies that Ofgem licence fees are treated as indirect costs and therefore the indicator is 0. As the legal text does not specify the direct cost indicator for the other costs, this has assumed to be 1, as this is consistent with </w:t>
            </w:r>
            <w:r>
              <w:rPr>
                <w:rFonts w:ascii="Calibri" w:eastAsia="Times New Roman" w:hAnsi="Calibri" w:cs="Calibri"/>
                <w:color w:val="000000"/>
                <w:lang w:eastAsia="en-GB"/>
              </w:rPr>
              <w:lastRenderedPageBreak/>
              <w:t>the previous versions of the legal text.</w:t>
            </w:r>
            <w:r w:rsidR="00646EBF" w:rsidRPr="00646EBF">
              <w:rPr>
                <w:rFonts w:ascii="Calibri" w:eastAsia="Times New Roman" w:hAnsi="Calibri" w:cs="Calibri"/>
                <w:color w:val="000000"/>
                <w:lang w:eastAsia="en-GB"/>
              </w:rPr>
              <w:t xml:space="preserve"> </w:t>
            </w:r>
          </w:p>
        </w:tc>
        <w:tc>
          <w:tcPr>
            <w:tcW w:w="0" w:type="auto"/>
            <w:shd w:val="clear" w:color="auto" w:fill="000000" w:themeFill="text1"/>
            <w:noWrap/>
            <w:hideMark/>
          </w:tcPr>
          <w:p w14:paraId="34DAC005"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632" w:type="dxa"/>
            <w:shd w:val="clear" w:color="auto" w:fill="D9E2F3" w:themeFill="accent1" w:themeFillTint="33"/>
            <w:hideMark/>
          </w:tcPr>
          <w:p w14:paraId="4705560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37" w:type="dxa"/>
            <w:shd w:val="clear" w:color="auto" w:fill="D9E2F3" w:themeFill="accent1" w:themeFillTint="33"/>
            <w:hideMark/>
          </w:tcPr>
          <w:p w14:paraId="32C359E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10" w:type="dxa"/>
            <w:shd w:val="clear" w:color="auto" w:fill="D9E2F3" w:themeFill="accent1" w:themeFillTint="33"/>
            <w:hideMark/>
          </w:tcPr>
          <w:p w14:paraId="0B5D1F08" w14:textId="291175F2" w:rsidR="00646EBF" w:rsidRP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PCDM </w:t>
            </w:r>
            <w:r w:rsidR="00646EBF" w:rsidRPr="00646EBF">
              <w:rPr>
                <w:rFonts w:ascii="Calibri" w:eastAsia="Times New Roman" w:hAnsi="Calibri" w:cs="Calibri"/>
                <w:color w:val="000000"/>
                <w:lang w:eastAsia="en-GB"/>
              </w:rPr>
              <w:t>- Housekeeping (minor)</w:t>
            </w:r>
          </w:p>
        </w:tc>
        <w:tc>
          <w:tcPr>
            <w:tcW w:w="1913" w:type="dxa"/>
            <w:shd w:val="clear" w:color="auto" w:fill="D9E2F3" w:themeFill="accent1" w:themeFillTint="33"/>
            <w:hideMark/>
          </w:tcPr>
          <w:p w14:paraId="6604B6A1" w14:textId="77777777" w:rsidR="00646EBF"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clause 11A:</w:t>
            </w:r>
          </w:p>
          <w:p w14:paraId="57134DE1" w14:textId="77777777" w:rsidR="002D42C2" w:rsidRDefault="002D42C2" w:rsidP="00646EBF">
            <w:pPr>
              <w:spacing w:after="0" w:line="240" w:lineRule="auto"/>
              <w:rPr>
                <w:rFonts w:ascii="Calibri" w:eastAsia="Times New Roman" w:hAnsi="Calibri" w:cs="Calibri"/>
                <w:color w:val="000000"/>
                <w:lang w:eastAsia="en-GB"/>
              </w:rPr>
            </w:pPr>
          </w:p>
          <w:p w14:paraId="16A95472" w14:textId="77777777" w:rsidR="002D42C2" w:rsidRDefault="002D42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‘RRP costs described in the table at 6 above as “Non activity costs and reconciling amounts” shall be allocated as follows:</w:t>
            </w:r>
          </w:p>
          <w:p w14:paraId="1902A075" w14:textId="77777777" w:rsidR="002D42C2" w:rsidRDefault="002D42C2" w:rsidP="002D42C2">
            <w:pPr>
              <w:pStyle w:val="ListParagraph"/>
              <w:numPr>
                <w:ilvl w:val="0"/>
                <w:numId w:val="1"/>
              </w:num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Costs described in table 2.6 of the 2007/2008 RRP as “Ofgem licence fees” shall be 100% allocated directly </w:t>
            </w:r>
            <w:r w:rsidR="008744C9">
              <w:rPr>
                <w:rFonts w:ascii="Calibri" w:eastAsia="Times New Roman" w:hAnsi="Calibri" w:cs="Calibri"/>
                <w:color w:val="000000"/>
                <w:lang w:eastAsia="en-GB"/>
              </w:rPr>
              <w:t>to the LV services level and treated as indirect costs.</w:t>
            </w:r>
          </w:p>
          <w:p w14:paraId="0E7C3227" w14:textId="173EEAD7" w:rsidR="008744C9" w:rsidRPr="002D42C2" w:rsidRDefault="008744C9" w:rsidP="002D42C2">
            <w:pPr>
              <w:pStyle w:val="ListParagraph"/>
              <w:numPr>
                <w:ilvl w:val="0"/>
                <w:numId w:val="1"/>
              </w:numPr>
              <w:spacing w:after="0" w:line="240" w:lineRule="auto"/>
              <w:rPr>
                <w:rFonts w:ascii="Calibri" w:eastAsia="Times New Roman" w:hAnsi="Calibri" w:cs="Calibri"/>
                <w:color w:val="000000"/>
                <w:lang w:eastAsia="en-GB"/>
              </w:rPr>
            </w:pPr>
            <w:r>
              <w:rPr>
                <w:rFonts w:ascii="Calibri" w:eastAsia="Times New Roman" w:hAnsi="Calibri" w:cs="Calibri"/>
                <w:i/>
                <w:iCs/>
                <w:color w:val="000000"/>
                <w:u w:val="single"/>
                <w:lang w:eastAsia="en-GB"/>
              </w:rPr>
              <w:t>[NO]</w:t>
            </w:r>
            <w:r>
              <w:rPr>
                <w:rFonts w:ascii="Calibri" w:eastAsia="Times New Roman" w:hAnsi="Calibri" w:cs="Calibri"/>
                <w:color w:val="000000"/>
                <w:lang w:eastAsia="en-GB"/>
              </w:rPr>
              <w:t xml:space="preserve"> other costs shall </w:t>
            </w:r>
            <w:r>
              <w:rPr>
                <w:rFonts w:ascii="Calibri" w:eastAsia="Times New Roman" w:hAnsi="Calibri" w:cs="Calibri"/>
                <w:i/>
                <w:iCs/>
                <w:color w:val="000000"/>
                <w:lang w:eastAsia="en-GB"/>
              </w:rPr>
              <w:t>not</w:t>
            </w:r>
            <w:r>
              <w:rPr>
                <w:rFonts w:ascii="Calibri" w:eastAsia="Times New Roman" w:hAnsi="Calibri" w:cs="Calibri"/>
                <w:color w:val="000000"/>
                <w:lang w:eastAsia="en-GB"/>
              </w:rPr>
              <w:t xml:space="preserve"> be directly allocated </w:t>
            </w:r>
            <w:r>
              <w:rPr>
                <w:rFonts w:ascii="Calibri" w:eastAsia="Times New Roman" w:hAnsi="Calibri" w:cs="Calibri"/>
                <w:i/>
                <w:iCs/>
                <w:color w:val="000000"/>
                <w:lang w:eastAsia="en-GB"/>
              </w:rPr>
              <w:t>and will be treated as direct costs’</w:t>
            </w:r>
          </w:p>
        </w:tc>
      </w:tr>
    </w:tbl>
    <w:p w14:paraId="4C87DE04" w14:textId="7533114F" w:rsidR="002D42C2" w:rsidRDefault="002D42C2"/>
    <w:sectPr w:rsidR="002D42C2" w:rsidSect="00646EB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674582"/>
    <w:multiLevelType w:val="hybridMultilevel"/>
    <w:tmpl w:val="1A90505E"/>
    <w:lvl w:ilvl="0" w:tplc="29760B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EBF"/>
    <w:rsid w:val="000F7001"/>
    <w:rsid w:val="001927E8"/>
    <w:rsid w:val="001A4C3E"/>
    <w:rsid w:val="002D42C2"/>
    <w:rsid w:val="003E7B0E"/>
    <w:rsid w:val="0056186C"/>
    <w:rsid w:val="005D7185"/>
    <w:rsid w:val="00646EBF"/>
    <w:rsid w:val="006A684F"/>
    <w:rsid w:val="00707B5B"/>
    <w:rsid w:val="00825838"/>
    <w:rsid w:val="00833C01"/>
    <w:rsid w:val="00843236"/>
    <w:rsid w:val="008744C9"/>
    <w:rsid w:val="008C0313"/>
    <w:rsid w:val="009C4015"/>
    <w:rsid w:val="009F19F1"/>
    <w:rsid w:val="00BD66A1"/>
    <w:rsid w:val="00BE1D48"/>
    <w:rsid w:val="00C179AD"/>
    <w:rsid w:val="00C64D9F"/>
    <w:rsid w:val="00FA0366"/>
    <w:rsid w:val="00FB0B64"/>
    <w:rsid w:val="49C7D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4DD87"/>
  <w15:chartTrackingRefBased/>
  <w15:docId w15:val="{6CC2D8ED-BB2A-433F-B96C-0A898C2A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7B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B0E"/>
    <w:rPr>
      <w:rFonts w:ascii="Segoe UI" w:hAnsi="Segoe UI" w:cs="Segoe UI"/>
      <w:sz w:val="18"/>
      <w:szCs w:val="18"/>
    </w:rPr>
  </w:style>
  <w:style w:type="paragraph" w:styleId="ListParagraph">
    <w:name w:val="List Paragraph"/>
    <w:basedOn w:val="Normal"/>
    <w:uiPriority w:val="34"/>
    <w:qFormat/>
    <w:rsid w:val="002D42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79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7A2D9396799F458E7ED7341D4BC8DE" ma:contentTypeVersion="3" ma:contentTypeDescription="Create a new document." ma:contentTypeScope="" ma:versionID="ff009b389d767e6f20c8bf32f1cdfb69">
  <xsd:schema xmlns:xsd="http://www.w3.org/2001/XMLSchema" xmlns:xs="http://www.w3.org/2001/XMLSchema" xmlns:p="http://schemas.microsoft.com/office/2006/metadata/properties" xmlns:ns2="5779e73f-c2fc-4a8d-9b4e-0ee89ca28766" targetNamespace="http://schemas.microsoft.com/office/2006/metadata/properties" ma:root="true" ma:fieldsID="682970ed647e7549999b7064af1bcf44" ns2:_="">
    <xsd:import namespace="5779e73f-c2fc-4a8d-9b4e-0ee89ca28766"/>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9e73f-c2fc-4a8d-9b4e-0ee89ca28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5DF3F-C9FC-4270-B728-ADF02BCD9753}">
  <ds:schemaRefs>
    <ds:schemaRef ds:uri="http://schemas.microsoft.com/sharepoint/v3/contenttype/forms"/>
  </ds:schemaRefs>
</ds:datastoreItem>
</file>

<file path=customXml/itemProps2.xml><?xml version="1.0" encoding="utf-8"?>
<ds:datastoreItem xmlns:ds="http://schemas.openxmlformats.org/officeDocument/2006/customXml" ds:itemID="{0695C27B-7923-4A88-AEF4-2FEE6232C4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08A3DC-FB3C-4607-AED6-40249AEEC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9e73f-c2fc-4a8d-9b4e-0ee89ca28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1720</Words>
  <Characters>9808</Characters>
  <Application>Microsoft Office Word</Application>
  <DocSecurity>0</DocSecurity>
  <Lines>81</Lines>
  <Paragraphs>23</Paragraphs>
  <ScaleCrop>false</ScaleCrop>
  <Company/>
  <LinksUpToDate>false</LinksUpToDate>
  <CharactersWithSpaces>11505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3</cp:revision>
  <dcterms:created xsi:type="dcterms:W3CDTF">2020-01-06T18:18:00Z</dcterms:created>
  <dcterms:modified xsi:type="dcterms:W3CDTF">2020-01-06T18:26:00Z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0x010100B17A2D9396799F458E7ED7341D4BC8DE</vt:lpwstr>
  </property>
</Properties>
</file>