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381"/>
        <w:gridCol w:w="1466"/>
        <w:gridCol w:w="1388"/>
        <w:gridCol w:w="2894"/>
        <w:gridCol w:w="222"/>
        <w:gridCol w:w="705"/>
        <w:gridCol w:w="1485"/>
        <w:gridCol w:w="2463"/>
        <w:gridCol w:w="3025"/>
      </w:tblGrid>
      <w:tr w:rsidR="00646EBF" w:rsidRPr="00646EBF" w14:paraId="35F95DF4" w14:textId="77777777" w:rsidTr="49C7D27B">
        <w:trPr>
          <w:trHeight w:val="423"/>
        </w:trPr>
        <w:tc>
          <w:tcPr>
            <w:tcW w:w="15535" w:type="dxa"/>
            <w:gridSpan w:val="10"/>
            <w:shd w:val="clear" w:color="auto" w:fill="4B86CD"/>
            <w:noWrap/>
            <w:hideMark/>
          </w:tcPr>
          <w:p w14:paraId="75033625" w14:textId="77777777" w:rsidR="00646EBF" w:rsidRPr="00646EBF" w:rsidRDefault="00646EBF" w:rsidP="00646EBF">
            <w:pPr>
              <w:spacing w:after="0" w:line="240" w:lineRule="auto"/>
              <w:rPr>
                <w:rFonts w:ascii="Calibri" w:eastAsia="Times New Roman" w:hAnsi="Calibri" w:cs="Calibri"/>
                <w:b/>
                <w:bCs/>
                <w:color w:val="FFFFFF"/>
                <w:lang w:eastAsia="en-GB"/>
              </w:rPr>
            </w:pPr>
            <w:r>
              <w:rPr>
                <w:rFonts w:ascii="Calibri" w:eastAsia="Times New Roman" w:hAnsi="Calibri" w:cs="Calibri"/>
                <w:b/>
                <w:bCs/>
                <w:color w:val="FFFFFF"/>
                <w:lang w:eastAsia="en-GB"/>
              </w:rPr>
              <w:t>Assumptions</w:t>
            </w:r>
          </w:p>
        </w:tc>
      </w:tr>
      <w:tr w:rsidR="007D6373" w:rsidRPr="00646EBF" w14:paraId="6CE5E70E" w14:textId="77777777" w:rsidTr="00BA0C9C">
        <w:trPr>
          <w:trHeight w:val="117"/>
        </w:trPr>
        <w:tc>
          <w:tcPr>
            <w:tcW w:w="506" w:type="dxa"/>
            <w:shd w:val="clear" w:color="auto" w:fill="auto"/>
            <w:noWrap/>
            <w:hideMark/>
          </w:tcPr>
          <w:p w14:paraId="3A962A9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0" w:type="auto"/>
            <w:shd w:val="clear" w:color="auto" w:fill="auto"/>
            <w:noWrap/>
            <w:hideMark/>
          </w:tcPr>
          <w:p w14:paraId="2DEBB6BF"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415" w:type="dxa"/>
            <w:shd w:val="clear" w:color="auto" w:fill="auto"/>
            <w:noWrap/>
            <w:hideMark/>
          </w:tcPr>
          <w:p w14:paraId="46CE8E76"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388" w:type="dxa"/>
            <w:shd w:val="clear" w:color="auto" w:fill="auto"/>
            <w:noWrap/>
            <w:hideMark/>
          </w:tcPr>
          <w:p w14:paraId="7D3C0CDF"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2894" w:type="dxa"/>
            <w:shd w:val="clear" w:color="auto" w:fill="auto"/>
            <w:noWrap/>
            <w:hideMark/>
          </w:tcPr>
          <w:p w14:paraId="03C6B636"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0" w:type="auto"/>
            <w:shd w:val="clear" w:color="auto" w:fill="auto"/>
            <w:noWrap/>
            <w:hideMark/>
          </w:tcPr>
          <w:p w14:paraId="7948D802"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705" w:type="dxa"/>
            <w:shd w:val="clear" w:color="auto" w:fill="auto"/>
            <w:noWrap/>
            <w:hideMark/>
          </w:tcPr>
          <w:p w14:paraId="7A93ACE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316" w:type="dxa"/>
            <w:shd w:val="clear" w:color="auto" w:fill="auto"/>
            <w:noWrap/>
            <w:hideMark/>
          </w:tcPr>
          <w:p w14:paraId="0E5BF9CD"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2463" w:type="dxa"/>
            <w:shd w:val="clear" w:color="auto" w:fill="auto"/>
            <w:noWrap/>
            <w:hideMark/>
          </w:tcPr>
          <w:p w14:paraId="798ADAA7"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3025" w:type="dxa"/>
            <w:shd w:val="clear" w:color="auto" w:fill="auto"/>
            <w:noWrap/>
            <w:hideMark/>
          </w:tcPr>
          <w:p w14:paraId="5EF326D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r>
      <w:tr w:rsidR="00BA0C9C" w:rsidRPr="00646EBF" w14:paraId="39B84E10" w14:textId="77777777" w:rsidTr="00BA0C9C">
        <w:trPr>
          <w:trHeight w:val="900"/>
        </w:trPr>
        <w:tc>
          <w:tcPr>
            <w:tcW w:w="506" w:type="dxa"/>
            <w:shd w:val="clear" w:color="auto" w:fill="4B86CD"/>
            <w:vAlign w:val="center"/>
            <w:hideMark/>
          </w:tcPr>
          <w:p w14:paraId="4ADDE2DF" w14:textId="77777777" w:rsidR="00646EBF" w:rsidRPr="00646EBF" w:rsidRDefault="00646EBF" w:rsidP="00646EBF">
            <w:pPr>
              <w:spacing w:after="0" w:line="240" w:lineRule="auto"/>
              <w:jc w:val="right"/>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ID</w:t>
            </w:r>
          </w:p>
        </w:tc>
        <w:tc>
          <w:tcPr>
            <w:tcW w:w="0" w:type="auto"/>
            <w:shd w:val="clear" w:color="auto" w:fill="4B86CD"/>
            <w:vAlign w:val="center"/>
            <w:hideMark/>
          </w:tcPr>
          <w:p w14:paraId="3D55564F"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DCUSA text reference</w:t>
            </w:r>
          </w:p>
        </w:tc>
        <w:tc>
          <w:tcPr>
            <w:tcW w:w="1415" w:type="dxa"/>
            <w:shd w:val="clear" w:color="auto" w:fill="4B86CD"/>
            <w:vAlign w:val="center"/>
            <w:hideMark/>
          </w:tcPr>
          <w:p w14:paraId="0DDCF19D"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Assumption</w:t>
            </w:r>
          </w:p>
        </w:tc>
        <w:tc>
          <w:tcPr>
            <w:tcW w:w="1388" w:type="dxa"/>
            <w:shd w:val="clear" w:color="auto" w:fill="4B86CD"/>
            <w:vAlign w:val="center"/>
            <w:hideMark/>
          </w:tcPr>
          <w:p w14:paraId="702DD080"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Worksheet reference</w:t>
            </w:r>
          </w:p>
        </w:tc>
        <w:tc>
          <w:tcPr>
            <w:tcW w:w="2894" w:type="dxa"/>
            <w:shd w:val="clear" w:color="auto" w:fill="4B86CD"/>
            <w:vAlign w:val="center"/>
            <w:hideMark/>
          </w:tcPr>
          <w:p w14:paraId="28A4AEBF"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Description</w:t>
            </w:r>
          </w:p>
        </w:tc>
        <w:tc>
          <w:tcPr>
            <w:tcW w:w="0" w:type="auto"/>
            <w:shd w:val="clear" w:color="auto" w:fill="000000" w:themeFill="text1"/>
            <w:noWrap/>
            <w:vAlign w:val="center"/>
            <w:hideMark/>
          </w:tcPr>
          <w:p w14:paraId="50D08CC2" w14:textId="77777777" w:rsidR="00646EBF" w:rsidRPr="00646EBF" w:rsidRDefault="00646EBF" w:rsidP="00646EBF">
            <w:pPr>
              <w:spacing w:after="0" w:line="240" w:lineRule="auto"/>
              <w:rPr>
                <w:rFonts w:ascii="Calibri" w:eastAsia="Times New Roman" w:hAnsi="Calibri" w:cs="Calibri"/>
                <w:b/>
                <w:bCs/>
                <w:color w:val="FFFFFF"/>
                <w:lang w:eastAsia="en-GB"/>
              </w:rPr>
            </w:pPr>
          </w:p>
        </w:tc>
        <w:tc>
          <w:tcPr>
            <w:tcW w:w="705" w:type="dxa"/>
            <w:shd w:val="clear" w:color="auto" w:fill="4B86CD"/>
            <w:vAlign w:val="center"/>
            <w:hideMark/>
          </w:tcPr>
          <w:p w14:paraId="6BB4D13B"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Type</w:t>
            </w:r>
          </w:p>
        </w:tc>
        <w:tc>
          <w:tcPr>
            <w:tcW w:w="1316" w:type="dxa"/>
            <w:shd w:val="clear" w:color="auto" w:fill="4B86CD"/>
            <w:vAlign w:val="center"/>
            <w:hideMark/>
          </w:tcPr>
          <w:p w14:paraId="12CBADB6"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Justification</w:t>
            </w:r>
          </w:p>
        </w:tc>
        <w:tc>
          <w:tcPr>
            <w:tcW w:w="2463" w:type="dxa"/>
            <w:shd w:val="clear" w:color="auto" w:fill="4B86CD"/>
            <w:vAlign w:val="center"/>
            <w:hideMark/>
          </w:tcPr>
          <w:p w14:paraId="2AD3DA89"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Grouping</w:t>
            </w:r>
          </w:p>
        </w:tc>
        <w:tc>
          <w:tcPr>
            <w:tcW w:w="3025" w:type="dxa"/>
            <w:shd w:val="clear" w:color="auto" w:fill="4B86CD"/>
            <w:vAlign w:val="center"/>
            <w:hideMark/>
          </w:tcPr>
          <w:p w14:paraId="1C73952F"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Proposed Solution</w:t>
            </w:r>
          </w:p>
        </w:tc>
      </w:tr>
      <w:tr w:rsidR="00BA0C9C" w:rsidRPr="00646EBF" w14:paraId="4833017F" w14:textId="77777777" w:rsidTr="00050280">
        <w:trPr>
          <w:trHeight w:val="1800"/>
        </w:trPr>
        <w:tc>
          <w:tcPr>
            <w:tcW w:w="506" w:type="dxa"/>
            <w:shd w:val="clear" w:color="auto" w:fill="FFF2CC" w:themeFill="accent4" w:themeFillTint="33"/>
            <w:hideMark/>
          </w:tcPr>
          <w:p w14:paraId="6E9791E7"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w:t>
            </w:r>
          </w:p>
        </w:tc>
        <w:tc>
          <w:tcPr>
            <w:tcW w:w="0" w:type="auto"/>
            <w:shd w:val="clear" w:color="auto" w:fill="FFF2CC" w:themeFill="accent4" w:themeFillTint="33"/>
            <w:hideMark/>
          </w:tcPr>
          <w:p w14:paraId="47C53FCE" w14:textId="0D9BA163" w:rsidR="00646EBF" w:rsidRPr="00646EBF" w:rsidRDefault="00E932DB"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Schedules 17/18</w:t>
            </w:r>
          </w:p>
        </w:tc>
        <w:tc>
          <w:tcPr>
            <w:tcW w:w="1415" w:type="dxa"/>
            <w:shd w:val="clear" w:color="auto" w:fill="FFF2CC" w:themeFill="accent4" w:themeFillTint="33"/>
            <w:hideMark/>
          </w:tcPr>
          <w:p w14:paraId="752DA975" w14:textId="22D62F7C" w:rsidR="00646EBF" w:rsidRPr="00646EBF" w:rsidRDefault="00E932DB"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Outputs to other models</w:t>
            </w:r>
          </w:p>
        </w:tc>
        <w:tc>
          <w:tcPr>
            <w:tcW w:w="1388" w:type="dxa"/>
            <w:shd w:val="clear" w:color="auto" w:fill="FFF2CC" w:themeFill="accent4" w:themeFillTint="33"/>
            <w:hideMark/>
          </w:tcPr>
          <w:p w14:paraId="73CAF5B9" w14:textId="1DFEE70B" w:rsidR="00646EBF" w:rsidRPr="00646EBF" w:rsidRDefault="00E932DB"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CDCM; Outputs to other models</w:t>
            </w:r>
          </w:p>
        </w:tc>
        <w:tc>
          <w:tcPr>
            <w:tcW w:w="2894" w:type="dxa"/>
            <w:shd w:val="clear" w:color="auto" w:fill="FFF2CC" w:themeFill="accent4" w:themeFillTint="33"/>
            <w:hideMark/>
          </w:tcPr>
          <w:p w14:paraId="4C419CBD" w14:textId="2AD0D4FF" w:rsidR="00646EBF" w:rsidRPr="00646EBF" w:rsidRDefault="00E932DB"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16 does not define which parts of the CDCM should be taken as inputs to the EDCM and PCDM. Some of these inputs are defined in Schedules 17/18 – namely paragraphs 9.2 and 15.11 with respect to system simultaneous maximum load and the Diversity Allowance. Where are these defined, they are identified using table numbers from the existing models. We assume firstly that these table references will be updated in Schedules 17/18 to reflect the current table reference numbers, and secondly that the outputs exported to the EDCM and PCDM should match the outputs used by the existing models. For instance, system simultaneous maximum load should be exported to the EDCM before adjusting for standing charges (as per the existing CDCM table 2506) and not after adjusting for standing charges (as per existing CDCM table 2611)</w:t>
            </w:r>
            <w:r w:rsidR="00646EBF" w:rsidRPr="00646EBF">
              <w:rPr>
                <w:rFonts w:ascii="Calibri" w:eastAsia="Times New Roman" w:hAnsi="Calibri" w:cs="Calibri"/>
                <w:color w:val="000000"/>
                <w:lang w:eastAsia="en-GB"/>
              </w:rPr>
              <w:t xml:space="preserve"> </w:t>
            </w:r>
          </w:p>
        </w:tc>
        <w:tc>
          <w:tcPr>
            <w:tcW w:w="0" w:type="auto"/>
            <w:shd w:val="clear" w:color="auto" w:fill="000000" w:themeFill="text1"/>
            <w:noWrap/>
            <w:hideMark/>
          </w:tcPr>
          <w:p w14:paraId="0C26D31C"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FFFFFF" w:themeFill="background1"/>
            <w:hideMark/>
          </w:tcPr>
          <w:p w14:paraId="487D817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316" w:type="dxa"/>
            <w:shd w:val="clear" w:color="auto" w:fill="FFFFFF" w:themeFill="background1"/>
            <w:hideMark/>
          </w:tcPr>
          <w:p w14:paraId="11DD4140" w14:textId="64DC907E" w:rsidR="00646EBF" w:rsidRPr="00646EBF" w:rsidRDefault="00E932DB"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Legal text change required to use new model references</w:t>
            </w:r>
          </w:p>
        </w:tc>
        <w:tc>
          <w:tcPr>
            <w:tcW w:w="2463" w:type="dxa"/>
            <w:shd w:val="clear" w:color="auto" w:fill="FFFFFF" w:themeFill="background1"/>
            <w:hideMark/>
          </w:tcPr>
          <w:p w14:paraId="701CE780" w14:textId="76F77B89" w:rsidR="00646EBF" w:rsidRPr="00646EBF" w:rsidRDefault="00E932DB"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CDC</w:t>
            </w:r>
            <w:r w:rsidR="00646EBF" w:rsidRPr="00646EBF">
              <w:rPr>
                <w:rFonts w:ascii="Calibri" w:eastAsia="Times New Roman" w:hAnsi="Calibri" w:cs="Calibri"/>
                <w:color w:val="000000"/>
                <w:lang w:eastAsia="en-GB"/>
              </w:rPr>
              <w:t>M - Housekeeping (minor)</w:t>
            </w:r>
          </w:p>
        </w:tc>
        <w:tc>
          <w:tcPr>
            <w:tcW w:w="3025" w:type="dxa"/>
            <w:shd w:val="clear" w:color="auto" w:fill="FFFFFF" w:themeFill="background1"/>
            <w:hideMark/>
          </w:tcPr>
          <w:p w14:paraId="0EB0A35A" w14:textId="77777777" w:rsidR="00646EBF" w:rsidRDefault="00E932DB" w:rsidP="00646EBF">
            <w:pPr>
              <w:spacing w:after="0"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Quick Fix:</w:t>
            </w:r>
          </w:p>
          <w:p w14:paraId="2BDEA73A" w14:textId="77777777" w:rsidR="00E932DB" w:rsidRDefault="00E932DB"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Request CEPA/TNEI to update table references in the model to be used for 2020/21 charges to include the old table reference so that DNOs can still comply with the existing legal text (which specifies table references from the old model) when setting 2020/21 charges.</w:t>
            </w:r>
          </w:p>
          <w:p w14:paraId="0B1B0B35" w14:textId="77777777" w:rsidR="00E932DB" w:rsidRDefault="00E932DB" w:rsidP="00646EBF">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This requires the ‘System peak load, all unit rates, total’ in CDCM model section 106-c to include in its reference table number 2506, and the </w:t>
            </w:r>
            <w:r>
              <w:rPr>
                <w:rFonts w:ascii="Calibri" w:eastAsia="Times New Roman" w:hAnsi="Calibri" w:cs="Calibri"/>
                <w:i/>
                <w:iCs/>
                <w:color w:val="000000"/>
                <w:u w:val="single"/>
                <w:lang w:eastAsia="en-GB"/>
              </w:rPr>
              <w:t>‘Adjusted network model cumulative diversity factor’ in CDCM model section 102-A to include in its reference table number 2611.</w:t>
            </w:r>
          </w:p>
          <w:p w14:paraId="751130CE" w14:textId="77777777" w:rsidR="00E932DB" w:rsidRDefault="00E932DB" w:rsidP="00646EBF">
            <w:pPr>
              <w:spacing w:after="0"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Longer term solution:</w:t>
            </w:r>
          </w:p>
          <w:p w14:paraId="1FE9FCA2" w14:textId="42603413" w:rsidR="00E932DB" w:rsidRPr="00E932DB" w:rsidRDefault="00E932DB"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Define outputs to other models in CDCM legal text, and cross-reference these clauses of Schedules 17 and 19 to the new clauses in the CDCM</w:t>
            </w:r>
          </w:p>
        </w:tc>
      </w:tr>
      <w:tr w:rsidR="00BA0C9C" w:rsidRPr="00646EBF" w14:paraId="072917C3" w14:textId="77777777" w:rsidTr="00050280">
        <w:trPr>
          <w:trHeight w:val="900"/>
        </w:trPr>
        <w:tc>
          <w:tcPr>
            <w:tcW w:w="506" w:type="dxa"/>
            <w:shd w:val="clear" w:color="auto" w:fill="D9E2F3" w:themeFill="accent1" w:themeFillTint="33"/>
            <w:hideMark/>
          </w:tcPr>
          <w:p w14:paraId="67CD377B"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2</w:t>
            </w:r>
          </w:p>
        </w:tc>
        <w:tc>
          <w:tcPr>
            <w:tcW w:w="0" w:type="auto"/>
            <w:shd w:val="clear" w:color="auto" w:fill="D9E2F3" w:themeFill="accent1" w:themeFillTint="33"/>
            <w:hideMark/>
          </w:tcPr>
          <w:p w14:paraId="46D65B6D" w14:textId="33354C68" w:rsidR="00646EBF" w:rsidRPr="00646EBF" w:rsidRDefault="006A684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Schedule </w:t>
            </w:r>
            <w:r w:rsidR="006E09BF">
              <w:rPr>
                <w:rFonts w:ascii="Calibri" w:eastAsia="Times New Roman" w:hAnsi="Calibri" w:cs="Calibri"/>
                <w:color w:val="000000"/>
                <w:lang w:eastAsia="en-GB"/>
              </w:rPr>
              <w:t>17, Section 2</w:t>
            </w:r>
          </w:p>
        </w:tc>
        <w:tc>
          <w:tcPr>
            <w:tcW w:w="1415" w:type="dxa"/>
            <w:shd w:val="clear" w:color="auto" w:fill="D9E2F3" w:themeFill="accent1" w:themeFillTint="33"/>
            <w:hideMark/>
          </w:tcPr>
          <w:p w14:paraId="287E3419" w14:textId="0F7BA9EC"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FCP inputs</w:t>
            </w:r>
          </w:p>
        </w:tc>
        <w:tc>
          <w:tcPr>
            <w:tcW w:w="1388" w:type="dxa"/>
            <w:shd w:val="clear" w:color="auto" w:fill="D9E2F3" w:themeFill="accent1" w:themeFillTint="33"/>
            <w:hideMark/>
          </w:tcPr>
          <w:p w14:paraId="0CA17236" w14:textId="18F73607"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FCP inputs</w:t>
            </w:r>
          </w:p>
        </w:tc>
        <w:tc>
          <w:tcPr>
            <w:tcW w:w="2894" w:type="dxa"/>
            <w:shd w:val="clear" w:color="auto" w:fill="D9E2F3" w:themeFill="accent1" w:themeFillTint="33"/>
            <w:hideMark/>
          </w:tcPr>
          <w:p w14:paraId="28A72DE7" w14:textId="7F4C41B6"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is only relevant to the calculation of the power flow inputs.</w:t>
            </w:r>
          </w:p>
        </w:tc>
        <w:tc>
          <w:tcPr>
            <w:tcW w:w="0" w:type="auto"/>
            <w:shd w:val="clear" w:color="auto" w:fill="000000" w:themeFill="text1"/>
            <w:noWrap/>
            <w:hideMark/>
          </w:tcPr>
          <w:p w14:paraId="3098B7CF"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hideMark/>
          </w:tcPr>
          <w:p w14:paraId="6DD03F36" w14:textId="53D109BF"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hideMark/>
          </w:tcPr>
          <w:p w14:paraId="6915F19A" w14:textId="5A5EAFEB"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needed, correct assumption</w:t>
            </w:r>
            <w:r w:rsidR="0056186C">
              <w:rPr>
                <w:rFonts w:ascii="Calibri" w:eastAsia="Times New Roman" w:hAnsi="Calibri" w:cs="Calibri"/>
                <w:color w:val="000000"/>
                <w:lang w:eastAsia="en-GB"/>
              </w:rPr>
              <w:t xml:space="preserve"> </w:t>
            </w:r>
          </w:p>
        </w:tc>
        <w:tc>
          <w:tcPr>
            <w:tcW w:w="2463" w:type="dxa"/>
            <w:shd w:val="clear" w:color="auto" w:fill="D9E2F3" w:themeFill="accent1" w:themeFillTint="33"/>
            <w:hideMark/>
          </w:tcPr>
          <w:p w14:paraId="09E28BDF" w14:textId="368CE5D1"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hideMark/>
          </w:tcPr>
          <w:p w14:paraId="531CA534" w14:textId="5659483C" w:rsidR="0056186C" w:rsidRPr="0056186C" w:rsidRDefault="0056186C" w:rsidP="00646EBF">
            <w:pPr>
              <w:spacing w:after="0" w:line="240" w:lineRule="auto"/>
              <w:rPr>
                <w:rFonts w:ascii="Calibri" w:eastAsia="Times New Roman" w:hAnsi="Calibri" w:cs="Calibri"/>
                <w:i/>
                <w:iCs/>
                <w:color w:val="000000"/>
                <w:u w:val="single"/>
                <w:lang w:eastAsia="en-GB"/>
              </w:rPr>
            </w:pPr>
          </w:p>
        </w:tc>
      </w:tr>
      <w:tr w:rsidR="00BA0C9C" w:rsidRPr="00646EBF" w14:paraId="583ECFE5" w14:textId="77777777" w:rsidTr="00050280">
        <w:trPr>
          <w:trHeight w:val="900"/>
        </w:trPr>
        <w:tc>
          <w:tcPr>
            <w:tcW w:w="506" w:type="dxa"/>
            <w:shd w:val="clear" w:color="auto" w:fill="D9E2F3" w:themeFill="accent1" w:themeFillTint="33"/>
            <w:hideMark/>
          </w:tcPr>
          <w:p w14:paraId="4E813BED"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3</w:t>
            </w:r>
          </w:p>
        </w:tc>
        <w:tc>
          <w:tcPr>
            <w:tcW w:w="0" w:type="auto"/>
            <w:shd w:val="clear" w:color="auto" w:fill="D9E2F3" w:themeFill="accent1" w:themeFillTint="33"/>
            <w:hideMark/>
          </w:tcPr>
          <w:p w14:paraId="4EE4D3C1" w14:textId="2E971405"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Schedule </w:t>
            </w:r>
            <w:r w:rsidR="006E09BF">
              <w:rPr>
                <w:rFonts w:ascii="Calibri" w:eastAsia="Times New Roman" w:hAnsi="Calibri" w:cs="Calibri"/>
                <w:color w:val="000000"/>
                <w:lang w:eastAsia="en-GB"/>
              </w:rPr>
              <w:t>17</w:t>
            </w:r>
            <w:r w:rsidR="0056186C">
              <w:rPr>
                <w:rFonts w:ascii="Calibri" w:eastAsia="Times New Roman" w:hAnsi="Calibri" w:cs="Calibri"/>
                <w:color w:val="000000"/>
                <w:lang w:eastAsia="en-GB"/>
              </w:rPr>
              <w:t xml:space="preserve">, paragraph </w:t>
            </w:r>
            <w:r w:rsidR="006E09BF">
              <w:rPr>
                <w:rFonts w:ascii="Calibri" w:eastAsia="Times New Roman" w:hAnsi="Calibri" w:cs="Calibri"/>
                <w:color w:val="000000"/>
                <w:lang w:eastAsia="en-GB"/>
              </w:rPr>
              <w:t>6.2</w:t>
            </w:r>
          </w:p>
        </w:tc>
        <w:tc>
          <w:tcPr>
            <w:tcW w:w="1415" w:type="dxa"/>
            <w:shd w:val="clear" w:color="auto" w:fill="D9E2F3" w:themeFill="accent1" w:themeFillTint="33"/>
            <w:hideMark/>
          </w:tcPr>
          <w:p w14:paraId="3B9C7917" w14:textId="60336EFE"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Power flow inputs</w:t>
            </w:r>
          </w:p>
        </w:tc>
        <w:tc>
          <w:tcPr>
            <w:tcW w:w="1388" w:type="dxa"/>
            <w:shd w:val="clear" w:color="auto" w:fill="D9E2F3" w:themeFill="accent1" w:themeFillTint="33"/>
            <w:hideMark/>
          </w:tcPr>
          <w:p w14:paraId="7CDE495C" w14:textId="4FB73277"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FCP inputs</w:t>
            </w:r>
          </w:p>
        </w:tc>
        <w:tc>
          <w:tcPr>
            <w:tcW w:w="2894" w:type="dxa"/>
            <w:shd w:val="clear" w:color="auto" w:fill="D9E2F3" w:themeFill="accent1" w:themeFillTint="33"/>
            <w:hideMark/>
          </w:tcPr>
          <w:p w14:paraId="76B13EBD" w14:textId="6B34DCD7"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demand flows are entered as a negative value and that generation flows are entered as a positive value.</w:t>
            </w:r>
            <w:r w:rsidR="00646EBF" w:rsidRPr="00646EBF">
              <w:rPr>
                <w:rFonts w:ascii="Calibri" w:eastAsia="Times New Roman" w:hAnsi="Calibri" w:cs="Calibri"/>
                <w:color w:val="000000"/>
                <w:lang w:eastAsia="en-GB"/>
              </w:rPr>
              <w:t xml:space="preserve"> </w:t>
            </w:r>
          </w:p>
        </w:tc>
        <w:tc>
          <w:tcPr>
            <w:tcW w:w="0" w:type="auto"/>
            <w:shd w:val="clear" w:color="auto" w:fill="000000" w:themeFill="text1"/>
            <w:noWrap/>
            <w:hideMark/>
          </w:tcPr>
          <w:p w14:paraId="08C0BD4B"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hideMark/>
          </w:tcPr>
          <w:p w14:paraId="652A979F" w14:textId="6167A711"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hideMark/>
          </w:tcPr>
          <w:p w14:paraId="2E07A380" w14:textId="5DA21AC2"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needed, correct assumption. Note – we have suggested a change for LRIC but not FCP. Don’t think it matters in FCP as there is no reference to demand or generation dominance in this paragraph, where in LRIC there is.</w:t>
            </w:r>
          </w:p>
        </w:tc>
        <w:tc>
          <w:tcPr>
            <w:tcW w:w="2463" w:type="dxa"/>
            <w:shd w:val="clear" w:color="auto" w:fill="D9E2F3" w:themeFill="accent1" w:themeFillTint="33"/>
            <w:hideMark/>
          </w:tcPr>
          <w:p w14:paraId="76183F30" w14:textId="34B2BEE7" w:rsidR="00646EBF" w:rsidRPr="00646EBF" w:rsidRDefault="006E09B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hideMark/>
          </w:tcPr>
          <w:p w14:paraId="1B3CFE8A" w14:textId="3A350050" w:rsidR="00646EBF" w:rsidRPr="00646EBF" w:rsidRDefault="00646EBF" w:rsidP="00646EBF">
            <w:pPr>
              <w:spacing w:after="0" w:line="240" w:lineRule="auto"/>
              <w:rPr>
                <w:rFonts w:ascii="Calibri" w:eastAsia="Times New Roman" w:hAnsi="Calibri" w:cs="Calibri"/>
                <w:color w:val="000000"/>
                <w:lang w:eastAsia="en-GB"/>
              </w:rPr>
            </w:pPr>
          </w:p>
        </w:tc>
      </w:tr>
      <w:tr w:rsidR="00BA0C9C" w:rsidRPr="00646EBF" w14:paraId="2DB926AF" w14:textId="77777777" w:rsidTr="00050280">
        <w:trPr>
          <w:trHeight w:val="1500"/>
        </w:trPr>
        <w:tc>
          <w:tcPr>
            <w:tcW w:w="506" w:type="dxa"/>
            <w:shd w:val="clear" w:color="auto" w:fill="FFF2CC" w:themeFill="accent4" w:themeFillTint="33"/>
            <w:hideMark/>
          </w:tcPr>
          <w:p w14:paraId="7CBA56FC"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4</w:t>
            </w:r>
          </w:p>
        </w:tc>
        <w:tc>
          <w:tcPr>
            <w:tcW w:w="0" w:type="auto"/>
            <w:shd w:val="clear" w:color="auto" w:fill="FFF2CC" w:themeFill="accent4" w:themeFillTint="33"/>
          </w:tcPr>
          <w:p w14:paraId="13A7F6BD" w14:textId="6E9562F4"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6.2</w:t>
            </w:r>
          </w:p>
        </w:tc>
        <w:tc>
          <w:tcPr>
            <w:tcW w:w="1415" w:type="dxa"/>
            <w:shd w:val="clear" w:color="auto" w:fill="FFF2CC" w:themeFill="accent4" w:themeFillTint="33"/>
          </w:tcPr>
          <w:p w14:paraId="2DB1676F" w14:textId="7BA290BF"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Generation and demand power flow inputs</w:t>
            </w:r>
          </w:p>
        </w:tc>
        <w:tc>
          <w:tcPr>
            <w:tcW w:w="1388" w:type="dxa"/>
            <w:shd w:val="clear" w:color="auto" w:fill="FFF2CC" w:themeFill="accent4" w:themeFillTint="33"/>
          </w:tcPr>
          <w:p w14:paraId="09D9DEB3" w14:textId="14A12F75"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Charge 1 (FCP)</w:t>
            </w:r>
          </w:p>
        </w:tc>
        <w:tc>
          <w:tcPr>
            <w:tcW w:w="2894" w:type="dxa"/>
            <w:shd w:val="clear" w:color="auto" w:fill="FFF2CC" w:themeFill="accent4" w:themeFillTint="33"/>
          </w:tcPr>
          <w:p w14:paraId="0641368C" w14:textId="6E64F616"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where generation and demand power flow inputs are entered separately, these should be added together before carrying out the calculations described.</w:t>
            </w:r>
          </w:p>
        </w:tc>
        <w:tc>
          <w:tcPr>
            <w:tcW w:w="0" w:type="auto"/>
            <w:shd w:val="clear" w:color="auto" w:fill="000000" w:themeFill="text1"/>
            <w:noWrap/>
          </w:tcPr>
          <w:p w14:paraId="0ED65135"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FFFFFF" w:themeFill="background1"/>
          </w:tcPr>
          <w:p w14:paraId="4EF62882" w14:textId="5C72C9CE" w:rsidR="00646EBF" w:rsidRPr="00646EBF" w:rsidRDefault="00646EBF" w:rsidP="00646EBF">
            <w:pPr>
              <w:spacing w:after="0" w:line="240" w:lineRule="auto"/>
              <w:rPr>
                <w:rFonts w:ascii="Calibri" w:eastAsia="Times New Roman" w:hAnsi="Calibri" w:cs="Calibri"/>
                <w:color w:val="000000"/>
                <w:lang w:eastAsia="en-GB"/>
              </w:rPr>
            </w:pPr>
          </w:p>
        </w:tc>
        <w:tc>
          <w:tcPr>
            <w:tcW w:w="1316" w:type="dxa"/>
            <w:shd w:val="clear" w:color="auto" w:fill="FFFFFF" w:themeFill="background1"/>
          </w:tcPr>
          <w:p w14:paraId="547CDD4A" w14:textId="4BA08937" w:rsidR="00646EBF" w:rsidRPr="00646EBF" w:rsidRDefault="00646EBF" w:rsidP="00646EBF">
            <w:pPr>
              <w:spacing w:after="0" w:line="240" w:lineRule="auto"/>
              <w:rPr>
                <w:rFonts w:ascii="Calibri" w:eastAsia="Times New Roman" w:hAnsi="Calibri" w:cs="Calibri"/>
                <w:color w:val="000000"/>
                <w:lang w:eastAsia="en-GB"/>
              </w:rPr>
            </w:pPr>
          </w:p>
        </w:tc>
        <w:tc>
          <w:tcPr>
            <w:tcW w:w="2463" w:type="dxa"/>
            <w:shd w:val="clear" w:color="auto" w:fill="FFFFFF" w:themeFill="background1"/>
          </w:tcPr>
          <w:p w14:paraId="55424675" w14:textId="2DEF2D10" w:rsidR="00646EBF" w:rsidRPr="00646EBF" w:rsidRDefault="00646EBF" w:rsidP="00646EBF">
            <w:pPr>
              <w:spacing w:after="0" w:line="240" w:lineRule="auto"/>
              <w:rPr>
                <w:rFonts w:ascii="Calibri" w:eastAsia="Times New Roman" w:hAnsi="Calibri" w:cs="Calibri"/>
                <w:color w:val="000000"/>
                <w:lang w:eastAsia="en-GB"/>
              </w:rPr>
            </w:pPr>
          </w:p>
        </w:tc>
        <w:tc>
          <w:tcPr>
            <w:tcW w:w="3025" w:type="dxa"/>
            <w:shd w:val="clear" w:color="auto" w:fill="FFFFFF" w:themeFill="background1"/>
          </w:tcPr>
          <w:p w14:paraId="6A95E9E4" w14:textId="41A69000" w:rsidR="00646EBF" w:rsidRPr="00646EBF" w:rsidRDefault="00646EBF" w:rsidP="00646EBF">
            <w:pPr>
              <w:spacing w:after="0" w:line="240" w:lineRule="auto"/>
              <w:rPr>
                <w:rFonts w:ascii="Calibri" w:eastAsia="Times New Roman" w:hAnsi="Calibri" w:cs="Calibri"/>
                <w:color w:val="000000"/>
                <w:lang w:eastAsia="en-GB"/>
              </w:rPr>
            </w:pPr>
          </w:p>
        </w:tc>
      </w:tr>
      <w:tr w:rsidR="00BA0C9C" w:rsidRPr="00646EBF" w14:paraId="2C11F1F6" w14:textId="77777777" w:rsidTr="00050280">
        <w:trPr>
          <w:trHeight w:val="900"/>
        </w:trPr>
        <w:tc>
          <w:tcPr>
            <w:tcW w:w="506" w:type="dxa"/>
            <w:shd w:val="clear" w:color="auto" w:fill="D9E2F3" w:themeFill="accent1" w:themeFillTint="33"/>
            <w:hideMark/>
          </w:tcPr>
          <w:p w14:paraId="330DE277"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5</w:t>
            </w:r>
          </w:p>
        </w:tc>
        <w:tc>
          <w:tcPr>
            <w:tcW w:w="0" w:type="auto"/>
            <w:shd w:val="clear" w:color="auto" w:fill="D9E2F3" w:themeFill="accent1" w:themeFillTint="33"/>
          </w:tcPr>
          <w:p w14:paraId="36B5AF5F" w14:textId="19114791"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6.2</w:t>
            </w:r>
          </w:p>
        </w:tc>
        <w:tc>
          <w:tcPr>
            <w:tcW w:w="1415" w:type="dxa"/>
            <w:shd w:val="clear" w:color="auto" w:fill="D9E2F3" w:themeFill="accent1" w:themeFillTint="33"/>
          </w:tcPr>
          <w:p w14:paraId="73159591" w14:textId="5B3C76A9"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Super-red rate calculation</w:t>
            </w:r>
          </w:p>
        </w:tc>
        <w:tc>
          <w:tcPr>
            <w:tcW w:w="1388" w:type="dxa"/>
            <w:shd w:val="clear" w:color="auto" w:fill="D9E2F3" w:themeFill="accent1" w:themeFillTint="33"/>
          </w:tcPr>
          <w:p w14:paraId="1E17D583" w14:textId="0AB4D624"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Charge 1 (FCP)</w:t>
            </w:r>
          </w:p>
        </w:tc>
        <w:tc>
          <w:tcPr>
            <w:tcW w:w="2894" w:type="dxa"/>
            <w:shd w:val="clear" w:color="auto" w:fill="D9E2F3" w:themeFill="accent1" w:themeFillTint="33"/>
          </w:tcPr>
          <w:p w14:paraId="1366C38E" w14:textId="0D395B04"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calculation of the super-red rate for all other connectees should have the open </w:t>
            </w:r>
            <w:r>
              <w:rPr>
                <w:rFonts w:ascii="Calibri" w:eastAsia="Times New Roman" w:hAnsi="Calibri" w:cs="Calibri"/>
                <w:color w:val="000000"/>
                <w:lang w:eastAsia="en-GB"/>
              </w:rPr>
              <w:lastRenderedPageBreak/>
              <w:t xml:space="preserve">brackets before the terms R1 and R2 removed. </w:t>
            </w:r>
          </w:p>
        </w:tc>
        <w:tc>
          <w:tcPr>
            <w:tcW w:w="0" w:type="auto"/>
            <w:shd w:val="clear" w:color="auto" w:fill="000000" w:themeFill="text1"/>
            <w:noWrap/>
          </w:tcPr>
          <w:p w14:paraId="6868E491"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1B15818B" w14:textId="2AE62C39"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2317766F" w14:textId="3FDD1F00"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562737FF" w14:textId="113D7B46"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Only) – Housekeeping (minor)</w:t>
            </w:r>
          </w:p>
        </w:tc>
        <w:tc>
          <w:tcPr>
            <w:tcW w:w="3025" w:type="dxa"/>
            <w:shd w:val="clear" w:color="auto" w:fill="D9E2F3" w:themeFill="accent1" w:themeFillTint="33"/>
          </w:tcPr>
          <w:p w14:paraId="19F29119" w14:textId="77777777" w:rsid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formula in clause 6.2 (after ‘For all other connectees’) to:</w:t>
            </w:r>
          </w:p>
          <w:p w14:paraId="399C09E7" w14:textId="1866095D" w:rsidR="007D6373" w:rsidRPr="00646EBF" w:rsidRDefault="007D6373" w:rsidP="00646EBF">
            <w:pPr>
              <w:spacing w:after="0" w:line="240" w:lineRule="auto"/>
              <w:rPr>
                <w:rFonts w:ascii="Calibri" w:eastAsia="Times New Roman" w:hAnsi="Calibri" w:cs="Calibri"/>
                <w:color w:val="000000"/>
                <w:lang w:eastAsia="en-GB"/>
              </w:rPr>
            </w:pPr>
            <w:r w:rsidRPr="007D6373">
              <w:rPr>
                <w:rFonts w:ascii="Calibri" w:eastAsia="Times New Roman" w:hAnsi="Calibri" w:cs="Calibri"/>
                <w:color w:val="000000"/>
                <w:lang w:eastAsia="en-GB"/>
              </w:rPr>
              <w:t>'</w:t>
            </w:r>
            <w:bookmarkStart w:id="0" w:name="_Hlk29224363"/>
            <w:r w:rsidRPr="007D6373">
              <w:rPr>
                <w:rFonts w:ascii="Calibri" w:eastAsia="Times New Roman" w:hAnsi="Calibri" w:cs="Calibri"/>
                <w:color w:val="000000"/>
                <w:lang w:eastAsia="en-GB"/>
              </w:rPr>
              <w:t>[p/kWh super-red rate] = [parent charge 1 £/kVA/</w:t>
            </w:r>
            <w:proofErr w:type="spellStart"/>
            <w:r w:rsidRPr="007D6373">
              <w:rPr>
                <w:rFonts w:ascii="Calibri" w:eastAsia="Times New Roman" w:hAnsi="Calibri" w:cs="Calibri"/>
                <w:color w:val="000000"/>
                <w:lang w:eastAsia="en-GB"/>
              </w:rPr>
              <w:t>yr</w:t>
            </w:r>
            <w:proofErr w:type="spellEnd"/>
            <w:r w:rsidRPr="007D6373">
              <w:rPr>
                <w:rFonts w:ascii="Calibri" w:eastAsia="Times New Roman" w:hAnsi="Calibri" w:cs="Calibri"/>
                <w:color w:val="000000"/>
                <w:lang w:eastAsia="en-GB"/>
              </w:rPr>
              <w:t xml:space="preserve">] * </w:t>
            </w:r>
            <w:r w:rsidRPr="007D6373">
              <w:rPr>
                <w:rFonts w:ascii="Calibri" w:eastAsia="Times New Roman" w:hAnsi="Calibri" w:cs="Calibri"/>
                <w:color w:val="000000"/>
                <w:lang w:eastAsia="en-GB"/>
              </w:rPr>
              <w:lastRenderedPageBreak/>
              <w:t xml:space="preserve">(abs[A1] – (R1 * [Average </w:t>
            </w:r>
            <w:proofErr w:type="spellStart"/>
            <w:r w:rsidRPr="007D6373">
              <w:rPr>
                <w:rFonts w:ascii="Calibri" w:eastAsia="Times New Roman" w:hAnsi="Calibri" w:cs="Calibri"/>
                <w:color w:val="000000"/>
                <w:lang w:eastAsia="en-GB"/>
              </w:rPr>
              <w:t>kVAr</w:t>
            </w:r>
            <w:proofErr w:type="spellEnd"/>
            <w:r w:rsidRPr="007D6373">
              <w:rPr>
                <w:rFonts w:ascii="Calibri" w:eastAsia="Times New Roman" w:hAnsi="Calibri" w:cs="Calibri"/>
                <w:color w:val="000000"/>
                <w:lang w:eastAsia="en-GB"/>
              </w:rPr>
              <w:t>/kVA] / [Average kW/kVA])) / (SQRT(A1^2 + R1^2)) / [Super-red hours] *100 + ([grandparent charge 1 £/kVA/</w:t>
            </w:r>
            <w:proofErr w:type="spellStart"/>
            <w:r w:rsidRPr="007D6373">
              <w:rPr>
                <w:rFonts w:ascii="Calibri" w:eastAsia="Times New Roman" w:hAnsi="Calibri" w:cs="Calibri"/>
                <w:color w:val="000000"/>
                <w:lang w:eastAsia="en-GB"/>
              </w:rPr>
              <w:t>yr</w:t>
            </w:r>
            <w:proofErr w:type="spellEnd"/>
            <w:r w:rsidRPr="007D6373">
              <w:rPr>
                <w:rFonts w:ascii="Calibri" w:eastAsia="Times New Roman" w:hAnsi="Calibri" w:cs="Calibri"/>
                <w:color w:val="000000"/>
                <w:lang w:eastAsia="en-GB"/>
              </w:rPr>
              <w:t xml:space="preserve">] * (abs[A2] – (R2 * [Average </w:t>
            </w:r>
            <w:proofErr w:type="spellStart"/>
            <w:r w:rsidRPr="007D6373">
              <w:rPr>
                <w:rFonts w:ascii="Calibri" w:eastAsia="Times New Roman" w:hAnsi="Calibri" w:cs="Calibri"/>
                <w:color w:val="000000"/>
                <w:lang w:eastAsia="en-GB"/>
              </w:rPr>
              <w:t>kVAr</w:t>
            </w:r>
            <w:proofErr w:type="spellEnd"/>
            <w:r w:rsidRPr="007D6373">
              <w:rPr>
                <w:rFonts w:ascii="Calibri" w:eastAsia="Times New Roman" w:hAnsi="Calibri" w:cs="Calibri"/>
                <w:color w:val="000000"/>
                <w:lang w:eastAsia="en-GB"/>
              </w:rPr>
              <w:t>/kVA] / [Average kW/kVA])) / (SQRT(A2^2 + R2^2)) / [Super-red hours] *100)</w:t>
            </w:r>
            <w:bookmarkEnd w:id="0"/>
            <w:r w:rsidRPr="007D6373">
              <w:rPr>
                <w:rFonts w:ascii="Calibri" w:eastAsia="Times New Roman" w:hAnsi="Calibri" w:cs="Calibri"/>
                <w:color w:val="000000"/>
                <w:lang w:eastAsia="en-GB"/>
              </w:rPr>
              <w:t>'</w:t>
            </w:r>
          </w:p>
        </w:tc>
      </w:tr>
      <w:tr w:rsidR="00BA0C9C" w:rsidRPr="00646EBF" w14:paraId="06DC16EB" w14:textId="77777777" w:rsidTr="00050280">
        <w:trPr>
          <w:trHeight w:val="1800"/>
        </w:trPr>
        <w:tc>
          <w:tcPr>
            <w:tcW w:w="506" w:type="dxa"/>
            <w:shd w:val="clear" w:color="auto" w:fill="FFF2CC" w:themeFill="accent4" w:themeFillTint="33"/>
            <w:hideMark/>
          </w:tcPr>
          <w:p w14:paraId="477C30BA"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6</w:t>
            </w:r>
          </w:p>
        </w:tc>
        <w:tc>
          <w:tcPr>
            <w:tcW w:w="0" w:type="auto"/>
            <w:shd w:val="clear" w:color="auto" w:fill="FFF2CC" w:themeFill="accent4" w:themeFillTint="33"/>
          </w:tcPr>
          <w:p w14:paraId="0266188E" w14:textId="35F1C447"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6.2</w:t>
            </w:r>
          </w:p>
        </w:tc>
        <w:tc>
          <w:tcPr>
            <w:tcW w:w="1415" w:type="dxa"/>
            <w:shd w:val="clear" w:color="auto" w:fill="FFF2CC" w:themeFill="accent4" w:themeFillTint="33"/>
          </w:tcPr>
          <w:p w14:paraId="21C8AFEB" w14:textId="34613D6F"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Negative contributions </w:t>
            </w:r>
          </w:p>
        </w:tc>
        <w:tc>
          <w:tcPr>
            <w:tcW w:w="1388" w:type="dxa"/>
            <w:shd w:val="clear" w:color="auto" w:fill="FFF2CC" w:themeFill="accent4" w:themeFillTint="33"/>
          </w:tcPr>
          <w:p w14:paraId="2B1183EC" w14:textId="542539B3" w:rsidR="00646EBF"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Charge 1 (FCP)</w:t>
            </w:r>
          </w:p>
        </w:tc>
        <w:tc>
          <w:tcPr>
            <w:tcW w:w="2894" w:type="dxa"/>
            <w:shd w:val="clear" w:color="auto" w:fill="FFF2CC" w:themeFill="accent4" w:themeFillTint="33"/>
          </w:tcPr>
          <w:p w14:paraId="59FEAC08" w14:textId="38268F20" w:rsidR="000F7001" w:rsidRPr="00646EBF" w:rsidRDefault="007D637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sentence “Any negative contributions </w:t>
            </w:r>
            <w:r w:rsidR="0069663D">
              <w:rPr>
                <w:rFonts w:ascii="Calibri" w:eastAsia="Times New Roman" w:hAnsi="Calibri" w:cs="Calibri"/>
                <w:color w:val="000000"/>
                <w:lang w:eastAsia="en-GB"/>
              </w:rPr>
              <w:t>to the [p/</w:t>
            </w:r>
            <w:proofErr w:type="spellStart"/>
            <w:r w:rsidR="0069663D">
              <w:rPr>
                <w:rFonts w:ascii="Calibri" w:eastAsia="Times New Roman" w:hAnsi="Calibri" w:cs="Calibri"/>
                <w:color w:val="000000"/>
                <w:lang w:eastAsia="en-GB"/>
              </w:rPr>
              <w:t>kVa</w:t>
            </w:r>
            <w:proofErr w:type="spellEnd"/>
            <w:r w:rsidR="0069663D">
              <w:rPr>
                <w:rFonts w:ascii="Calibri" w:eastAsia="Times New Roman" w:hAnsi="Calibri" w:cs="Calibri"/>
                <w:color w:val="000000"/>
                <w:lang w:eastAsia="en-GB"/>
              </w:rPr>
              <w:t>/day capacity charge] or the [p/kWh super-red rate] from the parent or the grandparent network groups are set to zero.” means that after calculating the network group, parent group and grandparent group elements of each charge, any of these that are negative are set to zero.</w:t>
            </w:r>
          </w:p>
        </w:tc>
        <w:tc>
          <w:tcPr>
            <w:tcW w:w="0" w:type="auto"/>
            <w:shd w:val="clear" w:color="auto" w:fill="000000" w:themeFill="text1"/>
            <w:noWrap/>
          </w:tcPr>
          <w:p w14:paraId="1A1A8AB2"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FFFFFF" w:themeFill="background1"/>
          </w:tcPr>
          <w:p w14:paraId="074795B3" w14:textId="1EA74D03" w:rsidR="00646EBF" w:rsidRPr="00646EBF" w:rsidRDefault="00646EBF" w:rsidP="00646EBF">
            <w:pPr>
              <w:spacing w:after="0" w:line="240" w:lineRule="auto"/>
              <w:rPr>
                <w:rFonts w:ascii="Calibri" w:eastAsia="Times New Roman" w:hAnsi="Calibri" w:cs="Calibri"/>
                <w:color w:val="000000"/>
                <w:lang w:eastAsia="en-GB"/>
              </w:rPr>
            </w:pPr>
          </w:p>
        </w:tc>
        <w:tc>
          <w:tcPr>
            <w:tcW w:w="1316" w:type="dxa"/>
            <w:shd w:val="clear" w:color="auto" w:fill="FFFFFF" w:themeFill="background1"/>
          </w:tcPr>
          <w:p w14:paraId="6046AEFF" w14:textId="25A3F97F" w:rsidR="00646EBF" w:rsidRPr="00646EBF" w:rsidRDefault="00646EBF" w:rsidP="00646EBF">
            <w:pPr>
              <w:spacing w:after="0" w:line="240" w:lineRule="auto"/>
              <w:rPr>
                <w:rFonts w:ascii="Calibri" w:eastAsia="Times New Roman" w:hAnsi="Calibri" w:cs="Calibri"/>
                <w:color w:val="000000"/>
                <w:lang w:eastAsia="en-GB"/>
              </w:rPr>
            </w:pPr>
          </w:p>
        </w:tc>
        <w:tc>
          <w:tcPr>
            <w:tcW w:w="2463" w:type="dxa"/>
            <w:shd w:val="clear" w:color="auto" w:fill="FFFFFF" w:themeFill="background1"/>
          </w:tcPr>
          <w:p w14:paraId="12B4449B" w14:textId="17AEBD61" w:rsidR="00646EBF" w:rsidRPr="00646EBF" w:rsidRDefault="00646EBF" w:rsidP="00646EBF">
            <w:pPr>
              <w:spacing w:after="0" w:line="240" w:lineRule="auto"/>
              <w:rPr>
                <w:rFonts w:ascii="Calibri" w:eastAsia="Times New Roman" w:hAnsi="Calibri" w:cs="Calibri"/>
                <w:color w:val="000000"/>
                <w:lang w:eastAsia="en-GB"/>
              </w:rPr>
            </w:pPr>
          </w:p>
        </w:tc>
        <w:tc>
          <w:tcPr>
            <w:tcW w:w="3025" w:type="dxa"/>
            <w:shd w:val="clear" w:color="auto" w:fill="FFFFFF" w:themeFill="background1"/>
          </w:tcPr>
          <w:p w14:paraId="28B8AB3A" w14:textId="2AE11350" w:rsidR="000F7001" w:rsidRPr="0069663D" w:rsidRDefault="000F7001" w:rsidP="00646EBF">
            <w:pPr>
              <w:spacing w:after="0" w:line="240" w:lineRule="auto"/>
              <w:rPr>
                <w:rFonts w:ascii="Calibri" w:eastAsia="Times New Roman" w:hAnsi="Calibri" w:cs="Calibri"/>
                <w:color w:val="000000"/>
                <w:u w:val="single"/>
                <w:lang w:eastAsia="en-GB"/>
              </w:rPr>
            </w:pPr>
          </w:p>
        </w:tc>
      </w:tr>
      <w:tr w:rsidR="00BA0C9C" w:rsidRPr="00646EBF" w14:paraId="013F854A" w14:textId="77777777" w:rsidTr="00050280">
        <w:trPr>
          <w:trHeight w:val="1800"/>
        </w:trPr>
        <w:tc>
          <w:tcPr>
            <w:tcW w:w="506" w:type="dxa"/>
            <w:shd w:val="clear" w:color="auto" w:fill="D9E2F3" w:themeFill="accent1" w:themeFillTint="33"/>
            <w:hideMark/>
          </w:tcPr>
          <w:p w14:paraId="4467E613"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7</w:t>
            </w:r>
          </w:p>
        </w:tc>
        <w:tc>
          <w:tcPr>
            <w:tcW w:w="0" w:type="auto"/>
            <w:shd w:val="clear" w:color="auto" w:fill="D9E2F3" w:themeFill="accent1" w:themeFillTint="33"/>
          </w:tcPr>
          <w:p w14:paraId="60F2434A" w14:textId="1637DB52"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8.3</w:t>
            </w:r>
          </w:p>
        </w:tc>
        <w:tc>
          <w:tcPr>
            <w:tcW w:w="1415" w:type="dxa"/>
            <w:shd w:val="clear" w:color="auto" w:fill="D9E2F3" w:themeFill="accent1" w:themeFillTint="33"/>
          </w:tcPr>
          <w:p w14:paraId="490C464C" w14:textId="33B1D100"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DSM adjustment</w:t>
            </w:r>
          </w:p>
        </w:tc>
        <w:tc>
          <w:tcPr>
            <w:tcW w:w="1388" w:type="dxa"/>
            <w:shd w:val="clear" w:color="auto" w:fill="D9E2F3" w:themeFill="accent1" w:themeFillTint="33"/>
          </w:tcPr>
          <w:p w14:paraId="76F1B855" w14:textId="0D20B35A"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Charge 1 (FCP), Import super-red</w:t>
            </w:r>
          </w:p>
        </w:tc>
        <w:tc>
          <w:tcPr>
            <w:tcW w:w="2894" w:type="dxa"/>
            <w:shd w:val="clear" w:color="auto" w:fill="D9E2F3" w:themeFill="accent1" w:themeFillTint="33"/>
          </w:tcPr>
          <w:p w14:paraId="32399635" w14:textId="5064D350"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DSM adjustment can be made to the charges as calculated in Schedule 17 Section 6, rather than to the “raw” FCP inputs in order to simplify the modelling. This is because the charges are ultimately linearly dependent on the FCP charge inputs.</w:t>
            </w:r>
          </w:p>
        </w:tc>
        <w:tc>
          <w:tcPr>
            <w:tcW w:w="0" w:type="auto"/>
            <w:shd w:val="clear" w:color="auto" w:fill="000000" w:themeFill="text1"/>
            <w:noWrap/>
          </w:tcPr>
          <w:p w14:paraId="66443682"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61EC0F76" w14:textId="591A6402"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tcPr>
          <w:p w14:paraId="381A13D5" w14:textId="716D405F"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needed; order of calculation in model and legal text does not align but with no impact on charges and so no need for change</w:t>
            </w:r>
          </w:p>
        </w:tc>
        <w:tc>
          <w:tcPr>
            <w:tcW w:w="2463" w:type="dxa"/>
            <w:shd w:val="clear" w:color="auto" w:fill="D9E2F3" w:themeFill="accent1" w:themeFillTint="33"/>
          </w:tcPr>
          <w:p w14:paraId="5B77B6C8" w14:textId="3678D84F"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tcPr>
          <w:p w14:paraId="1AABFFC9" w14:textId="2269E55B" w:rsidR="00646EBF" w:rsidRPr="00646EBF" w:rsidRDefault="00646EBF" w:rsidP="00646EBF">
            <w:pPr>
              <w:spacing w:after="0" w:line="240" w:lineRule="auto"/>
              <w:rPr>
                <w:rFonts w:ascii="Calibri" w:eastAsia="Times New Roman" w:hAnsi="Calibri" w:cs="Calibri"/>
                <w:color w:val="000000"/>
                <w:lang w:eastAsia="en-GB"/>
              </w:rPr>
            </w:pPr>
          </w:p>
        </w:tc>
      </w:tr>
      <w:tr w:rsidR="00BA0C9C" w:rsidRPr="00646EBF" w14:paraId="7EED67F6" w14:textId="77777777" w:rsidTr="00050280">
        <w:trPr>
          <w:trHeight w:val="3000"/>
        </w:trPr>
        <w:tc>
          <w:tcPr>
            <w:tcW w:w="506" w:type="dxa"/>
            <w:shd w:val="clear" w:color="auto" w:fill="D9E2F3" w:themeFill="accent1" w:themeFillTint="33"/>
            <w:hideMark/>
          </w:tcPr>
          <w:p w14:paraId="7CE90F71"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8</w:t>
            </w:r>
          </w:p>
        </w:tc>
        <w:tc>
          <w:tcPr>
            <w:tcW w:w="0" w:type="auto"/>
            <w:shd w:val="clear" w:color="auto" w:fill="D9E2F3" w:themeFill="accent1" w:themeFillTint="33"/>
          </w:tcPr>
          <w:p w14:paraId="14025EA9" w14:textId="4500286D"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8.3</w:t>
            </w:r>
          </w:p>
        </w:tc>
        <w:tc>
          <w:tcPr>
            <w:tcW w:w="1415" w:type="dxa"/>
            <w:shd w:val="clear" w:color="auto" w:fill="D9E2F3" w:themeFill="accent1" w:themeFillTint="33"/>
          </w:tcPr>
          <w:p w14:paraId="39F63B1B" w14:textId="32814DE7"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Super-red DSM adjustment</w:t>
            </w:r>
          </w:p>
        </w:tc>
        <w:tc>
          <w:tcPr>
            <w:tcW w:w="1388" w:type="dxa"/>
            <w:shd w:val="clear" w:color="auto" w:fill="D9E2F3" w:themeFill="accent1" w:themeFillTint="33"/>
          </w:tcPr>
          <w:p w14:paraId="3646601D" w14:textId="1667D1A3"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super-red</w:t>
            </w:r>
          </w:p>
        </w:tc>
        <w:tc>
          <w:tcPr>
            <w:tcW w:w="2894" w:type="dxa"/>
            <w:shd w:val="clear" w:color="auto" w:fill="D9E2F3" w:themeFill="accent1" w:themeFillTint="33"/>
          </w:tcPr>
          <w:p w14:paraId="44E20231" w14:textId="2479117D" w:rsidR="00843236"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DSM-adjusted remote (or parent and grandparent) element of the FCP charge 1 is applied to units consumed during the super-red time band” means that the super-red import charge is adjusted for DSM.</w:t>
            </w:r>
          </w:p>
        </w:tc>
        <w:tc>
          <w:tcPr>
            <w:tcW w:w="0" w:type="auto"/>
            <w:shd w:val="clear" w:color="auto" w:fill="000000" w:themeFill="text1"/>
            <w:noWrap/>
          </w:tcPr>
          <w:p w14:paraId="2D7ADA7C"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5D1C81DD" w14:textId="0517EF74"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29AEEBAE" w14:textId="0BFE912B"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3694375F" w14:textId="5A7D74C6" w:rsidR="00646EBF" w:rsidRPr="00646EBF" w:rsidRDefault="0069663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6F1D0416" w14:textId="76B3B4B2" w:rsidR="00646EBF" w:rsidRPr="005347BD" w:rsidRDefault="0069663D" w:rsidP="00646EBF">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Amend the last sentence of para 8.3: </w:t>
            </w:r>
            <w:r w:rsidR="005347BD">
              <w:rPr>
                <w:rFonts w:ascii="Calibri" w:eastAsia="Times New Roman" w:hAnsi="Calibri" w:cs="Calibri"/>
                <w:color w:val="000000"/>
                <w:lang w:eastAsia="en-GB"/>
              </w:rPr>
              <w:t xml:space="preserve">‘The DSM-adjusted local element of the FCP charge 1 is applied to the </w:t>
            </w:r>
            <w:r w:rsidR="005347BD">
              <w:rPr>
                <w:rFonts w:ascii="Calibri" w:eastAsia="Times New Roman" w:hAnsi="Calibri" w:cs="Calibri"/>
                <w:i/>
                <w:iCs/>
                <w:color w:val="000000"/>
                <w:u w:val="single"/>
                <w:lang w:eastAsia="en-GB"/>
              </w:rPr>
              <w:t xml:space="preserve">[Maximum] </w:t>
            </w:r>
            <w:r w:rsidR="005347BD">
              <w:rPr>
                <w:rFonts w:ascii="Calibri" w:eastAsia="Times New Roman" w:hAnsi="Calibri" w:cs="Calibri"/>
                <w:color w:val="000000"/>
                <w:lang w:eastAsia="en-GB"/>
              </w:rPr>
              <w:t xml:space="preserve">Import Capacity </w:t>
            </w:r>
            <w:r w:rsidR="005347BD">
              <w:rPr>
                <w:rFonts w:ascii="Calibri" w:eastAsia="Times New Roman" w:hAnsi="Calibri" w:cs="Calibri"/>
                <w:i/>
                <w:iCs/>
                <w:color w:val="000000"/>
                <w:u w:val="single"/>
                <w:lang w:eastAsia="en-GB"/>
              </w:rPr>
              <w:t xml:space="preserve">charge, </w:t>
            </w:r>
            <w:r w:rsidR="005347BD">
              <w:rPr>
                <w:rFonts w:ascii="Calibri" w:eastAsia="Times New Roman" w:hAnsi="Calibri" w:cs="Calibri"/>
                <w:color w:val="000000"/>
                <w:lang w:eastAsia="en-GB"/>
              </w:rPr>
              <w:t xml:space="preserve">and the DSM-adjusted remote (or parent and grandparent) element of the FCP charge 1 is applied to </w:t>
            </w:r>
            <w:r w:rsidR="005347BD">
              <w:rPr>
                <w:rFonts w:ascii="Calibri" w:eastAsia="Times New Roman" w:hAnsi="Calibri" w:cs="Calibri"/>
                <w:i/>
                <w:iCs/>
                <w:color w:val="000000"/>
                <w:u w:val="single"/>
                <w:lang w:eastAsia="en-GB"/>
              </w:rPr>
              <w:t xml:space="preserve">[units consumed during] </w:t>
            </w:r>
            <w:r w:rsidR="005347BD">
              <w:rPr>
                <w:rFonts w:ascii="Calibri" w:eastAsia="Times New Roman" w:hAnsi="Calibri" w:cs="Calibri"/>
                <w:color w:val="000000"/>
                <w:lang w:eastAsia="en-GB"/>
              </w:rPr>
              <w:t xml:space="preserve">the super-red </w:t>
            </w:r>
            <w:r w:rsidR="005347BD">
              <w:rPr>
                <w:rFonts w:ascii="Calibri" w:eastAsia="Times New Roman" w:hAnsi="Calibri" w:cs="Calibri"/>
                <w:i/>
                <w:iCs/>
                <w:color w:val="000000"/>
                <w:u w:val="single"/>
                <w:lang w:eastAsia="en-GB"/>
              </w:rPr>
              <w:t>unit rate [time band].’</w:t>
            </w:r>
          </w:p>
        </w:tc>
      </w:tr>
      <w:tr w:rsidR="00BA0C9C" w:rsidRPr="00646EBF" w14:paraId="2F8BF240" w14:textId="77777777" w:rsidTr="00050280">
        <w:trPr>
          <w:trHeight w:val="3000"/>
        </w:trPr>
        <w:tc>
          <w:tcPr>
            <w:tcW w:w="506" w:type="dxa"/>
            <w:shd w:val="clear" w:color="auto" w:fill="D9E2F3" w:themeFill="accent1" w:themeFillTint="33"/>
            <w:hideMark/>
          </w:tcPr>
          <w:p w14:paraId="74BA4E56" w14:textId="77777777" w:rsidR="00BA0C9C" w:rsidRPr="00646EBF" w:rsidRDefault="00BA0C9C"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9</w:t>
            </w:r>
          </w:p>
        </w:tc>
        <w:tc>
          <w:tcPr>
            <w:tcW w:w="0" w:type="auto"/>
            <w:shd w:val="clear" w:color="auto" w:fill="D9E2F3" w:themeFill="accent1" w:themeFillTint="33"/>
          </w:tcPr>
          <w:p w14:paraId="2A5C30C1" w14:textId="789D58F2"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9.2</w:t>
            </w:r>
          </w:p>
        </w:tc>
        <w:tc>
          <w:tcPr>
            <w:tcW w:w="1415" w:type="dxa"/>
            <w:shd w:val="clear" w:color="auto" w:fill="D9E2F3" w:themeFill="accent1" w:themeFillTint="33"/>
          </w:tcPr>
          <w:p w14:paraId="2DC72B2A" w14:textId="74E61F73"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Part-year adjustment</w:t>
            </w:r>
          </w:p>
        </w:tc>
        <w:tc>
          <w:tcPr>
            <w:tcW w:w="1388" w:type="dxa"/>
            <w:shd w:val="clear" w:color="auto" w:fill="D9E2F3" w:themeFill="accent1" w:themeFillTint="33"/>
          </w:tcPr>
          <w:p w14:paraId="4CCFB5EF" w14:textId="09868359"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Capacities Transmission</w:t>
            </w:r>
          </w:p>
        </w:tc>
        <w:tc>
          <w:tcPr>
            <w:tcW w:w="2894" w:type="dxa"/>
            <w:shd w:val="clear" w:color="auto" w:fill="D9E2F3" w:themeFill="accent1" w:themeFillTint="33"/>
          </w:tcPr>
          <w:p w14:paraId="57837D32" w14:textId="21230C9A"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adjustment for part-year referenced in this paragraph will apply to both the kW/</w:t>
            </w:r>
            <w:proofErr w:type="spellStart"/>
            <w:r>
              <w:rPr>
                <w:rFonts w:ascii="Calibri" w:eastAsia="Times New Roman" w:hAnsi="Calibri" w:cs="Calibri"/>
                <w:color w:val="000000"/>
                <w:lang w:eastAsia="en-GB"/>
              </w:rPr>
              <w:t>kVa</w:t>
            </w:r>
            <w:proofErr w:type="spellEnd"/>
            <w:r>
              <w:rPr>
                <w:rFonts w:ascii="Calibri" w:eastAsia="Times New Roman" w:hAnsi="Calibri" w:cs="Calibri"/>
                <w:color w:val="000000"/>
                <w:lang w:eastAsia="en-GB"/>
              </w:rPr>
              <w:t xml:space="preserve"> parameter and maximum import capacity.</w:t>
            </w:r>
          </w:p>
        </w:tc>
        <w:tc>
          <w:tcPr>
            <w:tcW w:w="0" w:type="auto"/>
            <w:shd w:val="clear" w:color="auto" w:fill="000000" w:themeFill="text1"/>
            <w:noWrap/>
          </w:tcPr>
          <w:p w14:paraId="6A66CC2A" w14:textId="77777777" w:rsidR="00BA0C9C" w:rsidRPr="00646EBF" w:rsidRDefault="00BA0C9C"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04B361C5" w14:textId="39EA41FD"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70BA755D" w14:textId="74FDD9B5"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3C3576D5" w14:textId="0E2F1746"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vMerge w:val="restart"/>
            <w:shd w:val="clear" w:color="auto" w:fill="D9E2F3" w:themeFill="accent1" w:themeFillTint="33"/>
          </w:tcPr>
          <w:p w14:paraId="60ABDF7B" w14:textId="77777777" w:rsidR="00BA0C9C" w:rsidRDefault="00BA0C9C" w:rsidP="49C7D27B">
            <w:pPr>
              <w:spacing w:after="0" w:line="240" w:lineRule="auto"/>
              <w:rPr>
                <w:rFonts w:ascii="Calibri" w:eastAsia="Times New Roman" w:hAnsi="Calibri" w:cs="Calibri"/>
                <w:color w:val="000000" w:themeColor="text1"/>
                <w:lang w:eastAsia="en-GB"/>
              </w:rPr>
            </w:pPr>
            <w:r>
              <w:rPr>
                <w:rFonts w:ascii="Calibri" w:eastAsia="Times New Roman" w:hAnsi="Calibri" w:cs="Calibri"/>
                <w:color w:val="000000" w:themeColor="text1"/>
                <w:lang w:eastAsia="en-GB"/>
              </w:rPr>
              <w:t>Amend definitions after para 9.2:</w:t>
            </w:r>
          </w:p>
          <w:p w14:paraId="7971F94C" w14:textId="77777777" w:rsidR="00BA0C9C" w:rsidRDefault="00BA0C9C" w:rsidP="49C7D27B">
            <w:pPr>
              <w:spacing w:after="0" w:line="240" w:lineRule="auto"/>
              <w:rPr>
                <w:rFonts w:ascii="Calibri" w:eastAsia="Times New Roman" w:hAnsi="Calibri" w:cs="Calibri"/>
                <w:color w:val="000000" w:themeColor="text1"/>
                <w:lang w:eastAsia="en-GB"/>
              </w:rPr>
            </w:pPr>
            <w:r>
              <w:rPr>
                <w:rFonts w:ascii="Calibri" w:eastAsia="Times New Roman" w:hAnsi="Calibri" w:cs="Calibri"/>
                <w:color w:val="000000" w:themeColor="text1"/>
                <w:lang w:eastAsia="en-GB"/>
              </w:rPr>
              <w:t xml:space="preserve">‘Total EDCM peak time consumption (in kW) calculated by multiplying: </w:t>
            </w:r>
          </w:p>
          <w:p w14:paraId="1A9DA9B3" w14:textId="77777777" w:rsidR="00BA0C9C" w:rsidRPr="00A1073D" w:rsidRDefault="00BA0C9C" w:rsidP="00A1073D">
            <w:pPr>
              <w:pStyle w:val="ListParagraph"/>
              <w:numPr>
                <w:ilvl w:val="0"/>
                <w:numId w:val="3"/>
              </w:numPr>
              <w:spacing w:after="0" w:line="240" w:lineRule="auto"/>
              <w:ind w:left="438" w:hanging="283"/>
              <w:rPr>
                <w:rFonts w:ascii="Calibri" w:eastAsia="Times New Roman" w:hAnsi="Calibri" w:cs="Calibri"/>
                <w:i/>
                <w:iCs/>
                <w:color w:val="000000" w:themeColor="text1"/>
                <w:u w:val="single"/>
                <w:lang w:eastAsia="en-GB"/>
              </w:rPr>
            </w:pPr>
            <w:r>
              <w:rPr>
                <w:rFonts w:ascii="Calibri" w:eastAsia="Times New Roman" w:hAnsi="Calibri" w:cs="Calibri"/>
                <w:color w:val="000000" w:themeColor="text1"/>
                <w:lang w:eastAsia="en-GB"/>
              </w:rPr>
              <w:t xml:space="preserve">The Maximum Import Capacity of each Connectee </w:t>
            </w:r>
            <w:r>
              <w:rPr>
                <w:rFonts w:ascii="Calibri" w:eastAsia="Times New Roman" w:hAnsi="Calibri" w:cs="Calibri"/>
                <w:i/>
                <w:iCs/>
                <w:color w:val="000000" w:themeColor="text1"/>
                <w:u w:val="single"/>
                <w:lang w:eastAsia="en-GB"/>
              </w:rPr>
              <w:t>(if necessary adjusted for Connectees connected for part of the Charging Year by multiplying by the proportion of the year for which the Connectee is expected to be connected)</w:t>
            </w:r>
            <w:r>
              <w:rPr>
                <w:rFonts w:ascii="Calibri" w:eastAsia="Times New Roman" w:hAnsi="Calibri" w:cs="Calibri"/>
                <w:color w:val="000000" w:themeColor="text1"/>
                <w:lang w:eastAsia="en-GB"/>
              </w:rPr>
              <w:t xml:space="preserve">; by </w:t>
            </w:r>
          </w:p>
          <w:p w14:paraId="6A1CA191" w14:textId="248F624B" w:rsidR="00BA0C9C" w:rsidRPr="00A1073D" w:rsidRDefault="00BA0C9C" w:rsidP="00A1073D">
            <w:pPr>
              <w:pStyle w:val="ListParagraph"/>
              <w:numPr>
                <w:ilvl w:val="0"/>
                <w:numId w:val="3"/>
              </w:numPr>
              <w:spacing w:after="0" w:line="240" w:lineRule="auto"/>
              <w:ind w:left="438" w:hanging="283"/>
              <w:rPr>
                <w:rFonts w:ascii="Calibri" w:eastAsia="Times New Roman" w:hAnsi="Calibri" w:cs="Calibri"/>
                <w:i/>
                <w:iCs/>
                <w:color w:val="000000" w:themeColor="text1"/>
                <w:u w:val="single"/>
                <w:lang w:eastAsia="en-GB"/>
              </w:rPr>
            </w:pPr>
            <w:r>
              <w:rPr>
                <w:rFonts w:ascii="Calibri" w:eastAsia="Times New Roman" w:hAnsi="Calibri" w:cs="Calibri"/>
                <w:color w:val="000000" w:themeColor="text1"/>
                <w:lang w:eastAsia="en-GB"/>
              </w:rPr>
              <w:t xml:space="preserve">The forecast peak-time kW divided by forecast maximum </w:t>
            </w:r>
            <w:proofErr w:type="spellStart"/>
            <w:r>
              <w:rPr>
                <w:rFonts w:ascii="Calibri" w:eastAsia="Times New Roman" w:hAnsi="Calibri" w:cs="Calibri"/>
                <w:color w:val="000000" w:themeColor="text1"/>
                <w:lang w:eastAsia="en-GB"/>
              </w:rPr>
              <w:t>kVa</w:t>
            </w:r>
            <w:proofErr w:type="spellEnd"/>
            <w:r>
              <w:rPr>
                <w:rFonts w:ascii="Calibri" w:eastAsia="Times New Roman" w:hAnsi="Calibri" w:cs="Calibri"/>
                <w:color w:val="000000" w:themeColor="text1"/>
                <w:lang w:eastAsia="en-GB"/>
              </w:rPr>
              <w:t xml:space="preserve"> of that Connectee (adjusted for losses to transmission and, if necessary, for Connectees connected for </w:t>
            </w:r>
            <w:r>
              <w:rPr>
                <w:rFonts w:ascii="Calibri" w:eastAsia="Times New Roman" w:hAnsi="Calibri" w:cs="Calibri"/>
                <w:color w:val="000000" w:themeColor="text1"/>
                <w:lang w:eastAsia="en-GB"/>
              </w:rPr>
              <w:lastRenderedPageBreak/>
              <w:t xml:space="preserve">part of the Charging Year </w:t>
            </w:r>
            <w:r>
              <w:rPr>
                <w:rFonts w:ascii="Calibri" w:eastAsia="Times New Roman" w:hAnsi="Calibri" w:cs="Calibri"/>
                <w:i/>
                <w:iCs/>
                <w:color w:val="000000" w:themeColor="text1"/>
                <w:u w:val="single"/>
                <w:lang w:eastAsia="en-GB"/>
              </w:rPr>
              <w:t xml:space="preserve">by multiplying by the proportion of the super-red period for which the Connectee is expected to be connected) </w:t>
            </w:r>
            <w:r>
              <w:rPr>
                <w:rFonts w:ascii="Calibri" w:eastAsia="Times New Roman" w:hAnsi="Calibri" w:cs="Calibri"/>
                <w:color w:val="000000" w:themeColor="text1"/>
                <w:lang w:eastAsia="en-GB"/>
              </w:rPr>
              <w:t>and aggregating across all EDCM Customer demand.’</w:t>
            </w:r>
          </w:p>
        </w:tc>
      </w:tr>
      <w:tr w:rsidR="00BA0C9C" w:rsidRPr="00646EBF" w14:paraId="079BB58C" w14:textId="77777777" w:rsidTr="00050280">
        <w:trPr>
          <w:trHeight w:val="3300"/>
        </w:trPr>
        <w:tc>
          <w:tcPr>
            <w:tcW w:w="506" w:type="dxa"/>
            <w:shd w:val="clear" w:color="auto" w:fill="D9E2F3" w:themeFill="accent1" w:themeFillTint="33"/>
            <w:hideMark/>
          </w:tcPr>
          <w:p w14:paraId="26D9473C" w14:textId="77777777" w:rsidR="00BA0C9C" w:rsidRPr="00646EBF" w:rsidRDefault="00BA0C9C"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10</w:t>
            </w:r>
          </w:p>
        </w:tc>
        <w:tc>
          <w:tcPr>
            <w:tcW w:w="0" w:type="auto"/>
            <w:shd w:val="clear" w:color="auto" w:fill="D9E2F3" w:themeFill="accent1" w:themeFillTint="33"/>
          </w:tcPr>
          <w:p w14:paraId="788E954C" w14:textId="05F1F851"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9.2</w:t>
            </w:r>
          </w:p>
        </w:tc>
        <w:tc>
          <w:tcPr>
            <w:tcW w:w="1415" w:type="dxa"/>
            <w:shd w:val="clear" w:color="auto" w:fill="D9E2F3" w:themeFill="accent1" w:themeFillTint="33"/>
          </w:tcPr>
          <w:p w14:paraId="11026FE9" w14:textId="246A06DA"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kW/</w:t>
            </w:r>
            <w:proofErr w:type="spellStart"/>
            <w:r>
              <w:rPr>
                <w:rFonts w:ascii="Calibri" w:eastAsia="Times New Roman" w:hAnsi="Calibri" w:cs="Calibri"/>
                <w:color w:val="000000"/>
                <w:lang w:eastAsia="en-GB"/>
              </w:rPr>
              <w:t>kVa</w:t>
            </w:r>
            <w:proofErr w:type="spellEnd"/>
            <w:r>
              <w:rPr>
                <w:rFonts w:ascii="Calibri" w:eastAsia="Times New Roman" w:hAnsi="Calibri" w:cs="Calibri"/>
                <w:color w:val="000000"/>
                <w:lang w:eastAsia="en-GB"/>
              </w:rPr>
              <w:t xml:space="preserve"> part-year adjustment</w:t>
            </w:r>
          </w:p>
        </w:tc>
        <w:tc>
          <w:tcPr>
            <w:tcW w:w="1388" w:type="dxa"/>
            <w:shd w:val="clear" w:color="auto" w:fill="D9E2F3" w:themeFill="accent1" w:themeFillTint="33"/>
          </w:tcPr>
          <w:p w14:paraId="258BF551" w14:textId="769CD236"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EDCM FCP; Capacities </w:t>
            </w:r>
          </w:p>
        </w:tc>
        <w:tc>
          <w:tcPr>
            <w:tcW w:w="2894" w:type="dxa"/>
            <w:shd w:val="clear" w:color="auto" w:fill="D9E2F3" w:themeFill="accent1" w:themeFillTint="33"/>
          </w:tcPr>
          <w:p w14:paraId="054EFCB2" w14:textId="3B19FDA9"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For a part-year adjustment to super-red kW/</w:t>
            </w:r>
            <w:proofErr w:type="spellStart"/>
            <w:r>
              <w:rPr>
                <w:rFonts w:ascii="Calibri" w:eastAsia="Times New Roman" w:hAnsi="Calibri" w:cs="Calibri"/>
                <w:color w:val="000000"/>
                <w:lang w:eastAsia="en-GB"/>
              </w:rPr>
              <w:t>kVa</w:t>
            </w:r>
            <w:proofErr w:type="spellEnd"/>
            <w:r>
              <w:rPr>
                <w:rFonts w:ascii="Calibri" w:eastAsia="Times New Roman" w:hAnsi="Calibri" w:cs="Calibri"/>
                <w:color w:val="000000"/>
                <w:lang w:eastAsia="en-GB"/>
              </w:rPr>
              <w:t>, the model assumes that this is calculated by multiplying by the proportion of super-red hours as a customer and dividing by the proportion of the year as a customer</w:t>
            </w:r>
          </w:p>
        </w:tc>
        <w:tc>
          <w:tcPr>
            <w:tcW w:w="0" w:type="auto"/>
            <w:shd w:val="clear" w:color="auto" w:fill="000000" w:themeFill="text1"/>
            <w:noWrap/>
          </w:tcPr>
          <w:p w14:paraId="4240EB17" w14:textId="77777777" w:rsidR="00BA0C9C" w:rsidRPr="00646EBF" w:rsidRDefault="00BA0C9C"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4F87B48F" w14:textId="64C599B0"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2426BEAC" w14:textId="6E9DD71B"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7D6D9576" w14:textId="1474E146"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vMerge/>
            <w:shd w:val="clear" w:color="auto" w:fill="D9E2F3" w:themeFill="accent1" w:themeFillTint="33"/>
          </w:tcPr>
          <w:p w14:paraId="700BCCEB" w14:textId="07501FB1" w:rsidR="00BA0C9C" w:rsidRPr="00646EBF" w:rsidRDefault="00BA0C9C" w:rsidP="00646EBF">
            <w:pPr>
              <w:spacing w:after="0" w:line="240" w:lineRule="auto"/>
              <w:rPr>
                <w:rFonts w:ascii="Calibri" w:eastAsia="Times New Roman" w:hAnsi="Calibri" w:cs="Calibri"/>
                <w:color w:val="000000"/>
                <w:lang w:eastAsia="en-GB"/>
              </w:rPr>
            </w:pPr>
          </w:p>
        </w:tc>
      </w:tr>
      <w:tr w:rsidR="00BA0C9C" w:rsidRPr="00646EBF" w14:paraId="6EA7D57B" w14:textId="77777777" w:rsidTr="00050280">
        <w:trPr>
          <w:trHeight w:val="1800"/>
        </w:trPr>
        <w:tc>
          <w:tcPr>
            <w:tcW w:w="506" w:type="dxa"/>
            <w:shd w:val="clear" w:color="auto" w:fill="D9E2F3" w:themeFill="accent1" w:themeFillTint="33"/>
            <w:hideMark/>
          </w:tcPr>
          <w:p w14:paraId="7B907D32" w14:textId="77777777" w:rsidR="00BA0C9C" w:rsidRPr="00646EBF" w:rsidRDefault="00BA0C9C"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11</w:t>
            </w:r>
          </w:p>
        </w:tc>
        <w:tc>
          <w:tcPr>
            <w:tcW w:w="0" w:type="auto"/>
            <w:shd w:val="clear" w:color="auto" w:fill="D9E2F3" w:themeFill="accent1" w:themeFillTint="33"/>
          </w:tcPr>
          <w:p w14:paraId="711FCFFC" w14:textId="561471F0"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9.2</w:t>
            </w:r>
          </w:p>
        </w:tc>
        <w:tc>
          <w:tcPr>
            <w:tcW w:w="1415" w:type="dxa"/>
            <w:shd w:val="clear" w:color="auto" w:fill="D9E2F3" w:themeFill="accent1" w:themeFillTint="33"/>
          </w:tcPr>
          <w:p w14:paraId="6C7AFB3E" w14:textId="715C3B5C"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Losses to transmission adjustment</w:t>
            </w:r>
          </w:p>
        </w:tc>
        <w:tc>
          <w:tcPr>
            <w:tcW w:w="1388" w:type="dxa"/>
            <w:shd w:val="clear" w:color="auto" w:fill="D9E2F3" w:themeFill="accent1" w:themeFillTint="33"/>
          </w:tcPr>
          <w:p w14:paraId="45056DBD" w14:textId="1415D91A"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Transmission</w:t>
            </w:r>
          </w:p>
        </w:tc>
        <w:tc>
          <w:tcPr>
            <w:tcW w:w="2894" w:type="dxa"/>
            <w:shd w:val="clear" w:color="auto" w:fill="D9E2F3" w:themeFill="accent1" w:themeFillTint="33"/>
          </w:tcPr>
          <w:p w14:paraId="7C4FBB02" w14:textId="28FB94C0" w:rsidR="00BA0C9C"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assumed the losses to transmission adjustment only applies to the kW/kVA parameter </w:t>
            </w:r>
          </w:p>
        </w:tc>
        <w:tc>
          <w:tcPr>
            <w:tcW w:w="0" w:type="auto"/>
            <w:shd w:val="clear" w:color="auto" w:fill="000000" w:themeFill="text1"/>
            <w:noWrap/>
          </w:tcPr>
          <w:p w14:paraId="19C62348" w14:textId="77777777" w:rsidR="00BA0C9C" w:rsidRPr="00646EBF" w:rsidRDefault="00BA0C9C"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5D245C57" w14:textId="3BCC7620" w:rsidR="00BA0C9C" w:rsidRDefault="00BA0C9C" w:rsidP="00BA0C9C">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118CAF0E" w14:textId="3B80AE03" w:rsidR="00BA0C9C" w:rsidRDefault="00BA0C9C" w:rsidP="00BA0C9C">
            <w:pPr>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3AACC84B" w14:textId="148C68AA" w:rsidR="00BA0C9C" w:rsidRPr="00BA0C9C" w:rsidRDefault="00BA0C9C" w:rsidP="00BA0C9C">
            <w:pPr>
              <w:tabs>
                <w:tab w:val="left" w:pos="2246"/>
              </w:tabs>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r w:rsidRPr="00BA0C9C">
              <w:rPr>
                <w:rFonts w:ascii="Calibri" w:eastAsia="Times New Roman" w:hAnsi="Calibri" w:cs="Calibri"/>
                <w:color w:val="000000"/>
                <w:lang w:eastAsia="en-GB"/>
              </w:rPr>
              <w:tab/>
            </w:r>
          </w:p>
        </w:tc>
        <w:tc>
          <w:tcPr>
            <w:tcW w:w="3025" w:type="dxa"/>
            <w:vMerge/>
            <w:shd w:val="clear" w:color="auto" w:fill="D9E2F3" w:themeFill="accent1" w:themeFillTint="33"/>
          </w:tcPr>
          <w:p w14:paraId="33EBD602" w14:textId="18A98700" w:rsidR="00BA0C9C" w:rsidRPr="00BA0C9C" w:rsidRDefault="00BA0C9C" w:rsidP="00BA0C9C">
            <w:pPr>
              <w:tabs>
                <w:tab w:val="left" w:pos="2246"/>
              </w:tabs>
              <w:rPr>
                <w:rFonts w:ascii="Calibri" w:eastAsia="Times New Roman" w:hAnsi="Calibri" w:cs="Calibri"/>
                <w:color w:val="000000"/>
                <w:lang w:eastAsia="en-GB"/>
              </w:rPr>
            </w:pPr>
          </w:p>
        </w:tc>
      </w:tr>
      <w:tr w:rsidR="00BA0C9C" w:rsidRPr="00646EBF" w14:paraId="50717903" w14:textId="77777777" w:rsidTr="00050280">
        <w:trPr>
          <w:trHeight w:val="2400"/>
        </w:trPr>
        <w:tc>
          <w:tcPr>
            <w:tcW w:w="506" w:type="dxa"/>
            <w:shd w:val="clear" w:color="auto" w:fill="D9E2F3" w:themeFill="accent1" w:themeFillTint="33"/>
            <w:hideMark/>
          </w:tcPr>
          <w:p w14:paraId="37B5CEB0"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12</w:t>
            </w:r>
          </w:p>
        </w:tc>
        <w:tc>
          <w:tcPr>
            <w:tcW w:w="0" w:type="auto"/>
            <w:shd w:val="clear" w:color="auto" w:fill="D9E2F3" w:themeFill="accent1" w:themeFillTint="33"/>
          </w:tcPr>
          <w:p w14:paraId="54C70B48" w14:textId="54FBA248" w:rsidR="00646EBF"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10.3</w:t>
            </w:r>
          </w:p>
        </w:tc>
        <w:tc>
          <w:tcPr>
            <w:tcW w:w="1415" w:type="dxa"/>
            <w:shd w:val="clear" w:color="auto" w:fill="D9E2F3" w:themeFill="accent1" w:themeFillTint="33"/>
          </w:tcPr>
          <w:p w14:paraId="73089EB9" w14:textId="48DED083" w:rsidR="00646EBF"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Part-year adjustment</w:t>
            </w:r>
          </w:p>
        </w:tc>
        <w:tc>
          <w:tcPr>
            <w:tcW w:w="1388" w:type="dxa"/>
            <w:shd w:val="clear" w:color="auto" w:fill="D9E2F3" w:themeFill="accent1" w:themeFillTint="33"/>
          </w:tcPr>
          <w:p w14:paraId="2CBE09AF" w14:textId="48D56709" w:rsidR="00646EBF" w:rsidRPr="00646EBF"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Capacities</w:t>
            </w:r>
          </w:p>
        </w:tc>
        <w:tc>
          <w:tcPr>
            <w:tcW w:w="2894" w:type="dxa"/>
            <w:shd w:val="clear" w:color="auto" w:fill="D9E2F3" w:themeFill="accent1" w:themeFillTint="33"/>
          </w:tcPr>
          <w:p w14:paraId="11863666" w14:textId="658D7D35" w:rsidR="008C0313" w:rsidRPr="00BA0C9C" w:rsidRDefault="00BA0C9C"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both chargeable capacity and the capacity eligible for GSP credits</w:t>
            </w:r>
            <w:r w:rsidR="0070198F">
              <w:rPr>
                <w:rFonts w:ascii="Calibri" w:eastAsia="Times New Roman" w:hAnsi="Calibri" w:cs="Calibri"/>
                <w:color w:val="000000"/>
                <w:lang w:eastAsia="en-GB"/>
              </w:rPr>
              <w:t xml:space="preserve"> should be adjusted for part-year connected customers.</w:t>
            </w:r>
          </w:p>
        </w:tc>
        <w:tc>
          <w:tcPr>
            <w:tcW w:w="0" w:type="auto"/>
            <w:shd w:val="clear" w:color="auto" w:fill="000000" w:themeFill="text1"/>
            <w:noWrap/>
          </w:tcPr>
          <w:p w14:paraId="64E1A6E4"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3FCC6FBD" w14:textId="41D3DE85" w:rsidR="00646EBF" w:rsidRPr="00646EBF" w:rsidRDefault="0070198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1</w:t>
            </w:r>
          </w:p>
        </w:tc>
        <w:tc>
          <w:tcPr>
            <w:tcW w:w="1316" w:type="dxa"/>
            <w:shd w:val="clear" w:color="auto" w:fill="D9E2F3" w:themeFill="accent1" w:themeFillTint="33"/>
          </w:tcPr>
          <w:p w14:paraId="20E7899E" w14:textId="4EC0836C" w:rsidR="00646EBF" w:rsidRPr="00646EBF" w:rsidRDefault="0070198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has historically been inconsistent with the legal text. So arguably part two in that we are just aligning legal text to model. But </w:t>
            </w:r>
            <w:proofErr w:type="gramStart"/>
            <w:r>
              <w:rPr>
                <w:rFonts w:ascii="Calibri" w:eastAsia="Times New Roman" w:hAnsi="Calibri" w:cs="Calibri"/>
                <w:color w:val="000000"/>
                <w:lang w:eastAsia="en-GB"/>
              </w:rPr>
              <w:t>also</w:t>
            </w:r>
            <w:proofErr w:type="gramEnd"/>
            <w:r>
              <w:rPr>
                <w:rFonts w:ascii="Calibri" w:eastAsia="Times New Roman" w:hAnsi="Calibri" w:cs="Calibri"/>
                <w:color w:val="000000"/>
                <w:lang w:eastAsia="en-GB"/>
              </w:rPr>
              <w:t xml:space="preserve"> arguably part one as, if the model were aligned to the legal text previously, this would have an impact on charges.</w:t>
            </w:r>
          </w:p>
        </w:tc>
        <w:tc>
          <w:tcPr>
            <w:tcW w:w="2463" w:type="dxa"/>
            <w:shd w:val="clear" w:color="auto" w:fill="D9E2F3" w:themeFill="accent1" w:themeFillTint="33"/>
          </w:tcPr>
          <w:p w14:paraId="6D9731B6" w14:textId="5DB9A1C8" w:rsidR="00646EBF" w:rsidRPr="00646EBF" w:rsidRDefault="0070198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Legal text and model mis-aligned</w:t>
            </w:r>
          </w:p>
        </w:tc>
        <w:tc>
          <w:tcPr>
            <w:tcW w:w="3025" w:type="dxa"/>
            <w:shd w:val="clear" w:color="auto" w:fill="D9E2F3" w:themeFill="accent1" w:themeFillTint="33"/>
          </w:tcPr>
          <w:p w14:paraId="3B108213" w14:textId="77777777" w:rsidR="008C0313" w:rsidRDefault="0070198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after para 10.3:</w:t>
            </w:r>
          </w:p>
          <w:p w14:paraId="5C5AFF9D" w14:textId="371B6987" w:rsidR="0070198F" w:rsidRPr="003022CD" w:rsidRDefault="0070198F" w:rsidP="00646EBF">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‘Capacity eligible for credits (in kW) is the capacity that is made available by the generator under the agreement with the </w:t>
            </w:r>
            <w:r w:rsidR="003022CD">
              <w:rPr>
                <w:rFonts w:ascii="Calibri" w:eastAsia="Times New Roman" w:hAnsi="Calibri" w:cs="Calibri"/>
                <w:color w:val="000000"/>
                <w:lang w:eastAsia="en-GB"/>
              </w:rPr>
              <w:t xml:space="preserve">DNO, </w:t>
            </w:r>
            <w:r w:rsidR="003022CD">
              <w:rPr>
                <w:rFonts w:ascii="Calibri" w:eastAsia="Times New Roman" w:hAnsi="Calibri" w:cs="Calibri"/>
                <w:i/>
                <w:iCs/>
                <w:color w:val="000000"/>
                <w:u w:val="single"/>
                <w:lang w:eastAsia="en-GB"/>
              </w:rPr>
              <w:t>if necessary adjusted for Connectees connected for part of the year by multiplying by the proportion of the year for which the Connectee is expected to be connected.’</w:t>
            </w:r>
          </w:p>
        </w:tc>
      </w:tr>
      <w:tr w:rsidR="00BA0C9C" w:rsidRPr="00646EBF" w14:paraId="3FA4EB5B" w14:textId="77777777" w:rsidTr="00050280">
        <w:trPr>
          <w:trHeight w:val="900"/>
        </w:trPr>
        <w:tc>
          <w:tcPr>
            <w:tcW w:w="506" w:type="dxa"/>
            <w:shd w:val="clear" w:color="auto" w:fill="D9E2F3" w:themeFill="accent1" w:themeFillTint="33"/>
            <w:hideMark/>
          </w:tcPr>
          <w:p w14:paraId="2C3C46E0"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13</w:t>
            </w:r>
          </w:p>
        </w:tc>
        <w:tc>
          <w:tcPr>
            <w:tcW w:w="0" w:type="auto"/>
            <w:shd w:val="clear" w:color="auto" w:fill="D9E2F3" w:themeFill="accent1" w:themeFillTint="33"/>
          </w:tcPr>
          <w:p w14:paraId="1F77D099" w14:textId="4807099C" w:rsidR="00646EBF" w:rsidRPr="00646EBF" w:rsidRDefault="003022C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12.2</w:t>
            </w:r>
          </w:p>
        </w:tc>
        <w:tc>
          <w:tcPr>
            <w:tcW w:w="1415" w:type="dxa"/>
            <w:shd w:val="clear" w:color="auto" w:fill="D9E2F3" w:themeFill="accent1" w:themeFillTint="33"/>
          </w:tcPr>
          <w:p w14:paraId="528A5386" w14:textId="45A3405C" w:rsidR="00646EBF" w:rsidRPr="00646EBF" w:rsidRDefault="003022C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Part-year adjustment to capacity</w:t>
            </w:r>
          </w:p>
        </w:tc>
        <w:tc>
          <w:tcPr>
            <w:tcW w:w="1388" w:type="dxa"/>
            <w:shd w:val="clear" w:color="auto" w:fill="D9E2F3" w:themeFill="accent1" w:themeFillTint="33"/>
          </w:tcPr>
          <w:p w14:paraId="1FB322A2" w14:textId="7DDA07A8" w:rsidR="00646EBF" w:rsidRPr="00646EBF" w:rsidRDefault="003022C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Capacities</w:t>
            </w:r>
          </w:p>
        </w:tc>
        <w:tc>
          <w:tcPr>
            <w:tcW w:w="2894" w:type="dxa"/>
            <w:shd w:val="clear" w:color="auto" w:fill="D9E2F3" w:themeFill="accent1" w:themeFillTint="33"/>
          </w:tcPr>
          <w:p w14:paraId="36446A5B" w14:textId="707DE204" w:rsidR="00646EBF" w:rsidRPr="00646EBF" w:rsidRDefault="003022C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part-year adjustment to the capacity described here, and all other part-year adjustments to capacity, </w:t>
            </w:r>
            <w:r w:rsidR="008D11C9">
              <w:rPr>
                <w:rFonts w:ascii="Calibri" w:eastAsia="Times New Roman" w:hAnsi="Calibri" w:cs="Calibri"/>
                <w:color w:val="000000"/>
                <w:lang w:eastAsia="en-GB"/>
              </w:rPr>
              <w:t xml:space="preserve">simply involve multiplying the capacity by the proportion of </w:t>
            </w:r>
            <w:r w:rsidR="008D11C9">
              <w:rPr>
                <w:rFonts w:ascii="Calibri" w:eastAsia="Times New Roman" w:hAnsi="Calibri" w:cs="Calibri"/>
                <w:color w:val="000000"/>
                <w:lang w:eastAsia="en-GB"/>
              </w:rPr>
              <w:lastRenderedPageBreak/>
              <w:t>the days in which the customer is connected.</w:t>
            </w:r>
          </w:p>
        </w:tc>
        <w:tc>
          <w:tcPr>
            <w:tcW w:w="0" w:type="auto"/>
            <w:shd w:val="clear" w:color="auto" w:fill="000000" w:themeFill="text1"/>
            <w:noWrap/>
          </w:tcPr>
          <w:p w14:paraId="79B1062A"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174662AF" w14:textId="5D12FC8A" w:rsidR="00646EBF" w:rsidRPr="00646EBF" w:rsidRDefault="008D11C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02449CEF" w14:textId="3BF9E661" w:rsidR="00646EBF" w:rsidRPr="00646EBF" w:rsidRDefault="008D11C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1D4529A2" w14:textId="4BE16AAD" w:rsidR="00646EBF" w:rsidRPr="00646EBF" w:rsidRDefault="008D11C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13DF0CFC" w14:textId="1522E495" w:rsidR="00646EBF" w:rsidRDefault="008D11C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 12.</w:t>
            </w:r>
            <w:r w:rsidR="00260143">
              <w:rPr>
                <w:rFonts w:ascii="Calibri" w:eastAsia="Times New Roman" w:hAnsi="Calibri" w:cs="Calibri"/>
                <w:color w:val="000000"/>
                <w:lang w:eastAsia="en-GB"/>
              </w:rPr>
              <w:t>2</w:t>
            </w:r>
            <w:r>
              <w:rPr>
                <w:rFonts w:ascii="Calibri" w:eastAsia="Times New Roman" w:hAnsi="Calibri" w:cs="Calibri"/>
                <w:color w:val="000000"/>
                <w:lang w:eastAsia="en-GB"/>
              </w:rPr>
              <w:t>:</w:t>
            </w:r>
          </w:p>
          <w:p w14:paraId="42A3232B" w14:textId="77777777" w:rsidR="008D11C9" w:rsidRDefault="008D11C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‘Total Pre-2005 EDCM DG capacity is the aggregate maximum export capacity of all non-exempt EDCM generators that connected before 01 April </w:t>
            </w:r>
            <w:r>
              <w:rPr>
                <w:rFonts w:ascii="Calibri" w:eastAsia="Times New Roman" w:hAnsi="Calibri" w:cs="Calibri"/>
                <w:color w:val="000000"/>
                <w:lang w:eastAsia="en-GB"/>
              </w:rPr>
              <w:lastRenderedPageBreak/>
              <w:t xml:space="preserve">2005, adjusted </w:t>
            </w:r>
            <w:r>
              <w:rPr>
                <w:rFonts w:ascii="Calibri" w:eastAsia="Times New Roman" w:hAnsi="Calibri" w:cs="Calibri"/>
                <w:i/>
                <w:iCs/>
                <w:color w:val="000000"/>
                <w:u w:val="single"/>
                <w:lang w:eastAsia="en-GB"/>
              </w:rPr>
              <w:t xml:space="preserve">(by multiplying by the proportion of the year for which the generator is expected to be connected) </w:t>
            </w:r>
            <w:r>
              <w:rPr>
                <w:rFonts w:ascii="Calibri" w:eastAsia="Times New Roman" w:hAnsi="Calibri" w:cs="Calibri"/>
                <w:color w:val="000000"/>
                <w:lang w:eastAsia="en-GB"/>
              </w:rPr>
              <w:t xml:space="preserve">for part-year connected generators. In the case of generators that have subsequently increased their maximum export capacity, the part of their capacity that was added after 1 April 2005 would be ignored. </w:t>
            </w:r>
          </w:p>
          <w:p w14:paraId="47220FEA" w14:textId="77777777" w:rsidR="008D11C9" w:rsidRDefault="008D11C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Total 2005-2010 EDCM generation capacity is the sum of the maximum export capacities of all non-exempt EDCM generators that connected between 1 April 2005 and 31 March 2010, adjusted </w:t>
            </w:r>
            <w:r>
              <w:rPr>
                <w:rFonts w:ascii="Calibri" w:eastAsia="Times New Roman" w:hAnsi="Calibri" w:cs="Calibri"/>
                <w:i/>
                <w:iCs/>
                <w:color w:val="000000"/>
                <w:u w:val="single"/>
                <w:lang w:eastAsia="en-GB"/>
              </w:rPr>
              <w:t>(by multiplying by the proportion of the year for which the generator is expected to be connected)</w:t>
            </w:r>
            <w:r>
              <w:rPr>
                <w:rFonts w:ascii="Calibri" w:eastAsia="Times New Roman" w:hAnsi="Calibri" w:cs="Calibri"/>
                <w:color w:val="000000"/>
                <w:lang w:eastAsia="en-GB"/>
              </w:rPr>
              <w:t xml:space="preserve"> for part-year connected generators.</w:t>
            </w:r>
          </w:p>
          <w:p w14:paraId="1A8EEE3E" w14:textId="21F6AB98" w:rsidR="008D11C9" w:rsidRDefault="008D11C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Total Post-201</w:t>
            </w:r>
            <w:r w:rsidR="00260143">
              <w:rPr>
                <w:rFonts w:ascii="Calibri" w:eastAsia="Times New Roman" w:hAnsi="Calibri" w:cs="Calibri"/>
                <w:color w:val="000000"/>
                <w:lang w:eastAsia="en-GB"/>
              </w:rPr>
              <w:t>0</w:t>
            </w:r>
            <w:r>
              <w:rPr>
                <w:rFonts w:ascii="Calibri" w:eastAsia="Times New Roman" w:hAnsi="Calibri" w:cs="Calibri"/>
                <w:color w:val="000000"/>
                <w:lang w:eastAsia="en-GB"/>
              </w:rPr>
              <w:t xml:space="preserve"> EDCM generation capacity is the sum of the maximum export capacities of all non-exempt EDCM generators that connected on or after 1 April 2010, adjusted </w:t>
            </w:r>
            <w:r>
              <w:rPr>
                <w:rFonts w:ascii="Calibri" w:eastAsia="Times New Roman" w:hAnsi="Calibri" w:cs="Calibri"/>
                <w:i/>
                <w:iCs/>
                <w:color w:val="000000"/>
                <w:u w:val="single"/>
                <w:lang w:eastAsia="en-GB"/>
              </w:rPr>
              <w:t xml:space="preserve">(by multiplying </w:t>
            </w:r>
            <w:r w:rsidR="00943816">
              <w:rPr>
                <w:rFonts w:ascii="Calibri" w:eastAsia="Times New Roman" w:hAnsi="Calibri" w:cs="Calibri"/>
                <w:i/>
                <w:iCs/>
                <w:color w:val="000000"/>
                <w:u w:val="single"/>
                <w:lang w:eastAsia="en-GB"/>
              </w:rPr>
              <w:t>by the proportion of the year for which the generator is expected to be connected)</w:t>
            </w:r>
            <w:r w:rsidR="00943816">
              <w:rPr>
                <w:rFonts w:ascii="Calibri" w:eastAsia="Times New Roman" w:hAnsi="Calibri" w:cs="Calibri"/>
                <w:color w:val="000000"/>
                <w:lang w:eastAsia="en-GB"/>
              </w:rPr>
              <w:t xml:space="preserve"> for part-year connected generators. In the case of generators that originally </w:t>
            </w:r>
            <w:r w:rsidR="00943816">
              <w:rPr>
                <w:rFonts w:ascii="Calibri" w:eastAsia="Times New Roman" w:hAnsi="Calibri" w:cs="Calibri"/>
                <w:color w:val="000000"/>
                <w:lang w:eastAsia="en-GB"/>
              </w:rPr>
              <w:lastRenderedPageBreak/>
              <w:t>connected before 1 April 2010 and have increased their maximum export capacity on or after 1 April 2010, the capacity that was added after 1 April 2010 should be included.</w:t>
            </w:r>
          </w:p>
          <w:p w14:paraId="117E1804" w14:textId="77777777" w:rsidR="00943816" w:rsidRDefault="0094381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Total 2005-2010 CDCM generation capacity is the sum of the maximum export capacities of all non-exempt CDCM generators that connected between 1 April 2005 and 31 March 2010, adjusted, </w:t>
            </w:r>
            <w:r w:rsidRPr="00943816">
              <w:rPr>
                <w:rFonts w:ascii="Calibri" w:eastAsia="Times New Roman" w:hAnsi="Calibri" w:cs="Calibri"/>
                <w:i/>
                <w:iCs/>
                <w:color w:val="000000"/>
                <w:u w:val="single"/>
                <w:lang w:eastAsia="en-GB"/>
              </w:rPr>
              <w:t>(by multiplying by the proportion</w:t>
            </w:r>
            <w:r>
              <w:rPr>
                <w:rFonts w:ascii="Calibri" w:eastAsia="Times New Roman" w:hAnsi="Calibri" w:cs="Calibri"/>
                <w:i/>
                <w:iCs/>
                <w:color w:val="000000"/>
                <w:u w:val="single"/>
                <w:lang w:eastAsia="en-GB"/>
              </w:rPr>
              <w:t xml:space="preserve"> of the year for which the generator is expected to be connected)</w:t>
            </w:r>
            <w:r>
              <w:rPr>
                <w:rFonts w:ascii="Calibri" w:eastAsia="Times New Roman" w:hAnsi="Calibri" w:cs="Calibri"/>
                <w:color w:val="000000"/>
                <w:lang w:eastAsia="en-GB"/>
              </w:rPr>
              <w:t xml:space="preserve"> for part-year connected generators.</w:t>
            </w:r>
          </w:p>
          <w:p w14:paraId="015AF729" w14:textId="16E696C9" w:rsidR="00943816" w:rsidRPr="00943816" w:rsidRDefault="0094381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Total Post-2010 CDCM generation capacity is the sum of the maximum export capacities of all non-exempt CDCM generators that connected on or after 1 April 2010, adjusted </w:t>
            </w:r>
            <w:r>
              <w:rPr>
                <w:rFonts w:ascii="Calibri" w:eastAsia="Times New Roman" w:hAnsi="Calibri" w:cs="Calibri"/>
                <w:i/>
                <w:iCs/>
                <w:color w:val="000000"/>
                <w:u w:val="single"/>
                <w:lang w:eastAsia="en-GB"/>
              </w:rPr>
              <w:t xml:space="preserve">(by multiplying by the proportion of the year for which the generator is expected to be connected) </w:t>
            </w:r>
            <w:r>
              <w:rPr>
                <w:rFonts w:ascii="Calibri" w:eastAsia="Times New Roman" w:hAnsi="Calibri" w:cs="Calibri"/>
                <w:color w:val="000000"/>
                <w:lang w:eastAsia="en-GB"/>
              </w:rPr>
              <w:t>for part-year connected generators’.</w:t>
            </w:r>
          </w:p>
        </w:tc>
      </w:tr>
      <w:tr w:rsidR="00BA0C9C" w:rsidRPr="00646EBF" w14:paraId="202F1877" w14:textId="77777777" w:rsidTr="00050280">
        <w:trPr>
          <w:trHeight w:val="2100"/>
        </w:trPr>
        <w:tc>
          <w:tcPr>
            <w:tcW w:w="506" w:type="dxa"/>
            <w:shd w:val="clear" w:color="auto" w:fill="D9E2F3" w:themeFill="accent1" w:themeFillTint="33"/>
            <w:hideMark/>
          </w:tcPr>
          <w:p w14:paraId="34E5E0A8"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14</w:t>
            </w:r>
          </w:p>
        </w:tc>
        <w:tc>
          <w:tcPr>
            <w:tcW w:w="0" w:type="auto"/>
            <w:shd w:val="clear" w:color="auto" w:fill="D9E2F3" w:themeFill="accent1" w:themeFillTint="33"/>
          </w:tcPr>
          <w:p w14:paraId="71E8600D" w14:textId="7CA8C702" w:rsidR="00646EBF" w:rsidRPr="00646EBF" w:rsidRDefault="0094381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15.11</w:t>
            </w:r>
          </w:p>
        </w:tc>
        <w:tc>
          <w:tcPr>
            <w:tcW w:w="1415" w:type="dxa"/>
            <w:shd w:val="clear" w:color="auto" w:fill="D9E2F3" w:themeFill="accent1" w:themeFillTint="33"/>
          </w:tcPr>
          <w:p w14:paraId="7AB9B673" w14:textId="785788E6" w:rsidR="00646EBF" w:rsidRPr="00646EBF" w:rsidRDefault="00943816"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Network </w:t>
            </w:r>
            <w:r w:rsidR="00BC620A">
              <w:rPr>
                <w:rFonts w:ascii="Calibri" w:eastAsia="Times New Roman" w:hAnsi="Calibri" w:cs="Calibri"/>
                <w:color w:val="000000"/>
                <w:lang w:eastAsia="en-GB"/>
              </w:rPr>
              <w:t>asset rate calculation</w:t>
            </w:r>
          </w:p>
        </w:tc>
        <w:tc>
          <w:tcPr>
            <w:tcW w:w="1388" w:type="dxa"/>
            <w:shd w:val="clear" w:color="auto" w:fill="D9E2F3" w:themeFill="accent1" w:themeFillTint="33"/>
          </w:tcPr>
          <w:p w14:paraId="419950FD" w14:textId="18A5583B"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Asset values</w:t>
            </w:r>
          </w:p>
        </w:tc>
        <w:tc>
          <w:tcPr>
            <w:tcW w:w="2894" w:type="dxa"/>
            <w:shd w:val="clear" w:color="auto" w:fill="D9E2F3" w:themeFill="accent1" w:themeFillTint="33"/>
          </w:tcPr>
          <w:p w14:paraId="31C4D373" w14:textId="5BC9BECD"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network asset rate at each voltage level is calculated as the asset values for that voltage level divided by the product of maximum demand at the voltage level and the </w:t>
            </w:r>
            <w:r>
              <w:rPr>
                <w:rFonts w:ascii="Calibri" w:eastAsia="Times New Roman" w:hAnsi="Calibri" w:cs="Calibri"/>
                <w:color w:val="000000"/>
                <w:lang w:eastAsia="en-GB"/>
              </w:rPr>
              <w:lastRenderedPageBreak/>
              <w:t>loss adjustment factor to that voltage level.</w:t>
            </w:r>
          </w:p>
        </w:tc>
        <w:tc>
          <w:tcPr>
            <w:tcW w:w="0" w:type="auto"/>
            <w:shd w:val="clear" w:color="auto" w:fill="000000" w:themeFill="text1"/>
            <w:noWrap/>
          </w:tcPr>
          <w:p w14:paraId="66F0BEF0"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3CD9E710" w14:textId="0E5A2566"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0E821D8B" w14:textId="79C7CF5F"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30B410F9" w14:textId="30E7C722"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70A21708" w14:textId="77777777" w:rsidR="002D42C2"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after para 15.11:</w:t>
            </w:r>
          </w:p>
          <w:p w14:paraId="06FBF222" w14:textId="4579D638" w:rsidR="00BC620A" w:rsidRPr="00BC620A" w:rsidRDefault="00BC620A" w:rsidP="00646EBF">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‘NAR L is the network asset rate at level L in £/kW based on the 500MW model </w:t>
            </w:r>
            <w:r>
              <w:rPr>
                <w:rFonts w:ascii="Calibri" w:eastAsia="Times New Roman" w:hAnsi="Calibri" w:cs="Calibri"/>
                <w:i/>
                <w:iCs/>
                <w:color w:val="000000"/>
                <w:u w:val="single"/>
                <w:lang w:eastAsia="en-GB"/>
              </w:rPr>
              <w:t xml:space="preserve">calculated as the asset values for that voltage level divided by </w:t>
            </w:r>
            <w:r>
              <w:rPr>
                <w:rFonts w:ascii="Calibri" w:eastAsia="Times New Roman" w:hAnsi="Calibri" w:cs="Calibri"/>
                <w:i/>
                <w:iCs/>
                <w:color w:val="000000"/>
                <w:u w:val="single"/>
                <w:lang w:eastAsia="en-GB"/>
              </w:rPr>
              <w:lastRenderedPageBreak/>
              <w:t>the product of maximum demand at that voltage level and the loss adjustment factor to that voltage level’</w:t>
            </w:r>
          </w:p>
        </w:tc>
      </w:tr>
      <w:tr w:rsidR="00BA0C9C" w:rsidRPr="00646EBF" w14:paraId="102ACA08" w14:textId="77777777" w:rsidTr="00050280">
        <w:trPr>
          <w:trHeight w:val="900"/>
        </w:trPr>
        <w:tc>
          <w:tcPr>
            <w:tcW w:w="506" w:type="dxa"/>
            <w:shd w:val="clear" w:color="auto" w:fill="D9E2F3" w:themeFill="accent1" w:themeFillTint="33"/>
            <w:hideMark/>
          </w:tcPr>
          <w:p w14:paraId="49CA58FC"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15</w:t>
            </w:r>
          </w:p>
        </w:tc>
        <w:tc>
          <w:tcPr>
            <w:tcW w:w="0" w:type="auto"/>
            <w:shd w:val="clear" w:color="auto" w:fill="D9E2F3" w:themeFill="accent1" w:themeFillTint="33"/>
          </w:tcPr>
          <w:p w14:paraId="72C48785" w14:textId="7E074FDD"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15.11</w:t>
            </w:r>
          </w:p>
        </w:tc>
        <w:tc>
          <w:tcPr>
            <w:tcW w:w="1415" w:type="dxa"/>
            <w:shd w:val="clear" w:color="auto" w:fill="D9E2F3" w:themeFill="accent1" w:themeFillTint="33"/>
          </w:tcPr>
          <w:p w14:paraId="7890008F" w14:textId="457C51DF"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Peak time active power consumption in (kW/kVA)</w:t>
            </w:r>
          </w:p>
        </w:tc>
        <w:tc>
          <w:tcPr>
            <w:tcW w:w="1388" w:type="dxa"/>
            <w:shd w:val="clear" w:color="auto" w:fill="D9E2F3" w:themeFill="accent1" w:themeFillTint="33"/>
          </w:tcPr>
          <w:p w14:paraId="477268E8" w14:textId="08A2B4D5"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capacity</w:t>
            </w:r>
          </w:p>
        </w:tc>
        <w:tc>
          <w:tcPr>
            <w:tcW w:w="2894" w:type="dxa"/>
            <w:shd w:val="clear" w:color="auto" w:fill="D9E2F3" w:themeFill="accent1" w:themeFillTint="33"/>
          </w:tcPr>
          <w:p w14:paraId="0B2F68F9" w14:textId="039F73E5"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is a customer specific parameter and is equal to the average forecast super-red kW/kVA.</w:t>
            </w:r>
          </w:p>
        </w:tc>
        <w:tc>
          <w:tcPr>
            <w:tcW w:w="0" w:type="auto"/>
            <w:shd w:val="clear" w:color="auto" w:fill="000000" w:themeFill="text1"/>
            <w:noWrap/>
          </w:tcPr>
          <w:p w14:paraId="34DAC005"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4705560F" w14:textId="32A39C5D"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32C359E9" w14:textId="50BA4F85"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0B5D1F08" w14:textId="67537649" w:rsidR="00646EBF" w:rsidRPr="00646EBF" w:rsidRDefault="00BC620A"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2DAAD84C" w14:textId="77777777" w:rsidR="008744C9" w:rsidRDefault="00BC620A"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after para 15.11:</w:t>
            </w:r>
          </w:p>
          <w:p w14:paraId="0E7C3227" w14:textId="1651FC67" w:rsidR="00BC620A" w:rsidRPr="00DA6B93" w:rsidRDefault="00BC620A" w:rsidP="00BC620A">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‘D is the peak time active power consumption </w:t>
            </w:r>
            <w:r>
              <w:rPr>
                <w:rFonts w:ascii="Calibri" w:eastAsia="Times New Roman" w:hAnsi="Calibri" w:cs="Calibri"/>
                <w:i/>
                <w:iCs/>
                <w:color w:val="000000"/>
                <w:u w:val="single"/>
                <w:lang w:eastAsia="en-GB"/>
              </w:rPr>
              <w:t>for each Connectee</w:t>
            </w:r>
            <w:r>
              <w:rPr>
                <w:rFonts w:ascii="Calibri" w:eastAsia="Times New Roman" w:hAnsi="Calibri" w:cs="Calibri"/>
                <w:color w:val="000000"/>
                <w:lang w:eastAsia="en-GB"/>
              </w:rPr>
              <w:t xml:space="preserve"> in (kW/kVA). </w:t>
            </w:r>
            <w:r w:rsidR="00DA6B93">
              <w:rPr>
                <w:rFonts w:ascii="Calibri" w:eastAsia="Times New Roman" w:hAnsi="Calibri" w:cs="Calibri"/>
                <w:color w:val="000000"/>
                <w:lang w:eastAsia="en-GB"/>
              </w:rPr>
              <w:t xml:space="preserve">This is calculated as the </w:t>
            </w:r>
            <w:r w:rsidR="00DA6B93">
              <w:rPr>
                <w:rFonts w:ascii="Calibri" w:eastAsia="Times New Roman" w:hAnsi="Calibri" w:cs="Calibri"/>
                <w:i/>
                <w:iCs/>
                <w:color w:val="000000"/>
                <w:u w:val="single"/>
                <w:lang w:eastAsia="en-GB"/>
              </w:rPr>
              <w:t xml:space="preserve">[historical peak-time] super-red </w:t>
            </w:r>
            <w:r w:rsidR="00DA6B93">
              <w:rPr>
                <w:rFonts w:ascii="Calibri" w:eastAsia="Times New Roman" w:hAnsi="Calibri" w:cs="Calibri"/>
                <w:color w:val="000000"/>
                <w:lang w:eastAsia="en-GB"/>
              </w:rPr>
              <w:t xml:space="preserve">kW </w:t>
            </w:r>
            <w:r w:rsidR="00DA6B93">
              <w:rPr>
                <w:rFonts w:ascii="Calibri" w:eastAsia="Times New Roman" w:hAnsi="Calibri" w:cs="Calibri"/>
                <w:i/>
                <w:iCs/>
                <w:color w:val="000000"/>
                <w:u w:val="single"/>
                <w:lang w:eastAsia="en-GB"/>
              </w:rPr>
              <w:t xml:space="preserve">import </w:t>
            </w:r>
            <w:r w:rsidR="00DA6B93">
              <w:rPr>
                <w:rFonts w:ascii="Calibri" w:eastAsia="Times New Roman" w:hAnsi="Calibri" w:cs="Calibri"/>
                <w:color w:val="000000"/>
                <w:lang w:eastAsia="en-GB"/>
              </w:rPr>
              <w:t xml:space="preserve">divided by </w:t>
            </w:r>
            <w:r w:rsidR="00DA6B93">
              <w:rPr>
                <w:rFonts w:ascii="Calibri" w:eastAsia="Times New Roman" w:hAnsi="Calibri" w:cs="Calibri"/>
                <w:i/>
                <w:iCs/>
                <w:color w:val="000000"/>
                <w:u w:val="single"/>
                <w:lang w:eastAsia="en-GB"/>
              </w:rPr>
              <w:t>[historical maximum]</w:t>
            </w:r>
            <w:r w:rsidR="00DA6B93">
              <w:rPr>
                <w:rFonts w:ascii="Calibri" w:eastAsia="Times New Roman" w:hAnsi="Calibri" w:cs="Calibri"/>
                <w:color w:val="000000"/>
                <w:lang w:eastAsia="en-GB"/>
              </w:rPr>
              <w:t xml:space="preserve"> kVA </w:t>
            </w:r>
            <w:r w:rsidR="00DA6B93">
              <w:rPr>
                <w:rFonts w:ascii="Calibri" w:eastAsia="Times New Roman" w:hAnsi="Calibri" w:cs="Calibri"/>
                <w:i/>
                <w:iCs/>
                <w:color w:val="000000"/>
                <w:u w:val="single"/>
                <w:lang w:eastAsia="en-GB"/>
              </w:rPr>
              <w:t>capacity.’</w:t>
            </w:r>
          </w:p>
        </w:tc>
      </w:tr>
      <w:tr w:rsidR="00DA6B93" w:rsidRPr="00646EBF" w14:paraId="66F57534" w14:textId="77777777" w:rsidTr="00050280">
        <w:trPr>
          <w:trHeight w:val="900"/>
        </w:trPr>
        <w:tc>
          <w:tcPr>
            <w:tcW w:w="506" w:type="dxa"/>
            <w:shd w:val="clear" w:color="auto" w:fill="D9E2F3" w:themeFill="accent1" w:themeFillTint="33"/>
          </w:tcPr>
          <w:p w14:paraId="5E05BED5" w14:textId="6092299F" w:rsidR="00DA6B93" w:rsidRPr="00646EBF" w:rsidRDefault="00DA6B93"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16</w:t>
            </w:r>
          </w:p>
        </w:tc>
        <w:tc>
          <w:tcPr>
            <w:tcW w:w="0" w:type="auto"/>
            <w:shd w:val="clear" w:color="auto" w:fill="D9E2F3" w:themeFill="accent1" w:themeFillTint="33"/>
          </w:tcPr>
          <w:p w14:paraId="1D76D137" w14:textId="2ACAEE48" w:rsidR="00DA6B93" w:rsidRDefault="00DA6B9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15.13</w:t>
            </w:r>
          </w:p>
        </w:tc>
        <w:tc>
          <w:tcPr>
            <w:tcW w:w="1415" w:type="dxa"/>
            <w:shd w:val="clear" w:color="auto" w:fill="D9E2F3" w:themeFill="accent1" w:themeFillTint="33"/>
          </w:tcPr>
          <w:p w14:paraId="7244EAAB" w14:textId="69040866" w:rsidR="00DA6B93" w:rsidRDefault="00DA6B9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NUFs for mixed import-export sites that are generation-dominated</w:t>
            </w:r>
          </w:p>
        </w:tc>
        <w:tc>
          <w:tcPr>
            <w:tcW w:w="1388" w:type="dxa"/>
            <w:shd w:val="clear" w:color="auto" w:fill="D9E2F3" w:themeFill="accent1" w:themeFillTint="33"/>
          </w:tcPr>
          <w:p w14:paraId="58EB8B18" w14:textId="63123406" w:rsidR="00DA6B93" w:rsidRDefault="00DA6B9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EDCM FCP; </w:t>
            </w:r>
            <w:r w:rsidR="002028B0">
              <w:rPr>
                <w:rFonts w:ascii="Calibri" w:eastAsia="Times New Roman" w:hAnsi="Calibri" w:cs="Calibri"/>
                <w:color w:val="000000"/>
                <w:lang w:eastAsia="en-GB"/>
              </w:rPr>
              <w:t>Tariff inputs</w:t>
            </w:r>
          </w:p>
        </w:tc>
        <w:tc>
          <w:tcPr>
            <w:tcW w:w="2894" w:type="dxa"/>
            <w:shd w:val="clear" w:color="auto" w:fill="D9E2F3" w:themeFill="accent1" w:themeFillTint="33"/>
          </w:tcPr>
          <w:p w14:paraId="5F4403FD" w14:textId="4D241320" w:rsidR="00DA6B93" w:rsidRDefault="00DA6B9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calculation described in this paragraph is carried out prior to NUFs being input into the model.</w:t>
            </w:r>
          </w:p>
        </w:tc>
        <w:tc>
          <w:tcPr>
            <w:tcW w:w="0" w:type="auto"/>
            <w:shd w:val="clear" w:color="auto" w:fill="000000" w:themeFill="text1"/>
            <w:noWrap/>
          </w:tcPr>
          <w:p w14:paraId="4F59ECCE" w14:textId="77777777" w:rsidR="00DA6B93" w:rsidRPr="00646EBF" w:rsidRDefault="00DA6B93"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47DE8A41" w14:textId="06DBD0C8" w:rsidR="00DA6B93" w:rsidRDefault="00DA6B9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tcPr>
          <w:p w14:paraId="3F6ABD46" w14:textId="47E11A9B" w:rsidR="00DA6B93" w:rsidRDefault="00DA6B9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change – point of interface into </w:t>
            </w:r>
            <w:r w:rsidR="002028B0">
              <w:rPr>
                <w:rFonts w:ascii="Calibri" w:eastAsia="Times New Roman" w:hAnsi="Calibri" w:cs="Calibri"/>
                <w:color w:val="000000"/>
                <w:lang w:eastAsia="en-GB"/>
              </w:rPr>
              <w:t>model is not a matter for the methodology</w:t>
            </w:r>
          </w:p>
        </w:tc>
        <w:tc>
          <w:tcPr>
            <w:tcW w:w="2463" w:type="dxa"/>
            <w:shd w:val="clear" w:color="auto" w:fill="D9E2F3" w:themeFill="accent1" w:themeFillTint="33"/>
          </w:tcPr>
          <w:p w14:paraId="7CEC0237" w14:textId="26A1B773" w:rsidR="00DA6B93"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tcPr>
          <w:p w14:paraId="051DE561" w14:textId="77777777" w:rsidR="00DA6B93" w:rsidRDefault="00DA6B93" w:rsidP="00BC620A">
            <w:pPr>
              <w:spacing w:after="0" w:line="240" w:lineRule="auto"/>
              <w:rPr>
                <w:rFonts w:ascii="Calibri" w:eastAsia="Times New Roman" w:hAnsi="Calibri" w:cs="Calibri"/>
                <w:color w:val="000000"/>
                <w:lang w:eastAsia="en-GB"/>
              </w:rPr>
            </w:pPr>
          </w:p>
        </w:tc>
      </w:tr>
      <w:tr w:rsidR="002028B0" w:rsidRPr="00646EBF" w14:paraId="4A4624BE" w14:textId="77777777" w:rsidTr="00050280">
        <w:trPr>
          <w:trHeight w:val="900"/>
        </w:trPr>
        <w:tc>
          <w:tcPr>
            <w:tcW w:w="506" w:type="dxa"/>
            <w:shd w:val="clear" w:color="auto" w:fill="D9E2F3" w:themeFill="accent1" w:themeFillTint="33"/>
          </w:tcPr>
          <w:p w14:paraId="7394B2CE" w14:textId="0EFD953D" w:rsidR="002028B0" w:rsidRDefault="002028B0"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17</w:t>
            </w:r>
          </w:p>
        </w:tc>
        <w:tc>
          <w:tcPr>
            <w:tcW w:w="0" w:type="auto"/>
            <w:shd w:val="clear" w:color="auto" w:fill="D9E2F3" w:themeFill="accent1" w:themeFillTint="33"/>
          </w:tcPr>
          <w:p w14:paraId="2A9C8FB5" w14:textId="6EF5E63A"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16.1, 16.10</w:t>
            </w:r>
          </w:p>
        </w:tc>
        <w:tc>
          <w:tcPr>
            <w:tcW w:w="1415" w:type="dxa"/>
            <w:shd w:val="clear" w:color="auto" w:fill="D9E2F3" w:themeFill="accent1" w:themeFillTint="33"/>
          </w:tcPr>
          <w:p w14:paraId="5341EACB" w14:textId="3CB7A3D6"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Generation and transmission charge revenue</w:t>
            </w:r>
          </w:p>
        </w:tc>
        <w:tc>
          <w:tcPr>
            <w:tcW w:w="1388" w:type="dxa"/>
            <w:shd w:val="clear" w:color="auto" w:fill="D9E2F3" w:themeFill="accent1" w:themeFillTint="33"/>
          </w:tcPr>
          <w:p w14:paraId="22D957FF" w14:textId="28966B55"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capacity</w:t>
            </w:r>
          </w:p>
        </w:tc>
        <w:tc>
          <w:tcPr>
            <w:tcW w:w="2894" w:type="dxa"/>
            <w:shd w:val="clear" w:color="auto" w:fill="D9E2F3" w:themeFill="accent1" w:themeFillTint="33"/>
          </w:tcPr>
          <w:p w14:paraId="07119AD8" w14:textId="39433117"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generation revenue should be explicitly deducted from the calculation of the EDCM Demand Revenue Target, whereas that transmission charges should be included in the overall revenue target and are therefore not deducted here.</w:t>
            </w:r>
          </w:p>
        </w:tc>
        <w:tc>
          <w:tcPr>
            <w:tcW w:w="0" w:type="auto"/>
            <w:shd w:val="clear" w:color="auto" w:fill="000000" w:themeFill="text1"/>
            <w:noWrap/>
          </w:tcPr>
          <w:p w14:paraId="496E15B4" w14:textId="77777777" w:rsidR="002028B0" w:rsidRPr="00646EBF" w:rsidRDefault="002028B0"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1F436DF0" w14:textId="36C6C940"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tcPr>
          <w:p w14:paraId="78DD57F7" w14:textId="6D2B7762"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 legal text is considered sufficiently clear as it stands</w:t>
            </w:r>
          </w:p>
        </w:tc>
        <w:tc>
          <w:tcPr>
            <w:tcW w:w="2463" w:type="dxa"/>
            <w:shd w:val="clear" w:color="auto" w:fill="D9E2F3" w:themeFill="accent1" w:themeFillTint="33"/>
          </w:tcPr>
          <w:p w14:paraId="5E849F61" w14:textId="1541C20B"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tcPr>
          <w:p w14:paraId="20E347CC" w14:textId="77777777" w:rsidR="002028B0" w:rsidRDefault="002028B0" w:rsidP="00BC620A">
            <w:pPr>
              <w:spacing w:after="0" w:line="240" w:lineRule="auto"/>
              <w:rPr>
                <w:rFonts w:ascii="Calibri" w:eastAsia="Times New Roman" w:hAnsi="Calibri" w:cs="Calibri"/>
                <w:color w:val="000000"/>
                <w:lang w:eastAsia="en-GB"/>
              </w:rPr>
            </w:pPr>
          </w:p>
        </w:tc>
      </w:tr>
      <w:tr w:rsidR="002028B0" w:rsidRPr="00646EBF" w14:paraId="0DEE9F93" w14:textId="77777777" w:rsidTr="00050280">
        <w:trPr>
          <w:trHeight w:val="900"/>
        </w:trPr>
        <w:tc>
          <w:tcPr>
            <w:tcW w:w="506" w:type="dxa"/>
            <w:shd w:val="clear" w:color="auto" w:fill="D9E2F3" w:themeFill="accent1" w:themeFillTint="33"/>
          </w:tcPr>
          <w:p w14:paraId="025B842F" w14:textId="5BF4E919" w:rsidR="002028B0" w:rsidRDefault="002028B0"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18</w:t>
            </w:r>
          </w:p>
        </w:tc>
        <w:tc>
          <w:tcPr>
            <w:tcW w:w="0" w:type="auto"/>
            <w:shd w:val="clear" w:color="auto" w:fill="D9E2F3" w:themeFill="accent1" w:themeFillTint="33"/>
          </w:tcPr>
          <w:p w14:paraId="0BEAC0CA" w14:textId="08EEA86C"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17.1, 17.2</w:t>
            </w:r>
          </w:p>
        </w:tc>
        <w:tc>
          <w:tcPr>
            <w:tcW w:w="1415" w:type="dxa"/>
            <w:shd w:val="clear" w:color="auto" w:fill="D9E2F3" w:themeFill="accent1" w:themeFillTint="33"/>
          </w:tcPr>
          <w:p w14:paraId="47F2C453" w14:textId="1FCD3568"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Fixed charge calculation</w:t>
            </w:r>
          </w:p>
        </w:tc>
        <w:tc>
          <w:tcPr>
            <w:tcW w:w="1388" w:type="dxa"/>
            <w:shd w:val="clear" w:color="auto" w:fill="D9E2F3" w:themeFill="accent1" w:themeFillTint="33"/>
          </w:tcPr>
          <w:p w14:paraId="476284CD" w14:textId="66955D71"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Fixed</w:t>
            </w:r>
          </w:p>
        </w:tc>
        <w:tc>
          <w:tcPr>
            <w:tcW w:w="2894" w:type="dxa"/>
            <w:shd w:val="clear" w:color="auto" w:fill="D9E2F3" w:themeFill="accent1" w:themeFillTint="33"/>
          </w:tcPr>
          <w:p w14:paraId="298D832B" w14:textId="799362EA"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formulae in Schedule 17 paragraph 17.2 can supersede the one for import </w:t>
            </w:r>
            <w:r>
              <w:rPr>
                <w:rFonts w:ascii="Calibri" w:eastAsia="Times New Roman" w:hAnsi="Calibri" w:cs="Calibri"/>
                <w:color w:val="000000"/>
                <w:lang w:eastAsia="en-GB"/>
              </w:rPr>
              <w:lastRenderedPageBreak/>
              <w:t>charges in 17.1, as when the capitalised O&amp;M percentage is 0%, the are equal.</w:t>
            </w:r>
          </w:p>
        </w:tc>
        <w:tc>
          <w:tcPr>
            <w:tcW w:w="0" w:type="auto"/>
            <w:shd w:val="clear" w:color="auto" w:fill="000000" w:themeFill="text1"/>
            <w:noWrap/>
          </w:tcPr>
          <w:p w14:paraId="34EDC22B" w14:textId="77777777" w:rsidR="002028B0" w:rsidRPr="00646EBF" w:rsidRDefault="002028B0"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203EB248" w14:textId="2EE4DA7B"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tcPr>
          <w:p w14:paraId="204A32A6" w14:textId="794D10BA"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No change – the legal text states at the end of the </w:t>
            </w:r>
            <w:r>
              <w:rPr>
                <w:rFonts w:ascii="Calibri" w:eastAsia="Times New Roman" w:hAnsi="Calibri" w:cs="Calibri"/>
                <w:color w:val="000000"/>
                <w:lang w:eastAsia="en-GB"/>
              </w:rPr>
              <w:lastRenderedPageBreak/>
              <w:t>first section of para 17.2 ‘the calculation for the import fixed charge in paragraph 17.1 will not apply’, so this is considered explicit in legal text and not a modelling assumption.</w:t>
            </w:r>
          </w:p>
        </w:tc>
        <w:tc>
          <w:tcPr>
            <w:tcW w:w="2463" w:type="dxa"/>
            <w:shd w:val="clear" w:color="auto" w:fill="D9E2F3" w:themeFill="accent1" w:themeFillTint="33"/>
          </w:tcPr>
          <w:p w14:paraId="5985D083" w14:textId="5AFB6660" w:rsidR="002028B0" w:rsidRDefault="002028B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lastRenderedPageBreak/>
              <w:t>No action</w:t>
            </w:r>
          </w:p>
        </w:tc>
        <w:tc>
          <w:tcPr>
            <w:tcW w:w="3025" w:type="dxa"/>
            <w:shd w:val="clear" w:color="auto" w:fill="D9E2F3" w:themeFill="accent1" w:themeFillTint="33"/>
          </w:tcPr>
          <w:p w14:paraId="7D9D12FE" w14:textId="77777777" w:rsidR="002028B0" w:rsidRDefault="002028B0" w:rsidP="00BC620A">
            <w:pPr>
              <w:spacing w:after="0" w:line="240" w:lineRule="auto"/>
              <w:rPr>
                <w:rFonts w:ascii="Calibri" w:eastAsia="Times New Roman" w:hAnsi="Calibri" w:cs="Calibri"/>
                <w:color w:val="000000"/>
                <w:lang w:eastAsia="en-GB"/>
              </w:rPr>
            </w:pPr>
          </w:p>
        </w:tc>
      </w:tr>
      <w:tr w:rsidR="002028B0" w:rsidRPr="00646EBF" w14:paraId="263AD6A9" w14:textId="77777777" w:rsidTr="00050280">
        <w:trPr>
          <w:trHeight w:val="900"/>
        </w:trPr>
        <w:tc>
          <w:tcPr>
            <w:tcW w:w="506" w:type="dxa"/>
            <w:shd w:val="clear" w:color="auto" w:fill="D9E2F3" w:themeFill="accent1" w:themeFillTint="33"/>
          </w:tcPr>
          <w:p w14:paraId="669354A4" w14:textId="405C53C5" w:rsidR="002028B0" w:rsidRDefault="002028B0"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19</w:t>
            </w:r>
          </w:p>
        </w:tc>
        <w:tc>
          <w:tcPr>
            <w:tcW w:w="0" w:type="auto"/>
            <w:shd w:val="clear" w:color="auto" w:fill="D9E2F3" w:themeFill="accent1" w:themeFillTint="33"/>
          </w:tcPr>
          <w:p w14:paraId="3D230F2A" w14:textId="6B8D25B5" w:rsidR="002028B0"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18.4-18.8</w:t>
            </w:r>
          </w:p>
        </w:tc>
        <w:tc>
          <w:tcPr>
            <w:tcW w:w="1415" w:type="dxa"/>
            <w:shd w:val="clear" w:color="auto" w:fill="D9E2F3" w:themeFill="accent1" w:themeFillTint="33"/>
          </w:tcPr>
          <w:p w14:paraId="05099434" w14:textId="7BDA250B" w:rsidR="002028B0"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Network use factor cap and collar</w:t>
            </w:r>
          </w:p>
        </w:tc>
        <w:tc>
          <w:tcPr>
            <w:tcW w:w="1388" w:type="dxa"/>
            <w:shd w:val="clear" w:color="auto" w:fill="D9E2F3" w:themeFill="accent1" w:themeFillTint="33"/>
          </w:tcPr>
          <w:p w14:paraId="5B874F7A" w14:textId="7324952A" w:rsidR="002028B0"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General inputs</w:t>
            </w:r>
          </w:p>
        </w:tc>
        <w:tc>
          <w:tcPr>
            <w:tcW w:w="2894" w:type="dxa"/>
            <w:shd w:val="clear" w:color="auto" w:fill="D9E2F3" w:themeFill="accent1" w:themeFillTint="33"/>
          </w:tcPr>
          <w:p w14:paraId="7100EB30" w14:textId="62F56586" w:rsidR="002028B0"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is calculated elsewhere and entered as an input.</w:t>
            </w:r>
          </w:p>
        </w:tc>
        <w:tc>
          <w:tcPr>
            <w:tcW w:w="0" w:type="auto"/>
            <w:shd w:val="clear" w:color="auto" w:fill="000000" w:themeFill="text1"/>
            <w:noWrap/>
          </w:tcPr>
          <w:p w14:paraId="4B4B718B" w14:textId="77777777" w:rsidR="002028B0" w:rsidRPr="00646EBF" w:rsidRDefault="002028B0"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284FCAEC" w14:textId="189E8465" w:rsidR="002028B0"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tcPr>
          <w:p w14:paraId="18288904" w14:textId="307AEE9D" w:rsidR="002028B0"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 point of interface into model is not a matter for the methodology</w:t>
            </w:r>
          </w:p>
        </w:tc>
        <w:tc>
          <w:tcPr>
            <w:tcW w:w="2463" w:type="dxa"/>
            <w:shd w:val="clear" w:color="auto" w:fill="D9E2F3" w:themeFill="accent1" w:themeFillTint="33"/>
          </w:tcPr>
          <w:p w14:paraId="661D2AA7" w14:textId="2D8EDC81" w:rsidR="002028B0"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tcPr>
          <w:p w14:paraId="07FA3E76" w14:textId="77777777" w:rsidR="002028B0" w:rsidRDefault="002028B0" w:rsidP="00BC620A">
            <w:pPr>
              <w:spacing w:after="0" w:line="240" w:lineRule="auto"/>
              <w:rPr>
                <w:rFonts w:ascii="Calibri" w:eastAsia="Times New Roman" w:hAnsi="Calibri" w:cs="Calibri"/>
                <w:color w:val="000000"/>
                <w:lang w:eastAsia="en-GB"/>
              </w:rPr>
            </w:pPr>
          </w:p>
        </w:tc>
      </w:tr>
      <w:tr w:rsidR="000F22F1" w:rsidRPr="00646EBF" w14:paraId="55AE8665" w14:textId="77777777" w:rsidTr="00050280">
        <w:trPr>
          <w:trHeight w:val="900"/>
        </w:trPr>
        <w:tc>
          <w:tcPr>
            <w:tcW w:w="506" w:type="dxa"/>
            <w:shd w:val="clear" w:color="auto" w:fill="D9E2F3" w:themeFill="accent1" w:themeFillTint="33"/>
          </w:tcPr>
          <w:p w14:paraId="3EE1C2AA" w14:textId="37A592AE" w:rsidR="000F22F1" w:rsidRDefault="000F22F1"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20</w:t>
            </w:r>
          </w:p>
        </w:tc>
        <w:tc>
          <w:tcPr>
            <w:tcW w:w="0" w:type="auto"/>
            <w:shd w:val="clear" w:color="auto" w:fill="D9E2F3" w:themeFill="accent1" w:themeFillTint="33"/>
          </w:tcPr>
          <w:p w14:paraId="75F5BDEF" w14:textId="0714D4AC" w:rsidR="000F22F1"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18.16</w:t>
            </w:r>
          </w:p>
        </w:tc>
        <w:tc>
          <w:tcPr>
            <w:tcW w:w="1415" w:type="dxa"/>
            <w:shd w:val="clear" w:color="auto" w:fill="D9E2F3" w:themeFill="accent1" w:themeFillTint="33"/>
          </w:tcPr>
          <w:p w14:paraId="6F847348" w14:textId="7C85AE7A" w:rsidR="000F22F1"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Charging rate for indirect costs</w:t>
            </w:r>
          </w:p>
        </w:tc>
        <w:tc>
          <w:tcPr>
            <w:tcW w:w="1388" w:type="dxa"/>
            <w:shd w:val="clear" w:color="auto" w:fill="D9E2F3" w:themeFill="accent1" w:themeFillTint="33"/>
          </w:tcPr>
          <w:p w14:paraId="47477BEE" w14:textId="1667D775" w:rsidR="000F22F1"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capacity</w:t>
            </w:r>
          </w:p>
        </w:tc>
        <w:tc>
          <w:tcPr>
            <w:tcW w:w="2894" w:type="dxa"/>
            <w:shd w:val="clear" w:color="auto" w:fill="D9E2F3" w:themeFill="accent1" w:themeFillTint="33"/>
          </w:tcPr>
          <w:p w14:paraId="1C6A2D29" w14:textId="3309250F" w:rsidR="000F22F1"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reference to “for each </w:t>
            </w:r>
            <w:proofErr w:type="spellStart"/>
            <w:r>
              <w:rPr>
                <w:rFonts w:ascii="Calibri" w:eastAsia="Times New Roman" w:hAnsi="Calibri" w:cs="Calibri"/>
                <w:color w:val="000000"/>
                <w:lang w:eastAsia="en-GB"/>
              </w:rPr>
              <w:t>connectee</w:t>
            </w:r>
            <w:proofErr w:type="spellEnd"/>
            <w:r>
              <w:rPr>
                <w:rFonts w:ascii="Calibri" w:eastAsia="Times New Roman" w:hAnsi="Calibri" w:cs="Calibri"/>
                <w:color w:val="000000"/>
                <w:lang w:eastAsia="en-GB"/>
              </w:rPr>
              <w:t>” is incorrect and that this in fact is a single rate across all connectees</w:t>
            </w:r>
          </w:p>
        </w:tc>
        <w:tc>
          <w:tcPr>
            <w:tcW w:w="0" w:type="auto"/>
            <w:shd w:val="clear" w:color="auto" w:fill="000000" w:themeFill="text1"/>
            <w:noWrap/>
          </w:tcPr>
          <w:p w14:paraId="30532D40" w14:textId="77777777" w:rsidR="000F22F1" w:rsidRPr="00646EBF" w:rsidRDefault="000F22F1"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01FBC24D" w14:textId="75E81F27" w:rsidR="000F22F1"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1</w:t>
            </w:r>
          </w:p>
        </w:tc>
        <w:tc>
          <w:tcPr>
            <w:tcW w:w="1316" w:type="dxa"/>
            <w:shd w:val="clear" w:color="auto" w:fill="D9E2F3" w:themeFill="accent1" w:themeFillTint="33"/>
          </w:tcPr>
          <w:p w14:paraId="3259B37A" w14:textId="3A4323BA" w:rsidR="000F22F1" w:rsidRDefault="000F22F1"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has historically been inconsistent with the legal text. So arguably part two in that we are just</w:t>
            </w:r>
            <w:r w:rsidR="00E57F9D">
              <w:rPr>
                <w:rFonts w:ascii="Calibri" w:eastAsia="Times New Roman" w:hAnsi="Calibri" w:cs="Calibri"/>
                <w:color w:val="000000"/>
                <w:lang w:eastAsia="en-GB"/>
              </w:rPr>
              <w:t xml:space="preserve"> aligning legal text to model. But also, arguably part one as, if the model were </w:t>
            </w:r>
            <w:r w:rsidR="00E57F9D">
              <w:rPr>
                <w:rFonts w:ascii="Calibri" w:eastAsia="Times New Roman" w:hAnsi="Calibri" w:cs="Calibri"/>
                <w:color w:val="000000"/>
                <w:lang w:eastAsia="en-GB"/>
              </w:rPr>
              <w:lastRenderedPageBreak/>
              <w:t>aligned to the legal text previously, this would have an impact on charges.</w:t>
            </w:r>
          </w:p>
        </w:tc>
        <w:tc>
          <w:tcPr>
            <w:tcW w:w="2463" w:type="dxa"/>
            <w:shd w:val="clear" w:color="auto" w:fill="D9E2F3" w:themeFill="accent1" w:themeFillTint="33"/>
          </w:tcPr>
          <w:p w14:paraId="36472F4F" w14:textId="5858A952" w:rsidR="000F22F1" w:rsidRDefault="00E57F9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lastRenderedPageBreak/>
              <w:t>EDCM (LRIC and FCP) – Legal text and model mis-aligned</w:t>
            </w:r>
          </w:p>
        </w:tc>
        <w:tc>
          <w:tcPr>
            <w:tcW w:w="3025" w:type="dxa"/>
            <w:shd w:val="clear" w:color="auto" w:fill="D9E2F3" w:themeFill="accent1" w:themeFillTint="33"/>
          </w:tcPr>
          <w:p w14:paraId="7F999E3C" w14:textId="77777777" w:rsidR="000F22F1" w:rsidRDefault="00E57F9D"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18.16:</w:t>
            </w:r>
          </w:p>
          <w:p w14:paraId="63EEA7F6" w14:textId="709477CB" w:rsidR="00E57F9D" w:rsidRPr="00E57F9D" w:rsidRDefault="00E57F9D"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 p/kVA/day charging rate for indirect costs </w:t>
            </w:r>
            <w:r>
              <w:rPr>
                <w:rFonts w:ascii="Calibri" w:eastAsia="Times New Roman" w:hAnsi="Calibri" w:cs="Calibri"/>
                <w:i/>
                <w:iCs/>
                <w:color w:val="000000"/>
                <w:u w:val="single"/>
                <w:lang w:eastAsia="en-GB"/>
              </w:rPr>
              <w:t xml:space="preserve">[for each EDCM Connectee] </w:t>
            </w:r>
            <w:r>
              <w:rPr>
                <w:rFonts w:ascii="Calibri" w:eastAsia="Times New Roman" w:hAnsi="Calibri" w:cs="Calibri"/>
                <w:color w:val="000000"/>
                <w:lang w:eastAsia="en-GB"/>
              </w:rPr>
              <w:t xml:space="preserve">is calculated on the basis of historical demand at the time of the DNO Party’s peak and 50 per cent of Maximum Import Capacity of </w:t>
            </w:r>
            <w:r>
              <w:rPr>
                <w:rFonts w:ascii="Calibri" w:eastAsia="Times New Roman" w:hAnsi="Calibri" w:cs="Calibri"/>
                <w:i/>
                <w:iCs/>
                <w:color w:val="000000"/>
                <w:u w:val="single"/>
                <w:lang w:eastAsia="en-GB"/>
              </w:rPr>
              <w:t xml:space="preserve">[that] each </w:t>
            </w:r>
            <w:r>
              <w:rPr>
                <w:rFonts w:ascii="Calibri" w:eastAsia="Times New Roman" w:hAnsi="Calibri" w:cs="Calibri"/>
                <w:color w:val="000000"/>
                <w:lang w:eastAsia="en-GB"/>
              </w:rPr>
              <w:t>Connectee’</w:t>
            </w:r>
          </w:p>
        </w:tc>
      </w:tr>
      <w:tr w:rsidR="00E57F9D" w:rsidRPr="00646EBF" w14:paraId="74E0AA5C" w14:textId="77777777" w:rsidTr="00050280">
        <w:trPr>
          <w:trHeight w:val="900"/>
        </w:trPr>
        <w:tc>
          <w:tcPr>
            <w:tcW w:w="506" w:type="dxa"/>
            <w:shd w:val="clear" w:color="auto" w:fill="D9E2F3" w:themeFill="accent1" w:themeFillTint="33"/>
          </w:tcPr>
          <w:p w14:paraId="4D6AA404" w14:textId="64E2735A" w:rsidR="00E57F9D" w:rsidRDefault="00E57F9D"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21</w:t>
            </w:r>
          </w:p>
        </w:tc>
        <w:tc>
          <w:tcPr>
            <w:tcW w:w="0" w:type="auto"/>
            <w:shd w:val="clear" w:color="auto" w:fill="D9E2F3" w:themeFill="accent1" w:themeFillTint="33"/>
          </w:tcPr>
          <w:p w14:paraId="0F2315D5" w14:textId="313F66EE" w:rsidR="00E57F9D" w:rsidRDefault="00E57F9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18.17</w:t>
            </w:r>
          </w:p>
        </w:tc>
        <w:tc>
          <w:tcPr>
            <w:tcW w:w="1415" w:type="dxa"/>
            <w:shd w:val="clear" w:color="auto" w:fill="D9E2F3" w:themeFill="accent1" w:themeFillTint="33"/>
          </w:tcPr>
          <w:p w14:paraId="500940D4" w14:textId="18F3ECC6" w:rsidR="00E57F9D" w:rsidRDefault="00E57F9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Multiplication by LDNO factor</w:t>
            </w:r>
          </w:p>
        </w:tc>
        <w:tc>
          <w:tcPr>
            <w:tcW w:w="1388" w:type="dxa"/>
            <w:shd w:val="clear" w:color="auto" w:fill="D9E2F3" w:themeFill="accent1" w:themeFillTint="33"/>
          </w:tcPr>
          <w:p w14:paraId="0E08E48D" w14:textId="01793D0B" w:rsidR="00E57F9D" w:rsidRDefault="00E57F9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capacity</w:t>
            </w:r>
          </w:p>
        </w:tc>
        <w:tc>
          <w:tcPr>
            <w:tcW w:w="2894" w:type="dxa"/>
            <w:shd w:val="clear" w:color="auto" w:fill="D9E2F3" w:themeFill="accent1" w:themeFillTint="33"/>
          </w:tcPr>
          <w:p w14:paraId="0634BF68" w14:textId="1679E607" w:rsidR="00E57F9D" w:rsidRDefault="00E57F9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multiplication by the LDNO factor is the same as the scaling down by 50% as described in Schedule 17, Paragraph 26.11. Therefore, this multiplication is conditional on whether or not residual revenue is negative.</w:t>
            </w:r>
          </w:p>
        </w:tc>
        <w:tc>
          <w:tcPr>
            <w:tcW w:w="0" w:type="auto"/>
            <w:shd w:val="clear" w:color="auto" w:fill="000000" w:themeFill="text1"/>
            <w:noWrap/>
          </w:tcPr>
          <w:p w14:paraId="309FA584" w14:textId="77777777" w:rsidR="00E57F9D" w:rsidRPr="00646EBF" w:rsidRDefault="00E57F9D"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779D7D49" w14:textId="62C68F7B" w:rsidR="00E57F9D" w:rsidRDefault="00E57F9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1</w:t>
            </w:r>
          </w:p>
        </w:tc>
        <w:tc>
          <w:tcPr>
            <w:tcW w:w="1316" w:type="dxa"/>
            <w:shd w:val="clear" w:color="auto" w:fill="D9E2F3" w:themeFill="accent1" w:themeFillTint="33"/>
          </w:tcPr>
          <w:p w14:paraId="6FDC4C88" w14:textId="4E0D4408" w:rsidR="00E57F9D" w:rsidRDefault="00E57F9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legal text has historically been both internally inconsistent between paragraph 26.11 (which states that the 0.5 reduction should only apply if residual is negative) contradicts paragraphs 18.17 (which applies the 0.5 reduction regardless of residual) and 18.21 (which does not apply the 0.5 reduction at all). The model has been aligned with 26.11 </w:t>
            </w:r>
            <w:r>
              <w:rPr>
                <w:rFonts w:ascii="Calibri" w:eastAsia="Times New Roman" w:hAnsi="Calibri" w:cs="Calibri"/>
                <w:color w:val="000000"/>
                <w:lang w:eastAsia="en-GB"/>
              </w:rPr>
              <w:lastRenderedPageBreak/>
              <w:t>but not 18.17</w:t>
            </w:r>
            <w:r w:rsidR="00B63120">
              <w:rPr>
                <w:rFonts w:ascii="Calibri" w:eastAsia="Times New Roman" w:hAnsi="Calibri" w:cs="Calibri"/>
                <w:color w:val="000000"/>
                <w:lang w:eastAsia="en-GB"/>
              </w:rPr>
              <w:t xml:space="preserve"> and 18.21</w:t>
            </w:r>
          </w:p>
        </w:tc>
        <w:tc>
          <w:tcPr>
            <w:tcW w:w="2463" w:type="dxa"/>
            <w:shd w:val="clear" w:color="auto" w:fill="D9E2F3" w:themeFill="accent1" w:themeFillTint="33"/>
          </w:tcPr>
          <w:p w14:paraId="7170F6B6" w14:textId="59B925C5" w:rsidR="00E57F9D" w:rsidRDefault="00B6312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lastRenderedPageBreak/>
              <w:t>EDCM (LRIC and FCP) – Legal text and model mis-aligned</w:t>
            </w:r>
          </w:p>
        </w:tc>
        <w:tc>
          <w:tcPr>
            <w:tcW w:w="3025" w:type="dxa"/>
            <w:shd w:val="clear" w:color="auto" w:fill="D9E2F3" w:themeFill="accent1" w:themeFillTint="33"/>
          </w:tcPr>
          <w:p w14:paraId="2263E248" w14:textId="77777777" w:rsidR="00E57F9D" w:rsidRDefault="00B63120" w:rsidP="00BC620A">
            <w:pPr>
              <w:spacing w:after="0" w:line="240" w:lineRule="auto"/>
              <w:rPr>
                <w:rFonts w:ascii="Calibri" w:eastAsia="Times New Roman" w:hAnsi="Calibri" w:cs="Calibri"/>
                <w:b/>
                <w:bCs/>
                <w:color w:val="000000"/>
                <w:lang w:eastAsia="en-GB"/>
              </w:rPr>
            </w:pPr>
            <w:r>
              <w:rPr>
                <w:rFonts w:ascii="Calibri" w:eastAsia="Times New Roman" w:hAnsi="Calibri" w:cs="Calibri"/>
                <w:b/>
                <w:bCs/>
                <w:color w:val="000000"/>
                <w:lang w:eastAsia="en-GB"/>
              </w:rPr>
              <w:t>Quick fix:</w:t>
            </w:r>
          </w:p>
          <w:p w14:paraId="7F0FED3F" w14:textId="77777777" w:rsidR="00B63120" w:rsidRDefault="00B63120"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 18.6 to maintain existing assumption:</w:t>
            </w:r>
          </w:p>
          <w:p w14:paraId="74BECA22" w14:textId="77777777" w:rsidR="00B63120" w:rsidRDefault="00B63120"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LDNO factor takes the value 0.5 is the EDCM Connectee is connected to an IDNO Party’s network </w:t>
            </w:r>
            <w:r>
              <w:rPr>
                <w:rFonts w:ascii="Calibri" w:eastAsia="Times New Roman" w:hAnsi="Calibri" w:cs="Calibri"/>
                <w:i/>
                <w:iCs/>
                <w:color w:val="000000"/>
                <w:u w:val="single"/>
                <w:lang w:eastAsia="en-GB"/>
              </w:rPr>
              <w:t xml:space="preserve">and residual revenue contribution rate as defined in paragraph 16.6 is positive, </w:t>
            </w:r>
            <w:r>
              <w:rPr>
                <w:rFonts w:ascii="Calibri" w:eastAsia="Times New Roman" w:hAnsi="Calibri" w:cs="Calibri"/>
                <w:color w:val="000000"/>
                <w:lang w:eastAsia="en-GB"/>
              </w:rPr>
              <w:t>and 1 otherwise</w:t>
            </w:r>
            <w:r w:rsidR="00BA1915">
              <w:rPr>
                <w:rFonts w:ascii="Calibri" w:eastAsia="Times New Roman" w:hAnsi="Calibri" w:cs="Calibri"/>
                <w:color w:val="000000"/>
                <w:lang w:eastAsia="en-GB"/>
              </w:rPr>
              <w:t>.</w:t>
            </w:r>
          </w:p>
          <w:p w14:paraId="7803F193" w14:textId="77777777" w:rsidR="00BA1915" w:rsidRDefault="00BA1915"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 18.17 to maintain existing assumption:</w:t>
            </w:r>
          </w:p>
          <w:p w14:paraId="4B8E3778" w14:textId="77777777" w:rsidR="00BA1915" w:rsidRDefault="00BA1915"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LDNO factor takes the value 0.5 if the EDCM Connectee is connected to an IDNO Party’s network </w:t>
            </w:r>
            <w:r>
              <w:rPr>
                <w:rFonts w:ascii="Calibri" w:eastAsia="Times New Roman" w:hAnsi="Calibri" w:cs="Calibri"/>
                <w:i/>
                <w:iCs/>
                <w:color w:val="000000"/>
                <w:u w:val="single"/>
                <w:lang w:eastAsia="en-GB"/>
              </w:rPr>
              <w:t xml:space="preserve">and residual revenue contribution rate as defined in paragraph 16.6 is positive, </w:t>
            </w:r>
            <w:r>
              <w:rPr>
                <w:rFonts w:ascii="Calibri" w:eastAsia="Times New Roman" w:hAnsi="Calibri" w:cs="Calibri"/>
                <w:color w:val="000000"/>
                <w:lang w:eastAsia="en-GB"/>
              </w:rPr>
              <w:t>and 1 otherwise.</w:t>
            </w:r>
          </w:p>
          <w:p w14:paraId="04C1E311" w14:textId="77777777" w:rsidR="00BA1915" w:rsidRDefault="00BA1915"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paragraph 18.20:</w:t>
            </w:r>
          </w:p>
          <w:p w14:paraId="53D72377" w14:textId="77777777" w:rsidR="00BA1915" w:rsidRDefault="00BA1915" w:rsidP="00BC620A">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Volume for scaling is calculated as the sum (0.5 + coincidence </w:t>
            </w:r>
            <w:proofErr w:type="gramStart"/>
            <w:r>
              <w:rPr>
                <w:rFonts w:ascii="Calibri" w:eastAsia="Times New Roman" w:hAnsi="Calibri" w:cs="Calibri"/>
                <w:color w:val="000000"/>
                <w:lang w:eastAsia="en-GB"/>
              </w:rPr>
              <w:t>factor)*</w:t>
            </w:r>
            <w:proofErr w:type="gramEnd"/>
            <w:r>
              <w:rPr>
                <w:rFonts w:ascii="Calibri" w:eastAsia="Times New Roman" w:hAnsi="Calibri" w:cs="Calibri"/>
                <w:color w:val="000000"/>
                <w:lang w:eastAsia="en-GB"/>
              </w:rPr>
              <w:t xml:space="preserve"> import capacity </w:t>
            </w:r>
            <w:r>
              <w:rPr>
                <w:rFonts w:ascii="Calibri" w:eastAsia="Times New Roman" w:hAnsi="Calibri" w:cs="Calibri"/>
                <w:i/>
                <w:iCs/>
                <w:color w:val="000000"/>
                <w:u w:val="single"/>
                <w:lang w:eastAsia="en-GB"/>
              </w:rPr>
              <w:t xml:space="preserve">*LDNO Factor LDNO factor takes the value 0.5 if the EDCM Connectee is connected to an IDNO Party’s network and residual revenue contribution </w:t>
            </w:r>
            <w:r>
              <w:rPr>
                <w:rFonts w:ascii="Calibri" w:eastAsia="Times New Roman" w:hAnsi="Calibri" w:cs="Calibri"/>
                <w:i/>
                <w:iCs/>
                <w:color w:val="000000"/>
                <w:u w:val="single"/>
                <w:lang w:eastAsia="en-GB"/>
              </w:rPr>
              <w:lastRenderedPageBreak/>
              <w:t xml:space="preserve">rate as defined in paragraph 16.6 is positive, and 1 otherwise. </w:t>
            </w:r>
          </w:p>
          <w:p w14:paraId="3C4893EE" w14:textId="77777777" w:rsidR="00BA1915" w:rsidRDefault="00BA1915"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formulae and add definition to 18.21:</w:t>
            </w:r>
          </w:p>
          <w:p w14:paraId="0C11ED9F" w14:textId="3142257F" w:rsidR="00BA1915" w:rsidRDefault="00BA1915" w:rsidP="00BC620A">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Import capacity based fixed adder in p/kVA/day = Fixed adder * (0.5 + coincidence factor) </w:t>
            </w:r>
            <w:r>
              <w:rPr>
                <w:rFonts w:ascii="Calibri" w:eastAsia="Times New Roman" w:hAnsi="Calibri" w:cs="Calibri"/>
                <w:i/>
                <w:iCs/>
                <w:color w:val="000000"/>
                <w:u w:val="single"/>
                <w:lang w:eastAsia="en-GB"/>
              </w:rPr>
              <w:t>* LDNO Factor LDNO factor takes the value 0.5 if the EDCM Connectee is connected to an ID</w:t>
            </w:r>
            <w:r w:rsidR="009C5F33">
              <w:rPr>
                <w:rFonts w:ascii="Calibri" w:eastAsia="Times New Roman" w:hAnsi="Calibri" w:cs="Calibri"/>
                <w:i/>
                <w:iCs/>
                <w:color w:val="000000"/>
                <w:u w:val="single"/>
                <w:lang w:eastAsia="en-GB"/>
              </w:rPr>
              <w:t>N</w:t>
            </w:r>
            <w:r>
              <w:rPr>
                <w:rFonts w:ascii="Calibri" w:eastAsia="Times New Roman" w:hAnsi="Calibri" w:cs="Calibri"/>
                <w:i/>
                <w:iCs/>
                <w:color w:val="000000"/>
                <w:u w:val="single"/>
                <w:lang w:eastAsia="en-GB"/>
              </w:rPr>
              <w:t>O Party’s network and residual revenue contribution rate as defined in paragraph 16.6 is positive and 1 otherwise.</w:t>
            </w:r>
          </w:p>
          <w:p w14:paraId="53F76A84" w14:textId="77777777" w:rsidR="00BA1915" w:rsidRDefault="00BA1915"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paragraph 26.11</w:t>
            </w:r>
          </w:p>
          <w:p w14:paraId="2F7F5B80" w14:textId="77777777" w:rsidR="00BA1915" w:rsidRDefault="00BA1915" w:rsidP="00BC620A">
            <w:pPr>
              <w:spacing w:after="0" w:line="240" w:lineRule="auto"/>
              <w:rPr>
                <w:rFonts w:ascii="Calibri" w:eastAsia="Times New Roman" w:hAnsi="Calibri" w:cs="Calibri"/>
                <w:color w:val="000000"/>
                <w:lang w:eastAsia="en-GB"/>
              </w:rPr>
            </w:pPr>
            <w:r>
              <w:rPr>
                <w:rFonts w:ascii="Calibri" w:eastAsia="Times New Roman" w:hAnsi="Calibri" w:cs="Calibri"/>
                <w:i/>
                <w:iCs/>
                <w:color w:val="000000"/>
                <w:u w:val="single"/>
                <w:lang w:eastAsia="en-GB"/>
              </w:rPr>
              <w:t xml:space="preserve">…would be scaled down by a factor of 50 per cent, however, the scaling </w:t>
            </w:r>
            <w:r>
              <w:rPr>
                <w:rFonts w:ascii="Calibri" w:eastAsia="Times New Roman" w:hAnsi="Calibri" w:cs="Calibri"/>
                <w:color w:val="000000"/>
                <w:lang w:eastAsia="en-GB"/>
              </w:rPr>
              <w:t xml:space="preserve">[down will not apply where the residual revenue is negative] will only apply where the residual revenue contribution </w:t>
            </w:r>
            <w:r w:rsidR="00E325C2">
              <w:rPr>
                <w:rFonts w:ascii="Calibri" w:eastAsia="Times New Roman" w:hAnsi="Calibri" w:cs="Calibri"/>
                <w:color w:val="000000"/>
                <w:lang w:eastAsia="en-GB"/>
              </w:rPr>
              <w:t>rate as defined in paragraph 16.6 is positive.</w:t>
            </w:r>
          </w:p>
          <w:p w14:paraId="6E156D29" w14:textId="77777777" w:rsidR="00E325C2" w:rsidRDefault="00E325C2" w:rsidP="00BC620A">
            <w:pPr>
              <w:spacing w:after="0" w:line="240" w:lineRule="auto"/>
              <w:rPr>
                <w:rFonts w:ascii="Calibri" w:eastAsia="Times New Roman" w:hAnsi="Calibri" w:cs="Calibri"/>
                <w:b/>
                <w:bCs/>
                <w:color w:val="000000"/>
                <w:lang w:eastAsia="en-GB"/>
              </w:rPr>
            </w:pPr>
            <w:commentRangeStart w:id="1"/>
            <w:r>
              <w:rPr>
                <w:rFonts w:ascii="Calibri" w:eastAsia="Times New Roman" w:hAnsi="Calibri" w:cs="Calibri"/>
                <w:b/>
                <w:bCs/>
                <w:color w:val="000000"/>
                <w:lang w:eastAsia="en-GB"/>
              </w:rPr>
              <w:t>For discussion:</w:t>
            </w:r>
          </w:p>
          <w:p w14:paraId="15B5A752" w14:textId="6D3CD0A6" w:rsidR="00E325C2" w:rsidRPr="00E325C2" w:rsidRDefault="00E325C2"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Is this the correct approach? It is logical that the residual charging application is not scaled down by 0.5 when the residual is negative (as this would result in an LDNO </w:t>
            </w:r>
            <w:proofErr w:type="spellStart"/>
            <w:r>
              <w:rPr>
                <w:rFonts w:ascii="Calibri" w:eastAsia="Times New Roman" w:hAnsi="Calibri" w:cs="Calibri"/>
                <w:color w:val="000000"/>
                <w:lang w:eastAsia="en-GB"/>
              </w:rPr>
              <w:t>connectee</w:t>
            </w:r>
            <w:proofErr w:type="spellEnd"/>
            <w:r>
              <w:rPr>
                <w:rFonts w:ascii="Calibri" w:eastAsia="Times New Roman" w:hAnsi="Calibri" w:cs="Calibri"/>
                <w:color w:val="000000"/>
                <w:lang w:eastAsia="en-GB"/>
              </w:rPr>
              <w:t xml:space="preserve"> paying more than an equivalent DNO </w:t>
            </w:r>
            <w:proofErr w:type="spellStart"/>
            <w:r>
              <w:rPr>
                <w:rFonts w:ascii="Calibri" w:eastAsia="Times New Roman" w:hAnsi="Calibri" w:cs="Calibri"/>
                <w:color w:val="000000"/>
                <w:lang w:eastAsia="en-GB"/>
              </w:rPr>
              <w:t>connectee</w:t>
            </w:r>
            <w:proofErr w:type="spellEnd"/>
            <w:r>
              <w:rPr>
                <w:rFonts w:ascii="Calibri" w:eastAsia="Times New Roman" w:hAnsi="Calibri" w:cs="Calibri"/>
                <w:color w:val="000000"/>
                <w:lang w:eastAsia="en-GB"/>
              </w:rPr>
              <w:t xml:space="preserve">. But residual revenue being negative should note impact an LDNO </w:t>
            </w:r>
            <w:proofErr w:type="spellStart"/>
            <w:r>
              <w:rPr>
                <w:rFonts w:ascii="Calibri" w:eastAsia="Times New Roman" w:hAnsi="Calibri" w:cs="Calibri"/>
                <w:color w:val="000000"/>
                <w:lang w:eastAsia="en-GB"/>
              </w:rPr>
              <w:t>connectee’s</w:t>
            </w:r>
            <w:proofErr w:type="spellEnd"/>
            <w:r>
              <w:rPr>
                <w:rFonts w:ascii="Calibri" w:eastAsia="Times New Roman" w:hAnsi="Calibri" w:cs="Calibri"/>
                <w:color w:val="000000"/>
                <w:lang w:eastAsia="en-GB"/>
              </w:rPr>
              <w:t xml:space="preserve"> </w:t>
            </w:r>
            <w:r>
              <w:rPr>
                <w:rFonts w:ascii="Calibri" w:eastAsia="Times New Roman" w:hAnsi="Calibri" w:cs="Calibri"/>
                <w:color w:val="000000"/>
                <w:lang w:eastAsia="en-GB"/>
              </w:rPr>
              <w:lastRenderedPageBreak/>
              <w:t>contribution to indirect costs, and only does so because…</w:t>
            </w:r>
            <w:commentRangeEnd w:id="1"/>
            <w:r>
              <w:rPr>
                <w:rStyle w:val="CommentReference"/>
              </w:rPr>
              <w:commentReference w:id="1"/>
            </w:r>
          </w:p>
        </w:tc>
        <w:bookmarkStart w:id="2" w:name="_GoBack"/>
        <w:bookmarkEnd w:id="2"/>
      </w:tr>
      <w:tr w:rsidR="00E325C2" w:rsidRPr="00646EBF" w14:paraId="73D12EFF" w14:textId="77777777" w:rsidTr="00050280">
        <w:trPr>
          <w:trHeight w:val="900"/>
        </w:trPr>
        <w:tc>
          <w:tcPr>
            <w:tcW w:w="506" w:type="dxa"/>
            <w:shd w:val="clear" w:color="auto" w:fill="D9E2F3" w:themeFill="accent1" w:themeFillTint="33"/>
          </w:tcPr>
          <w:p w14:paraId="4C8A6456" w14:textId="44FF1CDF" w:rsidR="00E325C2" w:rsidRDefault="00E325C2"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22</w:t>
            </w:r>
          </w:p>
        </w:tc>
        <w:tc>
          <w:tcPr>
            <w:tcW w:w="0" w:type="auto"/>
            <w:shd w:val="clear" w:color="auto" w:fill="D9E2F3" w:themeFill="accent1" w:themeFillTint="33"/>
          </w:tcPr>
          <w:p w14:paraId="743812E0" w14:textId="58B797E8"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18.20</w:t>
            </w:r>
          </w:p>
        </w:tc>
        <w:tc>
          <w:tcPr>
            <w:tcW w:w="1415" w:type="dxa"/>
            <w:shd w:val="clear" w:color="auto" w:fill="D9E2F3" w:themeFill="accent1" w:themeFillTint="33"/>
          </w:tcPr>
          <w:p w14:paraId="26392133" w14:textId="66EAF17A"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Reference to Annex 3</w:t>
            </w:r>
          </w:p>
        </w:tc>
        <w:tc>
          <w:tcPr>
            <w:tcW w:w="1388" w:type="dxa"/>
            <w:shd w:val="clear" w:color="auto" w:fill="D9E2F3" w:themeFill="accent1" w:themeFillTint="33"/>
          </w:tcPr>
          <w:p w14:paraId="78BB64E2" w14:textId="5D35C15C"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N/A</w:t>
            </w:r>
          </w:p>
        </w:tc>
        <w:tc>
          <w:tcPr>
            <w:tcW w:w="2894" w:type="dxa"/>
            <w:shd w:val="clear" w:color="auto" w:fill="D9E2F3" w:themeFill="accent1" w:themeFillTint="33"/>
          </w:tcPr>
          <w:p w14:paraId="481A3D9E" w14:textId="0B0A4D79"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reference to Annex 3 is a typo or legacy reference from a previous version.</w:t>
            </w:r>
          </w:p>
        </w:tc>
        <w:tc>
          <w:tcPr>
            <w:tcW w:w="0" w:type="auto"/>
            <w:shd w:val="clear" w:color="auto" w:fill="000000" w:themeFill="text1"/>
            <w:noWrap/>
          </w:tcPr>
          <w:p w14:paraId="31BAB8A1" w14:textId="77777777" w:rsidR="00E325C2" w:rsidRPr="00646EBF" w:rsidRDefault="00E325C2"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6349D758" w14:textId="478800C8"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22D74986" w14:textId="321AD8DF"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Housekeeping Correction</w:t>
            </w:r>
          </w:p>
        </w:tc>
        <w:tc>
          <w:tcPr>
            <w:tcW w:w="2463" w:type="dxa"/>
            <w:shd w:val="clear" w:color="auto" w:fill="D9E2F3" w:themeFill="accent1" w:themeFillTint="33"/>
          </w:tcPr>
          <w:p w14:paraId="382C6B81" w14:textId="0893F563"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295ED936" w14:textId="77777777" w:rsidR="00E325C2" w:rsidRDefault="00E325C2"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under para 18.20:</w:t>
            </w:r>
          </w:p>
          <w:p w14:paraId="1B24F4D4" w14:textId="64B4477E" w:rsidR="00E325C2" w:rsidRPr="00E325C2" w:rsidRDefault="00E325C2" w:rsidP="00BC620A">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‘EDCM NR and DOC capacity contribution is the sum of the import capacity based direct costs contribution from each EDCM Connectee </w:t>
            </w:r>
            <w:r>
              <w:rPr>
                <w:rFonts w:ascii="Calibri" w:eastAsia="Times New Roman" w:hAnsi="Calibri" w:cs="Calibri"/>
                <w:i/>
                <w:iCs/>
                <w:color w:val="000000"/>
                <w:u w:val="single"/>
                <w:lang w:eastAsia="en-GB"/>
              </w:rPr>
              <w:t>[(from annex 3)</w:t>
            </w:r>
            <w:r w:rsidR="00227D85">
              <w:rPr>
                <w:rFonts w:ascii="Calibri" w:eastAsia="Times New Roman" w:hAnsi="Calibri" w:cs="Calibri"/>
                <w:i/>
                <w:iCs/>
                <w:color w:val="000000"/>
                <w:u w:val="single"/>
                <w:lang w:eastAsia="en-GB"/>
              </w:rPr>
              <w:t>]</w:t>
            </w:r>
            <w:r>
              <w:rPr>
                <w:rFonts w:ascii="Calibri" w:eastAsia="Times New Roman" w:hAnsi="Calibri" w:cs="Calibri"/>
                <w:i/>
                <w:iCs/>
                <w:color w:val="000000"/>
                <w:u w:val="single"/>
                <w:lang w:eastAsia="en-GB"/>
              </w:rPr>
              <w:t>.</w:t>
            </w:r>
          </w:p>
        </w:tc>
      </w:tr>
      <w:tr w:rsidR="00E325C2" w:rsidRPr="00646EBF" w14:paraId="2B8E1928" w14:textId="77777777" w:rsidTr="00050280">
        <w:trPr>
          <w:trHeight w:val="900"/>
        </w:trPr>
        <w:tc>
          <w:tcPr>
            <w:tcW w:w="506" w:type="dxa"/>
            <w:shd w:val="clear" w:color="auto" w:fill="FFF2CC" w:themeFill="accent4" w:themeFillTint="33"/>
          </w:tcPr>
          <w:p w14:paraId="7002E426" w14:textId="7F188689" w:rsidR="00E325C2" w:rsidRDefault="00E325C2"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23</w:t>
            </w:r>
          </w:p>
        </w:tc>
        <w:tc>
          <w:tcPr>
            <w:tcW w:w="0" w:type="auto"/>
            <w:shd w:val="clear" w:color="auto" w:fill="FFF2CC" w:themeFill="accent4" w:themeFillTint="33"/>
          </w:tcPr>
          <w:p w14:paraId="39F76B7C" w14:textId="63FB66F5"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18.20</w:t>
            </w:r>
          </w:p>
        </w:tc>
        <w:tc>
          <w:tcPr>
            <w:tcW w:w="1415" w:type="dxa"/>
            <w:shd w:val="clear" w:color="auto" w:fill="FFF2CC" w:themeFill="accent4" w:themeFillTint="33"/>
          </w:tcPr>
          <w:p w14:paraId="63E33A41" w14:textId="473DBC22"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Reference to Annex 3</w:t>
            </w:r>
          </w:p>
        </w:tc>
        <w:tc>
          <w:tcPr>
            <w:tcW w:w="1388" w:type="dxa"/>
            <w:shd w:val="clear" w:color="auto" w:fill="FFF2CC" w:themeFill="accent4" w:themeFillTint="33"/>
          </w:tcPr>
          <w:p w14:paraId="1F3EB106" w14:textId="71840C15"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N/A</w:t>
            </w:r>
          </w:p>
        </w:tc>
        <w:tc>
          <w:tcPr>
            <w:tcW w:w="2894" w:type="dxa"/>
            <w:shd w:val="clear" w:color="auto" w:fill="FFF2CC" w:themeFill="accent4" w:themeFillTint="33"/>
          </w:tcPr>
          <w:p w14:paraId="4319EBC0" w14:textId="2513D428"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volume for scaling parameter is calculated incorrectly in this paragraph, and that this should in fact be equal to the volume for scaling as calculated in Schedule 17 Paragraph 18.17</w:t>
            </w:r>
          </w:p>
        </w:tc>
        <w:tc>
          <w:tcPr>
            <w:tcW w:w="0" w:type="auto"/>
            <w:shd w:val="clear" w:color="auto" w:fill="000000" w:themeFill="text1"/>
            <w:noWrap/>
          </w:tcPr>
          <w:p w14:paraId="547603E8" w14:textId="77777777" w:rsidR="00E325C2" w:rsidRPr="00646EBF" w:rsidRDefault="00E325C2" w:rsidP="00646EBF">
            <w:pPr>
              <w:spacing w:after="0" w:line="240" w:lineRule="auto"/>
              <w:rPr>
                <w:rFonts w:ascii="Calibri" w:eastAsia="Times New Roman" w:hAnsi="Calibri" w:cs="Calibri"/>
                <w:color w:val="000000"/>
                <w:lang w:eastAsia="en-GB"/>
              </w:rPr>
            </w:pPr>
          </w:p>
        </w:tc>
        <w:tc>
          <w:tcPr>
            <w:tcW w:w="705" w:type="dxa"/>
            <w:shd w:val="clear" w:color="auto" w:fill="FFFFFF" w:themeFill="background1"/>
          </w:tcPr>
          <w:p w14:paraId="4E80CF58" w14:textId="146CF195"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1</w:t>
            </w:r>
          </w:p>
        </w:tc>
        <w:tc>
          <w:tcPr>
            <w:tcW w:w="1316" w:type="dxa"/>
            <w:shd w:val="clear" w:color="auto" w:fill="FFFFFF" w:themeFill="background1"/>
          </w:tcPr>
          <w:p w14:paraId="3E9F4AAB" w14:textId="23C14AA4" w:rsidR="00E325C2" w:rsidRDefault="00E325C2"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has historically been inconsistent </w:t>
            </w:r>
            <w:r w:rsidR="00055743">
              <w:rPr>
                <w:rFonts w:ascii="Calibri" w:eastAsia="Times New Roman" w:hAnsi="Calibri" w:cs="Calibri"/>
                <w:color w:val="000000"/>
                <w:lang w:eastAsia="en-GB"/>
              </w:rPr>
              <w:t xml:space="preserve">with eh legal text. So arguably part two int hat we are just aligning legal text to model. But </w:t>
            </w:r>
            <w:proofErr w:type="gramStart"/>
            <w:r w:rsidR="00055743">
              <w:rPr>
                <w:rFonts w:ascii="Calibri" w:eastAsia="Times New Roman" w:hAnsi="Calibri" w:cs="Calibri"/>
                <w:color w:val="000000"/>
                <w:lang w:eastAsia="en-GB"/>
              </w:rPr>
              <w:t>also</w:t>
            </w:r>
            <w:proofErr w:type="gramEnd"/>
            <w:r w:rsidR="00055743">
              <w:rPr>
                <w:rFonts w:ascii="Calibri" w:eastAsia="Times New Roman" w:hAnsi="Calibri" w:cs="Calibri"/>
                <w:color w:val="000000"/>
                <w:lang w:eastAsia="en-GB"/>
              </w:rPr>
              <w:t xml:space="preserve"> arguably part one as, if the model were aligned to the legal text previously, this would have an impact on charges.</w:t>
            </w:r>
          </w:p>
        </w:tc>
        <w:tc>
          <w:tcPr>
            <w:tcW w:w="2463" w:type="dxa"/>
            <w:shd w:val="clear" w:color="auto" w:fill="FFFFFF" w:themeFill="background1"/>
          </w:tcPr>
          <w:p w14:paraId="00006AF3" w14:textId="495FFCC3" w:rsidR="00E325C2"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Legal text and model mis-aligned</w:t>
            </w:r>
          </w:p>
        </w:tc>
        <w:tc>
          <w:tcPr>
            <w:tcW w:w="3025" w:type="dxa"/>
            <w:shd w:val="clear" w:color="auto" w:fill="FFFFFF" w:themeFill="background1"/>
          </w:tcPr>
          <w:p w14:paraId="2B13A42D" w14:textId="67B6F94C" w:rsidR="00E325C2" w:rsidRDefault="00055743"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Align definition of volume for scaling across para 18.20 and 18.17</w:t>
            </w:r>
          </w:p>
        </w:tc>
      </w:tr>
      <w:tr w:rsidR="00055743" w:rsidRPr="00646EBF" w14:paraId="2619CF58" w14:textId="77777777" w:rsidTr="00050280">
        <w:trPr>
          <w:trHeight w:val="900"/>
        </w:trPr>
        <w:tc>
          <w:tcPr>
            <w:tcW w:w="506" w:type="dxa"/>
            <w:shd w:val="clear" w:color="auto" w:fill="D9E2F3" w:themeFill="accent1" w:themeFillTint="33"/>
          </w:tcPr>
          <w:p w14:paraId="07C1FA8F" w14:textId="360B710B" w:rsidR="00055743" w:rsidRDefault="00055743"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24</w:t>
            </w:r>
          </w:p>
        </w:tc>
        <w:tc>
          <w:tcPr>
            <w:tcW w:w="0" w:type="auto"/>
            <w:shd w:val="clear" w:color="auto" w:fill="D9E2F3" w:themeFill="accent1" w:themeFillTint="33"/>
          </w:tcPr>
          <w:p w14:paraId="37B5ED82" w14:textId="57BB4DA0"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18.20</w:t>
            </w:r>
          </w:p>
        </w:tc>
        <w:tc>
          <w:tcPr>
            <w:tcW w:w="1415" w:type="dxa"/>
            <w:shd w:val="clear" w:color="auto" w:fill="D9E2F3" w:themeFill="accent1" w:themeFillTint="33"/>
          </w:tcPr>
          <w:p w14:paraId="5965587C" w14:textId="1E9A5B3C"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FCP revenue estimate</w:t>
            </w:r>
          </w:p>
        </w:tc>
        <w:tc>
          <w:tcPr>
            <w:tcW w:w="1388" w:type="dxa"/>
            <w:shd w:val="clear" w:color="auto" w:fill="D9E2F3" w:themeFill="accent1" w:themeFillTint="33"/>
          </w:tcPr>
          <w:p w14:paraId="20007919" w14:textId="5AE68A63"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super-red</w:t>
            </w:r>
          </w:p>
        </w:tc>
        <w:tc>
          <w:tcPr>
            <w:tcW w:w="2894" w:type="dxa"/>
            <w:shd w:val="clear" w:color="auto" w:fill="D9E2F3" w:themeFill="accent1" w:themeFillTint="33"/>
          </w:tcPr>
          <w:p w14:paraId="4D3264B6" w14:textId="0655D1AF"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The model assumes that the estimate of FCP recovery is made based on the super-red charge before it is adjusted as </w:t>
            </w:r>
            <w:r>
              <w:rPr>
                <w:rFonts w:ascii="Calibri" w:eastAsia="Times New Roman" w:hAnsi="Calibri" w:cs="Calibri"/>
                <w:color w:val="000000"/>
                <w:lang w:eastAsia="en-GB"/>
              </w:rPr>
              <w:lastRenderedPageBreak/>
              <w:t>per Schedule 17 paragraph 19.7, in order to remove the change of a circular reference error.</w:t>
            </w:r>
          </w:p>
        </w:tc>
        <w:tc>
          <w:tcPr>
            <w:tcW w:w="0" w:type="auto"/>
            <w:shd w:val="clear" w:color="auto" w:fill="000000" w:themeFill="text1"/>
            <w:noWrap/>
          </w:tcPr>
          <w:p w14:paraId="214E6F8A" w14:textId="77777777" w:rsidR="00055743" w:rsidRPr="00646EBF" w:rsidRDefault="00055743"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5919B74E" w14:textId="775E52C9"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4A9A11B0" w14:textId="76DFA821"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13A56B6D" w14:textId="00C2A43A"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4F677C4D" w14:textId="77777777" w:rsidR="00055743" w:rsidRDefault="00055743"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definitions in para 18.20:</w:t>
            </w:r>
          </w:p>
          <w:p w14:paraId="576BFE13" w14:textId="77777777" w:rsidR="00055743" w:rsidRDefault="00055743"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‘Aggregate indirect cost contributions </w:t>
            </w:r>
            <w:proofErr w:type="gramStart"/>
            <w:r>
              <w:rPr>
                <w:rFonts w:ascii="Calibri" w:eastAsia="Times New Roman" w:hAnsi="Calibri" w:cs="Calibri"/>
                <w:color w:val="000000"/>
                <w:lang w:eastAsia="en-GB"/>
              </w:rPr>
              <w:t>is</w:t>
            </w:r>
            <w:proofErr w:type="gramEnd"/>
            <w:r>
              <w:rPr>
                <w:rFonts w:ascii="Calibri" w:eastAsia="Times New Roman" w:hAnsi="Calibri" w:cs="Calibri"/>
                <w:color w:val="000000"/>
                <w:lang w:eastAsia="en-GB"/>
              </w:rPr>
              <w:t xml:space="preserve"> the sum of the </w:t>
            </w:r>
            <w:r>
              <w:rPr>
                <w:rFonts w:ascii="Calibri" w:eastAsia="Times New Roman" w:hAnsi="Calibri" w:cs="Calibri"/>
                <w:color w:val="000000"/>
                <w:lang w:eastAsia="en-GB"/>
              </w:rPr>
              <w:lastRenderedPageBreak/>
              <w:t xml:space="preserve">import capacity based and import sole use asset based indirect cost contribution </w:t>
            </w:r>
            <w:r>
              <w:rPr>
                <w:rFonts w:ascii="Calibri" w:eastAsia="Times New Roman" w:hAnsi="Calibri" w:cs="Calibri"/>
                <w:i/>
                <w:iCs/>
                <w:color w:val="000000"/>
                <w:u w:val="single"/>
                <w:lang w:eastAsia="en-GB"/>
              </w:rPr>
              <w:t>(before any adjustments under clauses 19.7 and 19.8)</w:t>
            </w:r>
            <w:r>
              <w:rPr>
                <w:rFonts w:ascii="Calibri" w:eastAsia="Times New Roman" w:hAnsi="Calibri" w:cs="Calibri"/>
                <w:color w:val="000000"/>
                <w:lang w:eastAsia="en-GB"/>
              </w:rPr>
              <w:t xml:space="preserve"> from each EDCM Connectee.</w:t>
            </w:r>
          </w:p>
          <w:p w14:paraId="1841A23D" w14:textId="77777777" w:rsidR="00055743" w:rsidRDefault="00055743"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SU recovery is the forecast notional recovery from the application of import fixed charges (before any rounding </w:t>
            </w:r>
            <w:r>
              <w:rPr>
                <w:rFonts w:ascii="Calibri" w:eastAsia="Times New Roman" w:hAnsi="Calibri" w:cs="Calibri"/>
                <w:i/>
                <w:iCs/>
                <w:color w:val="000000"/>
                <w:u w:val="single"/>
                <w:lang w:eastAsia="en-GB"/>
              </w:rPr>
              <w:t>or any adjustments under clauses 19.7 and 19.8)</w:t>
            </w:r>
            <w:r>
              <w:rPr>
                <w:rFonts w:ascii="Calibri" w:eastAsia="Times New Roman" w:hAnsi="Calibri" w:cs="Calibri"/>
                <w:color w:val="000000"/>
                <w:lang w:eastAsia="en-GB"/>
              </w:rPr>
              <w:t xml:space="preserve"> for sole use assets relating to EDCM Connectees.</w:t>
            </w:r>
          </w:p>
          <w:p w14:paraId="4C16E9F2" w14:textId="2D08E77B" w:rsidR="00055743" w:rsidRPr="00055743" w:rsidRDefault="00227D85"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FCP</w:t>
            </w:r>
            <w:r w:rsidR="00055743">
              <w:rPr>
                <w:rFonts w:ascii="Calibri" w:eastAsia="Times New Roman" w:hAnsi="Calibri" w:cs="Calibri"/>
                <w:color w:val="000000"/>
                <w:lang w:eastAsia="en-GB"/>
              </w:rPr>
              <w:t xml:space="preserve"> recovery is the forecast notional recovery from the application of </w:t>
            </w:r>
            <w:r>
              <w:rPr>
                <w:rFonts w:ascii="Calibri" w:eastAsia="Times New Roman" w:hAnsi="Calibri" w:cs="Calibri"/>
                <w:color w:val="000000"/>
                <w:lang w:eastAsia="en-GB"/>
              </w:rPr>
              <w:t>FCP</w:t>
            </w:r>
            <w:r w:rsidR="00055743">
              <w:rPr>
                <w:rFonts w:ascii="Calibri" w:eastAsia="Times New Roman" w:hAnsi="Calibri" w:cs="Calibri"/>
                <w:color w:val="000000"/>
                <w:lang w:eastAsia="en-GB"/>
              </w:rPr>
              <w:t xml:space="preserve"> charges (before any rounding </w:t>
            </w:r>
            <w:r w:rsidR="00055743">
              <w:rPr>
                <w:rFonts w:ascii="Calibri" w:eastAsia="Times New Roman" w:hAnsi="Calibri" w:cs="Calibri"/>
                <w:i/>
                <w:iCs/>
                <w:color w:val="000000"/>
                <w:u w:val="single"/>
                <w:lang w:eastAsia="en-GB"/>
              </w:rPr>
              <w:t>or any adjustments under clauses 19.7 and 19.8)</w:t>
            </w:r>
            <w:r w:rsidR="00055743">
              <w:rPr>
                <w:rFonts w:ascii="Calibri" w:eastAsia="Times New Roman" w:hAnsi="Calibri" w:cs="Calibri"/>
                <w:color w:val="000000"/>
                <w:lang w:eastAsia="en-GB"/>
              </w:rPr>
              <w:t xml:space="preserve"> to all EDCM Connectees only.</w:t>
            </w:r>
          </w:p>
        </w:tc>
      </w:tr>
      <w:tr w:rsidR="00055743" w:rsidRPr="00646EBF" w14:paraId="74F03FFE" w14:textId="77777777" w:rsidTr="00050280">
        <w:trPr>
          <w:trHeight w:val="900"/>
        </w:trPr>
        <w:tc>
          <w:tcPr>
            <w:tcW w:w="506" w:type="dxa"/>
            <w:shd w:val="clear" w:color="auto" w:fill="D9E2F3" w:themeFill="accent1" w:themeFillTint="33"/>
          </w:tcPr>
          <w:p w14:paraId="56AB325B" w14:textId="401F645B" w:rsidR="00055743" w:rsidRDefault="00055743"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25</w:t>
            </w:r>
          </w:p>
        </w:tc>
        <w:tc>
          <w:tcPr>
            <w:tcW w:w="0" w:type="auto"/>
            <w:shd w:val="clear" w:color="auto" w:fill="D9E2F3" w:themeFill="accent1" w:themeFillTint="33"/>
          </w:tcPr>
          <w:p w14:paraId="00B7ABEC" w14:textId="16C6BD2B"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19.5</w:t>
            </w:r>
          </w:p>
        </w:tc>
        <w:tc>
          <w:tcPr>
            <w:tcW w:w="1415" w:type="dxa"/>
            <w:shd w:val="clear" w:color="auto" w:fill="D9E2F3" w:themeFill="accent1" w:themeFillTint="33"/>
          </w:tcPr>
          <w:p w14:paraId="214B2E90" w14:textId="7382AB62"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Rounding</w:t>
            </w:r>
          </w:p>
        </w:tc>
        <w:tc>
          <w:tcPr>
            <w:tcW w:w="1388" w:type="dxa"/>
            <w:shd w:val="clear" w:color="auto" w:fill="D9E2F3" w:themeFill="accent1" w:themeFillTint="33"/>
          </w:tcPr>
          <w:p w14:paraId="5C461C22" w14:textId="6A6B5E15"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capacity</w:t>
            </w:r>
          </w:p>
        </w:tc>
        <w:tc>
          <w:tcPr>
            <w:tcW w:w="2894" w:type="dxa"/>
            <w:shd w:val="clear" w:color="auto" w:fill="D9E2F3" w:themeFill="accent1" w:themeFillTint="33"/>
          </w:tcPr>
          <w:p w14:paraId="08B2372F" w14:textId="3B83E58F"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calculation is carried out before rounding</w:t>
            </w:r>
          </w:p>
        </w:tc>
        <w:tc>
          <w:tcPr>
            <w:tcW w:w="0" w:type="auto"/>
            <w:shd w:val="clear" w:color="auto" w:fill="000000" w:themeFill="text1"/>
            <w:noWrap/>
          </w:tcPr>
          <w:p w14:paraId="37FBB461" w14:textId="77777777" w:rsidR="00055743" w:rsidRPr="00646EBF" w:rsidRDefault="00055743"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4E43D0D1" w14:textId="51E67948"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1AAECB21" w14:textId="2522A06E"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3EB3655D" w14:textId="731C80F7"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0344795B" w14:textId="2A99AFBA" w:rsidR="00055743" w:rsidRPr="00055743" w:rsidRDefault="00055743"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Amend para 19.1: ‘The tariff application rules for the EDCM are the same as for the CDCM wherever possible. </w:t>
            </w:r>
            <w:r>
              <w:rPr>
                <w:rFonts w:ascii="Calibri" w:eastAsia="Times New Roman" w:hAnsi="Calibri" w:cs="Calibri"/>
                <w:i/>
                <w:iCs/>
                <w:color w:val="000000"/>
                <w:u w:val="single"/>
                <w:lang w:eastAsia="en-GB"/>
              </w:rPr>
              <w:t xml:space="preserve">Once all other calculations have been carried out, </w:t>
            </w:r>
            <w:r>
              <w:rPr>
                <w:rFonts w:ascii="Calibri" w:eastAsia="Times New Roman" w:hAnsi="Calibri" w:cs="Calibri"/>
                <w:color w:val="000000"/>
                <w:lang w:eastAsia="en-GB"/>
              </w:rPr>
              <w:t>each component of each tariff is rounded…’</w:t>
            </w:r>
          </w:p>
        </w:tc>
      </w:tr>
      <w:tr w:rsidR="00055743" w:rsidRPr="00646EBF" w14:paraId="380E957D" w14:textId="77777777" w:rsidTr="00050280">
        <w:trPr>
          <w:trHeight w:val="900"/>
        </w:trPr>
        <w:tc>
          <w:tcPr>
            <w:tcW w:w="506" w:type="dxa"/>
            <w:shd w:val="clear" w:color="auto" w:fill="D9E2F3" w:themeFill="accent1" w:themeFillTint="33"/>
          </w:tcPr>
          <w:p w14:paraId="1B3431A7" w14:textId="16F3B481" w:rsidR="00055743" w:rsidRDefault="00055743"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26</w:t>
            </w:r>
          </w:p>
        </w:tc>
        <w:tc>
          <w:tcPr>
            <w:tcW w:w="0" w:type="auto"/>
            <w:shd w:val="clear" w:color="auto" w:fill="D9E2F3" w:themeFill="accent1" w:themeFillTint="33"/>
          </w:tcPr>
          <w:p w14:paraId="3C61A245" w14:textId="07122A3E" w:rsidR="00055743" w:rsidRDefault="00055743"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Schedule </w:t>
            </w:r>
            <w:r w:rsidR="00327F5D">
              <w:rPr>
                <w:rFonts w:ascii="Calibri" w:eastAsia="Times New Roman" w:hAnsi="Calibri" w:cs="Calibri"/>
                <w:color w:val="000000"/>
                <w:lang w:eastAsia="en-GB"/>
              </w:rPr>
              <w:t>17, paragraph 19.7</w:t>
            </w:r>
          </w:p>
        </w:tc>
        <w:tc>
          <w:tcPr>
            <w:tcW w:w="1415" w:type="dxa"/>
            <w:shd w:val="clear" w:color="auto" w:fill="D9E2F3" w:themeFill="accent1" w:themeFillTint="33"/>
          </w:tcPr>
          <w:p w14:paraId="089AF94D" w14:textId="1C79FC8E" w:rsidR="00055743"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Super-red adjustment</w:t>
            </w:r>
          </w:p>
        </w:tc>
        <w:tc>
          <w:tcPr>
            <w:tcW w:w="1388" w:type="dxa"/>
            <w:shd w:val="clear" w:color="auto" w:fill="D9E2F3" w:themeFill="accent1" w:themeFillTint="33"/>
          </w:tcPr>
          <w:p w14:paraId="3C5AB658" w14:textId="166F5169" w:rsidR="00055743"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super-red</w:t>
            </w:r>
          </w:p>
        </w:tc>
        <w:tc>
          <w:tcPr>
            <w:tcW w:w="2894" w:type="dxa"/>
            <w:shd w:val="clear" w:color="auto" w:fill="D9E2F3" w:themeFill="accent1" w:themeFillTint="33"/>
          </w:tcPr>
          <w:p w14:paraId="7F1230B9" w14:textId="527A557E" w:rsidR="00055743"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calculation refers to the import capacity charge before bounding at zero, as otherwise it would never be negative.</w:t>
            </w:r>
          </w:p>
        </w:tc>
        <w:tc>
          <w:tcPr>
            <w:tcW w:w="0" w:type="auto"/>
            <w:shd w:val="clear" w:color="auto" w:fill="000000" w:themeFill="text1"/>
            <w:noWrap/>
          </w:tcPr>
          <w:p w14:paraId="77E4127A" w14:textId="77777777" w:rsidR="00055743" w:rsidRPr="00646EBF" w:rsidRDefault="00055743"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03A5DA78" w14:textId="241C97FF" w:rsidR="00055743"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tcPr>
          <w:p w14:paraId="0CBAE2B9" w14:textId="540ED168" w:rsidR="00055743"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change needed – methodology follows logical order, with the step to bound being after this step</w:t>
            </w:r>
          </w:p>
        </w:tc>
        <w:tc>
          <w:tcPr>
            <w:tcW w:w="2463" w:type="dxa"/>
            <w:shd w:val="clear" w:color="auto" w:fill="D9E2F3" w:themeFill="accent1" w:themeFillTint="33"/>
          </w:tcPr>
          <w:p w14:paraId="78987E5D" w14:textId="7D9F7D50" w:rsidR="00055743"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tcPr>
          <w:p w14:paraId="0D34A79B" w14:textId="77777777" w:rsidR="00055743" w:rsidRDefault="00055743" w:rsidP="00BC620A">
            <w:pPr>
              <w:spacing w:after="0" w:line="240" w:lineRule="auto"/>
              <w:rPr>
                <w:rFonts w:ascii="Calibri" w:eastAsia="Times New Roman" w:hAnsi="Calibri" w:cs="Calibri"/>
                <w:color w:val="000000"/>
                <w:lang w:eastAsia="en-GB"/>
              </w:rPr>
            </w:pPr>
          </w:p>
        </w:tc>
      </w:tr>
      <w:tr w:rsidR="00327F5D" w:rsidRPr="00646EBF" w14:paraId="78221C57" w14:textId="77777777" w:rsidTr="00050280">
        <w:trPr>
          <w:trHeight w:val="900"/>
        </w:trPr>
        <w:tc>
          <w:tcPr>
            <w:tcW w:w="506" w:type="dxa"/>
            <w:shd w:val="clear" w:color="auto" w:fill="D9E2F3" w:themeFill="accent1" w:themeFillTint="33"/>
          </w:tcPr>
          <w:p w14:paraId="23375BC2" w14:textId="327185BA" w:rsidR="00327F5D" w:rsidRDefault="00327F5D"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27</w:t>
            </w:r>
          </w:p>
        </w:tc>
        <w:tc>
          <w:tcPr>
            <w:tcW w:w="0" w:type="auto"/>
            <w:shd w:val="clear" w:color="auto" w:fill="D9E2F3" w:themeFill="accent1" w:themeFillTint="33"/>
          </w:tcPr>
          <w:p w14:paraId="1DC7D973" w14:textId="110DB3AC"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19.7</w:t>
            </w:r>
          </w:p>
        </w:tc>
        <w:tc>
          <w:tcPr>
            <w:tcW w:w="1415" w:type="dxa"/>
            <w:shd w:val="clear" w:color="auto" w:fill="D9E2F3" w:themeFill="accent1" w:themeFillTint="33"/>
          </w:tcPr>
          <w:p w14:paraId="16EDDE8E" w14:textId="50FAD8A8"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Part-year adjustment</w:t>
            </w:r>
          </w:p>
        </w:tc>
        <w:tc>
          <w:tcPr>
            <w:tcW w:w="1388" w:type="dxa"/>
            <w:shd w:val="clear" w:color="auto" w:fill="D9E2F3" w:themeFill="accent1" w:themeFillTint="33"/>
          </w:tcPr>
          <w:p w14:paraId="3E7FB5E4" w14:textId="0C5E0494"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super-red</w:t>
            </w:r>
          </w:p>
        </w:tc>
        <w:tc>
          <w:tcPr>
            <w:tcW w:w="2894" w:type="dxa"/>
            <w:shd w:val="clear" w:color="auto" w:fill="D9E2F3" w:themeFill="accent1" w:themeFillTint="33"/>
          </w:tcPr>
          <w:p w14:paraId="4471D088" w14:textId="726953D9"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the Average kW/kVA parameter referenced in this paragraph is the [Average kW/kVA] parameter without part-year adjustment</w:t>
            </w:r>
          </w:p>
        </w:tc>
        <w:tc>
          <w:tcPr>
            <w:tcW w:w="0" w:type="auto"/>
            <w:shd w:val="clear" w:color="auto" w:fill="000000" w:themeFill="text1"/>
            <w:noWrap/>
          </w:tcPr>
          <w:p w14:paraId="5D59D00A" w14:textId="77777777" w:rsidR="00327F5D" w:rsidRPr="00646EBF" w:rsidRDefault="00327F5D"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598EF948" w14:textId="3EA51EFE"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5CFE1D57" w14:textId="6A0B6A86"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1BB878CF" w14:textId="105EC72E"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0EFF6DC0" w14:textId="49A52044" w:rsidR="00327F5D" w:rsidRPr="00327F5D" w:rsidRDefault="00327F5D"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19</w:t>
            </w:r>
            <w:r w:rsidR="00227D85">
              <w:rPr>
                <w:rFonts w:ascii="Calibri" w:eastAsia="Times New Roman" w:hAnsi="Calibri" w:cs="Calibri"/>
                <w:color w:val="000000"/>
                <w:lang w:eastAsia="en-GB"/>
              </w:rPr>
              <w:t>.</w:t>
            </w:r>
            <w:r>
              <w:rPr>
                <w:rFonts w:ascii="Calibri" w:eastAsia="Times New Roman" w:hAnsi="Calibri" w:cs="Calibri"/>
                <w:color w:val="000000"/>
                <w:lang w:eastAsia="en-GB"/>
              </w:rPr>
              <w:t xml:space="preserve">7: ‘If the EDCM import capacity charge (p/kVA/day) calculated above is negative and the </w:t>
            </w:r>
            <w:proofErr w:type="spellStart"/>
            <w:r>
              <w:rPr>
                <w:rFonts w:ascii="Calibri" w:eastAsia="Times New Roman" w:hAnsi="Calibri" w:cs="Calibri"/>
                <w:color w:val="000000"/>
                <w:lang w:eastAsia="en-GB"/>
              </w:rPr>
              <w:t>Connectee’s</w:t>
            </w:r>
            <w:proofErr w:type="spellEnd"/>
            <w:r>
              <w:rPr>
                <w:rFonts w:ascii="Calibri" w:eastAsia="Times New Roman" w:hAnsi="Calibri" w:cs="Calibri"/>
                <w:color w:val="000000"/>
                <w:lang w:eastAsia="en-GB"/>
              </w:rPr>
              <w:t xml:space="preserve"> average kW/kVA </w:t>
            </w:r>
            <w:r>
              <w:rPr>
                <w:rFonts w:ascii="Calibri" w:eastAsia="Times New Roman" w:hAnsi="Calibri" w:cs="Calibri"/>
                <w:i/>
                <w:iCs/>
                <w:color w:val="000000"/>
                <w:u w:val="single"/>
                <w:lang w:eastAsia="en-GB"/>
              </w:rPr>
              <w:t>[(adjusted for part year)]</w:t>
            </w:r>
            <w:r>
              <w:rPr>
                <w:rFonts w:ascii="Calibri" w:eastAsia="Times New Roman" w:hAnsi="Calibri" w:cs="Calibri"/>
                <w:color w:val="000000"/>
                <w:lang w:eastAsia="en-GB"/>
              </w:rPr>
              <w:t xml:space="preserve"> is not equal to zero, the final EDCM super-red unit rate is adjusted as follows:’</w:t>
            </w:r>
          </w:p>
        </w:tc>
      </w:tr>
      <w:tr w:rsidR="00327F5D" w:rsidRPr="00646EBF" w14:paraId="292EF058" w14:textId="77777777" w:rsidTr="00050280">
        <w:trPr>
          <w:trHeight w:val="900"/>
        </w:trPr>
        <w:tc>
          <w:tcPr>
            <w:tcW w:w="506" w:type="dxa"/>
            <w:shd w:val="clear" w:color="auto" w:fill="D9E2F3" w:themeFill="accent1" w:themeFillTint="33"/>
          </w:tcPr>
          <w:p w14:paraId="79DA8EC1" w14:textId="596700E5" w:rsidR="00327F5D" w:rsidRDefault="00327F5D"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28</w:t>
            </w:r>
          </w:p>
        </w:tc>
        <w:tc>
          <w:tcPr>
            <w:tcW w:w="0" w:type="auto"/>
            <w:shd w:val="clear" w:color="auto" w:fill="D9E2F3" w:themeFill="accent1" w:themeFillTint="33"/>
          </w:tcPr>
          <w:p w14:paraId="50A37AF9" w14:textId="19DF82FF"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19.8</w:t>
            </w:r>
          </w:p>
        </w:tc>
        <w:tc>
          <w:tcPr>
            <w:tcW w:w="1415" w:type="dxa"/>
            <w:shd w:val="clear" w:color="auto" w:fill="D9E2F3" w:themeFill="accent1" w:themeFillTint="33"/>
          </w:tcPr>
          <w:p w14:paraId="2AB17BD9" w14:textId="2618FBDF"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Setting negative charges to zero</w:t>
            </w:r>
          </w:p>
        </w:tc>
        <w:tc>
          <w:tcPr>
            <w:tcW w:w="1388" w:type="dxa"/>
            <w:shd w:val="clear" w:color="auto" w:fill="D9E2F3" w:themeFill="accent1" w:themeFillTint="33"/>
          </w:tcPr>
          <w:p w14:paraId="75E9020E" w14:textId="11AEA386"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capacity, Import super-red</w:t>
            </w:r>
          </w:p>
        </w:tc>
        <w:tc>
          <w:tcPr>
            <w:tcW w:w="2894" w:type="dxa"/>
            <w:shd w:val="clear" w:color="auto" w:fill="D9E2F3" w:themeFill="accent1" w:themeFillTint="33"/>
          </w:tcPr>
          <w:p w14:paraId="0700C535" w14:textId="2135DF90"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any negative import capacity charges or import super-red charges are set to zero before rounding.</w:t>
            </w:r>
          </w:p>
        </w:tc>
        <w:tc>
          <w:tcPr>
            <w:tcW w:w="0" w:type="auto"/>
            <w:shd w:val="clear" w:color="auto" w:fill="000000" w:themeFill="text1"/>
            <w:noWrap/>
          </w:tcPr>
          <w:p w14:paraId="439A27F1" w14:textId="77777777" w:rsidR="00327F5D" w:rsidRPr="00646EBF" w:rsidRDefault="00327F5D"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0BFB3068" w14:textId="1EAB1E19"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tcPr>
          <w:p w14:paraId="3E7CAFD1" w14:textId="4E34A0AA"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Dealt with in solution to issue 40</w:t>
            </w:r>
          </w:p>
        </w:tc>
        <w:tc>
          <w:tcPr>
            <w:tcW w:w="2463" w:type="dxa"/>
            <w:shd w:val="clear" w:color="auto" w:fill="D9E2F3" w:themeFill="accent1" w:themeFillTint="33"/>
          </w:tcPr>
          <w:p w14:paraId="5071BAF1" w14:textId="5BCA8919"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tcPr>
          <w:p w14:paraId="361D9D79" w14:textId="77777777" w:rsidR="00327F5D" w:rsidRDefault="00327F5D" w:rsidP="00BC620A">
            <w:pPr>
              <w:spacing w:after="0" w:line="240" w:lineRule="auto"/>
              <w:rPr>
                <w:rFonts w:ascii="Calibri" w:eastAsia="Times New Roman" w:hAnsi="Calibri" w:cs="Calibri"/>
                <w:color w:val="000000"/>
                <w:lang w:eastAsia="en-GB"/>
              </w:rPr>
            </w:pPr>
          </w:p>
        </w:tc>
      </w:tr>
      <w:tr w:rsidR="00327F5D" w:rsidRPr="00646EBF" w14:paraId="137F3086" w14:textId="77777777" w:rsidTr="00050280">
        <w:trPr>
          <w:trHeight w:val="900"/>
        </w:trPr>
        <w:tc>
          <w:tcPr>
            <w:tcW w:w="506" w:type="dxa"/>
            <w:shd w:val="clear" w:color="auto" w:fill="D9E2F3" w:themeFill="accent1" w:themeFillTint="33"/>
          </w:tcPr>
          <w:p w14:paraId="29042BE3" w14:textId="58966C99" w:rsidR="00327F5D" w:rsidRDefault="00327F5D"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29</w:t>
            </w:r>
          </w:p>
        </w:tc>
        <w:tc>
          <w:tcPr>
            <w:tcW w:w="0" w:type="auto"/>
            <w:shd w:val="clear" w:color="auto" w:fill="D9E2F3" w:themeFill="accent1" w:themeFillTint="33"/>
          </w:tcPr>
          <w:p w14:paraId="201464E1" w14:textId="111A1964"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19.9</w:t>
            </w:r>
          </w:p>
        </w:tc>
        <w:tc>
          <w:tcPr>
            <w:tcW w:w="1415" w:type="dxa"/>
            <w:shd w:val="clear" w:color="auto" w:fill="D9E2F3" w:themeFill="accent1" w:themeFillTint="33"/>
          </w:tcPr>
          <w:p w14:paraId="496ED52B" w14:textId="40F34BC8"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Transmission credits</w:t>
            </w:r>
          </w:p>
        </w:tc>
        <w:tc>
          <w:tcPr>
            <w:tcW w:w="1388" w:type="dxa"/>
            <w:shd w:val="clear" w:color="auto" w:fill="D9E2F3" w:themeFill="accent1" w:themeFillTint="33"/>
          </w:tcPr>
          <w:p w14:paraId="3BF4ACC3" w14:textId="22A6F95D"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Tariff inputs</w:t>
            </w:r>
          </w:p>
        </w:tc>
        <w:tc>
          <w:tcPr>
            <w:tcW w:w="2894" w:type="dxa"/>
            <w:shd w:val="clear" w:color="auto" w:fill="D9E2F3" w:themeFill="accent1" w:themeFillTint="33"/>
          </w:tcPr>
          <w:p w14:paraId="34947C06" w14:textId="391EC8F7"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“may include transmission credits” is wholly determined by the proportion eligible for credits, which is part of the input data.</w:t>
            </w:r>
          </w:p>
        </w:tc>
        <w:tc>
          <w:tcPr>
            <w:tcW w:w="0" w:type="auto"/>
            <w:shd w:val="clear" w:color="auto" w:fill="000000" w:themeFill="text1"/>
            <w:noWrap/>
          </w:tcPr>
          <w:p w14:paraId="3F66BB16" w14:textId="77777777" w:rsidR="00327F5D" w:rsidRPr="00646EBF" w:rsidRDefault="00327F5D"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63240AB7" w14:textId="2AB9E2B3"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78BBF282" w14:textId="77FDA8A7" w:rsidR="00327F5D" w:rsidRDefault="00327F5D"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5D5351DF" w14:textId="32DBB7DD" w:rsidR="00327F5D" w:rsidRDefault="00DD4CE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4A0B9B8C" w14:textId="467D691B" w:rsidR="00327F5D" w:rsidRDefault="00DD4CE0"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19.</w:t>
            </w:r>
            <w:r w:rsidR="00227D85">
              <w:rPr>
                <w:rFonts w:ascii="Calibri" w:eastAsia="Times New Roman" w:hAnsi="Calibri" w:cs="Calibri"/>
                <w:color w:val="000000"/>
                <w:lang w:eastAsia="en-GB"/>
              </w:rPr>
              <w:t>9</w:t>
            </w:r>
            <w:r>
              <w:rPr>
                <w:rFonts w:ascii="Calibri" w:eastAsia="Times New Roman" w:hAnsi="Calibri" w:cs="Calibri"/>
                <w:color w:val="000000"/>
                <w:lang w:eastAsia="en-GB"/>
              </w:rPr>
              <w:t>:</w:t>
            </w:r>
          </w:p>
          <w:p w14:paraId="7BE0F716" w14:textId="77777777" w:rsidR="00DD4CE0" w:rsidRDefault="00DD4CE0"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‘Final EDCM export charges will have:</w:t>
            </w:r>
          </w:p>
          <w:p w14:paraId="70747EB0" w14:textId="77777777" w:rsidR="00DD4CE0" w:rsidRDefault="00DD4CE0" w:rsidP="00DD4CE0">
            <w:pPr>
              <w:pStyle w:val="ListParagraph"/>
              <w:numPr>
                <w:ilvl w:val="0"/>
                <w:numId w:val="4"/>
              </w:numPr>
              <w:spacing w:after="0" w:line="240" w:lineRule="auto"/>
              <w:ind w:left="283" w:hanging="284"/>
              <w:rPr>
                <w:rFonts w:ascii="Calibri" w:eastAsia="Times New Roman" w:hAnsi="Calibri" w:cs="Calibri"/>
                <w:color w:val="000000"/>
                <w:lang w:eastAsia="en-GB"/>
              </w:rPr>
            </w:pPr>
            <w:r>
              <w:rPr>
                <w:rFonts w:ascii="Calibri" w:eastAsia="Times New Roman" w:hAnsi="Calibri" w:cs="Calibri"/>
                <w:color w:val="000000"/>
                <w:lang w:eastAsia="en-GB"/>
              </w:rPr>
              <w:t>An export fixed charge on sole use assets (in p/day)</w:t>
            </w:r>
          </w:p>
          <w:p w14:paraId="7B1610D4" w14:textId="77777777" w:rsidR="00DD4CE0" w:rsidRPr="00DD4CE0" w:rsidRDefault="00DD4CE0" w:rsidP="00DD4CE0">
            <w:pPr>
              <w:pStyle w:val="ListParagraph"/>
              <w:numPr>
                <w:ilvl w:val="0"/>
                <w:numId w:val="4"/>
              </w:numPr>
              <w:spacing w:after="0" w:line="240" w:lineRule="auto"/>
              <w:ind w:left="283" w:hanging="284"/>
              <w:rPr>
                <w:rFonts w:ascii="Calibri" w:eastAsia="Times New Roman" w:hAnsi="Calibri" w:cs="Calibri"/>
                <w:color w:val="000000"/>
                <w:lang w:eastAsia="en-GB"/>
              </w:rPr>
            </w:pPr>
            <w:r>
              <w:rPr>
                <w:rFonts w:ascii="Calibri" w:eastAsia="Times New Roman" w:hAnsi="Calibri" w:cs="Calibri"/>
                <w:color w:val="000000"/>
                <w:lang w:eastAsia="en-GB"/>
              </w:rPr>
              <w:t xml:space="preserve">An export capacity charge (in p/kVA/day) </w:t>
            </w:r>
            <w:r>
              <w:rPr>
                <w:rFonts w:ascii="Calibri" w:eastAsia="Times New Roman" w:hAnsi="Calibri" w:cs="Calibri"/>
                <w:i/>
                <w:iCs/>
                <w:color w:val="000000"/>
                <w:u w:val="single"/>
                <w:lang w:eastAsia="en-GB"/>
              </w:rPr>
              <w:t>[, which might include transmission exit credits to qualifying generators.]</w:t>
            </w:r>
          </w:p>
          <w:p w14:paraId="52952BED" w14:textId="77777777" w:rsidR="00DD4CE0" w:rsidRDefault="00DD4CE0" w:rsidP="00DD4CE0">
            <w:pPr>
              <w:pStyle w:val="ListParagraph"/>
              <w:numPr>
                <w:ilvl w:val="0"/>
                <w:numId w:val="4"/>
              </w:numPr>
              <w:spacing w:after="0" w:line="240" w:lineRule="auto"/>
              <w:ind w:left="283" w:hanging="284"/>
              <w:rPr>
                <w:rFonts w:ascii="Calibri" w:eastAsia="Times New Roman" w:hAnsi="Calibri" w:cs="Calibri"/>
                <w:color w:val="000000"/>
                <w:lang w:eastAsia="en-GB"/>
              </w:rPr>
            </w:pPr>
            <w:r>
              <w:rPr>
                <w:rFonts w:ascii="Calibri" w:eastAsia="Times New Roman" w:hAnsi="Calibri" w:cs="Calibri"/>
                <w:color w:val="000000"/>
                <w:lang w:eastAsia="en-GB"/>
              </w:rPr>
              <w:t>An export super-red unit rate (in p/kWh)</w:t>
            </w:r>
          </w:p>
          <w:p w14:paraId="6078C089" w14:textId="66143DB0" w:rsidR="00DD4CE0" w:rsidRPr="00DD4CE0" w:rsidRDefault="00DD4CE0" w:rsidP="00DD4CE0">
            <w:pPr>
              <w:pStyle w:val="ListParagraph"/>
              <w:numPr>
                <w:ilvl w:val="0"/>
                <w:numId w:val="4"/>
              </w:numPr>
              <w:spacing w:after="0" w:line="240" w:lineRule="auto"/>
              <w:ind w:left="283" w:hanging="284"/>
              <w:rPr>
                <w:rFonts w:ascii="Calibri" w:eastAsia="Times New Roman" w:hAnsi="Calibri" w:cs="Calibri"/>
                <w:color w:val="000000"/>
                <w:lang w:eastAsia="en-GB"/>
              </w:rPr>
            </w:pPr>
            <w:r>
              <w:rPr>
                <w:rFonts w:ascii="Calibri" w:eastAsia="Times New Roman" w:hAnsi="Calibri" w:cs="Calibri"/>
                <w:color w:val="000000"/>
                <w:lang w:eastAsia="en-GB"/>
              </w:rPr>
              <w:t>An exceeded export capacity charge (in p/kVA/day)’</w:t>
            </w:r>
          </w:p>
        </w:tc>
      </w:tr>
      <w:tr w:rsidR="00DD4CE0" w:rsidRPr="00646EBF" w14:paraId="5757CF35" w14:textId="77777777" w:rsidTr="00050280">
        <w:trPr>
          <w:trHeight w:val="900"/>
        </w:trPr>
        <w:tc>
          <w:tcPr>
            <w:tcW w:w="506" w:type="dxa"/>
            <w:shd w:val="clear" w:color="auto" w:fill="D9E2F3" w:themeFill="accent1" w:themeFillTint="33"/>
          </w:tcPr>
          <w:p w14:paraId="30488328" w14:textId="69EEE2DC" w:rsidR="00DD4CE0" w:rsidRDefault="00DD4CE0"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30</w:t>
            </w:r>
          </w:p>
        </w:tc>
        <w:tc>
          <w:tcPr>
            <w:tcW w:w="0" w:type="auto"/>
            <w:shd w:val="clear" w:color="auto" w:fill="D9E2F3" w:themeFill="accent1" w:themeFillTint="33"/>
          </w:tcPr>
          <w:p w14:paraId="68DC68A0" w14:textId="3A47FB5B" w:rsidR="00DD4CE0" w:rsidRDefault="00DD4CE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20.6</w:t>
            </w:r>
          </w:p>
        </w:tc>
        <w:tc>
          <w:tcPr>
            <w:tcW w:w="1415" w:type="dxa"/>
            <w:shd w:val="clear" w:color="auto" w:fill="D9E2F3" w:themeFill="accent1" w:themeFillTint="33"/>
          </w:tcPr>
          <w:p w14:paraId="6AA6C3D3" w14:textId="75624A88" w:rsidR="00DD4CE0" w:rsidRDefault="00DD4CE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Exceeded export capacity charge</w:t>
            </w:r>
          </w:p>
        </w:tc>
        <w:tc>
          <w:tcPr>
            <w:tcW w:w="1388" w:type="dxa"/>
            <w:shd w:val="clear" w:color="auto" w:fill="D9E2F3" w:themeFill="accent1" w:themeFillTint="33"/>
          </w:tcPr>
          <w:p w14:paraId="1AB35F9B" w14:textId="76FEAF81" w:rsidR="00DD4CE0" w:rsidRDefault="00DD4CE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Exceeded export</w:t>
            </w:r>
          </w:p>
        </w:tc>
        <w:tc>
          <w:tcPr>
            <w:tcW w:w="2894" w:type="dxa"/>
            <w:shd w:val="clear" w:color="auto" w:fill="D9E2F3" w:themeFill="accent1" w:themeFillTint="33"/>
          </w:tcPr>
          <w:p w14:paraId="6E676AA3" w14:textId="054C349E" w:rsidR="00DD4CE0" w:rsidRDefault="00DD4CE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no specific calculation is required for connectees with agreements with the DNO</w:t>
            </w:r>
          </w:p>
        </w:tc>
        <w:tc>
          <w:tcPr>
            <w:tcW w:w="0" w:type="auto"/>
            <w:shd w:val="clear" w:color="auto" w:fill="000000" w:themeFill="text1"/>
            <w:noWrap/>
          </w:tcPr>
          <w:p w14:paraId="1072EB4D" w14:textId="77777777" w:rsidR="00DD4CE0" w:rsidRPr="00646EBF" w:rsidRDefault="00DD4CE0"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23B994A8" w14:textId="6DCFD5FC" w:rsidR="00DD4CE0" w:rsidRDefault="00DD4CE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2188C6E7" w14:textId="1D8BA5EE" w:rsidR="00DD4CE0" w:rsidRDefault="00DD4CE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1743458A" w14:textId="55BF1BE0" w:rsidR="00DD4CE0" w:rsidRDefault="00DD4CE0"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264EB18F" w14:textId="77777777" w:rsidR="00DD4CE0" w:rsidRDefault="00DD4CE0"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20.6:</w:t>
            </w:r>
          </w:p>
          <w:p w14:paraId="0E2B9BC9" w14:textId="77777777" w:rsidR="00DD4CE0" w:rsidRDefault="00DD4CE0" w:rsidP="00BC620A">
            <w:pPr>
              <w:spacing w:after="0" w:line="240" w:lineRule="auto"/>
              <w:rPr>
                <w:rFonts w:ascii="Calibri" w:eastAsia="Times New Roman" w:hAnsi="Calibri" w:cs="Calibri"/>
                <w:i/>
                <w:iCs/>
                <w:color w:val="000000"/>
                <w:u w:val="single"/>
                <w:lang w:eastAsia="en-GB"/>
              </w:rPr>
            </w:pPr>
            <w:r>
              <w:rPr>
                <w:rFonts w:ascii="Calibri" w:eastAsia="Times New Roman" w:hAnsi="Calibri" w:cs="Calibri"/>
                <w:color w:val="000000"/>
                <w:lang w:eastAsia="en-GB"/>
              </w:rPr>
              <w:t xml:space="preserve">‘(i) For Connectees other than those that have an agreement with the DNO, the terms of which require them, for the purposes of P2/6 compliance, to export power during </w:t>
            </w:r>
            <w:proofErr w:type="spellStart"/>
            <w:r>
              <w:rPr>
                <w:rFonts w:ascii="Calibri" w:eastAsia="Times New Roman" w:hAnsi="Calibri" w:cs="Calibri"/>
                <w:color w:val="000000"/>
                <w:lang w:eastAsia="en-GB"/>
              </w:rPr>
              <w:t>supergrid</w:t>
            </w:r>
            <w:proofErr w:type="spellEnd"/>
            <w:r>
              <w:rPr>
                <w:rFonts w:ascii="Calibri" w:eastAsia="Times New Roman" w:hAnsi="Calibri" w:cs="Calibri"/>
                <w:color w:val="000000"/>
                <w:lang w:eastAsia="en-GB"/>
              </w:rPr>
              <w:t xml:space="preserve"> transformer (SGT) outage conditions, the </w:t>
            </w:r>
            <w:r>
              <w:rPr>
                <w:rFonts w:ascii="Calibri" w:eastAsia="Times New Roman" w:hAnsi="Calibri" w:cs="Calibri"/>
                <w:color w:val="000000"/>
                <w:lang w:eastAsia="en-GB"/>
              </w:rPr>
              <w:lastRenderedPageBreak/>
              <w:t xml:space="preserve">exceeded portion of the export capacity is charges at the same rate as the capacity that is within the Maximum Export Capacity. </w:t>
            </w:r>
          </w:p>
          <w:p w14:paraId="4DE45C01" w14:textId="77777777" w:rsidR="00DD4CE0" w:rsidRDefault="00DD4CE0" w:rsidP="00DD4CE0">
            <w:pPr>
              <w:spacing w:after="0" w:line="240" w:lineRule="auto"/>
              <w:rPr>
                <w:rFonts w:ascii="Calibri" w:eastAsia="Times New Roman" w:hAnsi="Calibri" w:cs="Calibri"/>
                <w:i/>
                <w:iCs/>
                <w:color w:val="000000"/>
                <w:u w:val="single"/>
                <w:lang w:eastAsia="en-GB"/>
              </w:rPr>
            </w:pPr>
            <w:r>
              <w:rPr>
                <w:rFonts w:ascii="Calibri" w:eastAsia="Times New Roman" w:hAnsi="Calibri" w:cs="Calibri"/>
                <w:i/>
                <w:iCs/>
                <w:color w:val="000000"/>
                <w:u w:val="single"/>
                <w:lang w:eastAsia="en-GB"/>
              </w:rPr>
              <w:t xml:space="preserve">(ii)For Connectees which have an agreement with the DNO, </w:t>
            </w:r>
            <w:r w:rsidR="004D08EF">
              <w:rPr>
                <w:rFonts w:ascii="Calibri" w:eastAsia="Times New Roman" w:hAnsi="Calibri" w:cs="Calibri"/>
                <w:i/>
                <w:iCs/>
                <w:color w:val="000000"/>
                <w:u w:val="single"/>
                <w:lang w:eastAsia="en-GB"/>
              </w:rPr>
              <w:t>the terms of which require them, for the purposes of P2/6 compliance, to export power during SGT outage conditions, the exceeded portion of the export capacity is charged a the capacity rate before the adjustment specified in clause 10.3 is applied.</w:t>
            </w:r>
          </w:p>
          <w:p w14:paraId="0ACF8CC3" w14:textId="412EEC30" w:rsidR="004D08EF" w:rsidRPr="004D08EF" w:rsidRDefault="004D08EF" w:rsidP="00DD4CE0">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This is charged for the duration of the month in which the breach occurs.’</w:t>
            </w:r>
          </w:p>
        </w:tc>
      </w:tr>
      <w:tr w:rsidR="00DD4CE0" w:rsidRPr="00646EBF" w14:paraId="2385984E" w14:textId="77777777" w:rsidTr="00050280">
        <w:trPr>
          <w:trHeight w:val="900"/>
        </w:trPr>
        <w:tc>
          <w:tcPr>
            <w:tcW w:w="506" w:type="dxa"/>
            <w:shd w:val="clear" w:color="auto" w:fill="D9E2F3" w:themeFill="accent1" w:themeFillTint="33"/>
          </w:tcPr>
          <w:p w14:paraId="430D0D06" w14:textId="4F7F72B3" w:rsidR="00DD4CE0" w:rsidRDefault="004D08EF"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31</w:t>
            </w:r>
          </w:p>
        </w:tc>
        <w:tc>
          <w:tcPr>
            <w:tcW w:w="0" w:type="auto"/>
            <w:shd w:val="clear" w:color="auto" w:fill="D9E2F3" w:themeFill="accent1" w:themeFillTint="33"/>
          </w:tcPr>
          <w:p w14:paraId="66B975DF" w14:textId="48F33B49" w:rsidR="00DD4CE0" w:rsidRDefault="004D08E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20.9</w:t>
            </w:r>
          </w:p>
        </w:tc>
        <w:tc>
          <w:tcPr>
            <w:tcW w:w="1415" w:type="dxa"/>
            <w:shd w:val="clear" w:color="auto" w:fill="D9E2F3" w:themeFill="accent1" w:themeFillTint="33"/>
          </w:tcPr>
          <w:p w14:paraId="73EBCBEB" w14:textId="2C5C15EC" w:rsidR="00DD4CE0" w:rsidRDefault="004D08EF"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Exceeded import capacity charge</w:t>
            </w:r>
          </w:p>
        </w:tc>
        <w:tc>
          <w:tcPr>
            <w:tcW w:w="1388" w:type="dxa"/>
            <w:shd w:val="clear" w:color="auto" w:fill="D9E2F3" w:themeFill="accent1" w:themeFillTint="33"/>
          </w:tcPr>
          <w:p w14:paraId="37FAE365" w14:textId="39F38CAC" w:rsidR="00DD4CE0"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Exceeded import</w:t>
            </w:r>
          </w:p>
        </w:tc>
        <w:tc>
          <w:tcPr>
            <w:tcW w:w="2894" w:type="dxa"/>
            <w:shd w:val="clear" w:color="auto" w:fill="D9E2F3" w:themeFill="accent1" w:themeFillTint="33"/>
          </w:tcPr>
          <w:p w14:paraId="2EF25842" w14:textId="3A3DA225" w:rsidR="00DD4CE0"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uses the import capacity charge before it is rounded but after it is bounded at zero to remove the negative values</w:t>
            </w:r>
          </w:p>
        </w:tc>
        <w:tc>
          <w:tcPr>
            <w:tcW w:w="0" w:type="auto"/>
            <w:shd w:val="clear" w:color="auto" w:fill="000000" w:themeFill="text1"/>
            <w:noWrap/>
          </w:tcPr>
          <w:p w14:paraId="2230A928" w14:textId="77777777" w:rsidR="00DD4CE0" w:rsidRPr="00646EBF" w:rsidRDefault="00DD4CE0"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3FD61A74" w14:textId="3A044D35" w:rsidR="00DD4CE0"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n/a</w:t>
            </w:r>
          </w:p>
        </w:tc>
        <w:tc>
          <w:tcPr>
            <w:tcW w:w="1316" w:type="dxa"/>
            <w:shd w:val="clear" w:color="auto" w:fill="D9E2F3" w:themeFill="accent1" w:themeFillTint="33"/>
          </w:tcPr>
          <w:p w14:paraId="13C1B374" w14:textId="66D544D0" w:rsidR="00DD4CE0"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Dealt with in solution to issue 40</w:t>
            </w:r>
          </w:p>
        </w:tc>
        <w:tc>
          <w:tcPr>
            <w:tcW w:w="2463" w:type="dxa"/>
            <w:shd w:val="clear" w:color="auto" w:fill="D9E2F3" w:themeFill="accent1" w:themeFillTint="33"/>
          </w:tcPr>
          <w:p w14:paraId="090E1E6B" w14:textId="5CA67D23" w:rsidR="00DD4CE0"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No Action</w:t>
            </w:r>
          </w:p>
        </w:tc>
        <w:tc>
          <w:tcPr>
            <w:tcW w:w="3025" w:type="dxa"/>
            <w:shd w:val="clear" w:color="auto" w:fill="D9E2F3" w:themeFill="accent1" w:themeFillTint="33"/>
          </w:tcPr>
          <w:p w14:paraId="7DB1A7F7" w14:textId="77777777" w:rsidR="00DD4CE0" w:rsidRDefault="00DD4CE0" w:rsidP="00BC620A">
            <w:pPr>
              <w:spacing w:after="0" w:line="240" w:lineRule="auto"/>
              <w:rPr>
                <w:rFonts w:ascii="Calibri" w:eastAsia="Times New Roman" w:hAnsi="Calibri" w:cs="Calibri"/>
                <w:color w:val="000000"/>
                <w:lang w:eastAsia="en-GB"/>
              </w:rPr>
            </w:pPr>
          </w:p>
        </w:tc>
      </w:tr>
      <w:tr w:rsidR="00543B79" w:rsidRPr="00646EBF" w14:paraId="412CE668" w14:textId="77777777" w:rsidTr="00050280">
        <w:trPr>
          <w:trHeight w:val="900"/>
        </w:trPr>
        <w:tc>
          <w:tcPr>
            <w:tcW w:w="506" w:type="dxa"/>
            <w:shd w:val="clear" w:color="auto" w:fill="D9E2F3" w:themeFill="accent1" w:themeFillTint="33"/>
          </w:tcPr>
          <w:p w14:paraId="50A901D4" w14:textId="1741229C" w:rsidR="00543B79" w:rsidRDefault="00543B79"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32</w:t>
            </w:r>
          </w:p>
        </w:tc>
        <w:tc>
          <w:tcPr>
            <w:tcW w:w="0" w:type="auto"/>
            <w:shd w:val="clear" w:color="auto" w:fill="D9E2F3" w:themeFill="accent1" w:themeFillTint="33"/>
          </w:tcPr>
          <w:p w14:paraId="7EB7FF99" w14:textId="59CCC157"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25.2</w:t>
            </w:r>
          </w:p>
        </w:tc>
        <w:tc>
          <w:tcPr>
            <w:tcW w:w="1415" w:type="dxa"/>
            <w:shd w:val="clear" w:color="auto" w:fill="D9E2F3" w:themeFill="accent1" w:themeFillTint="33"/>
          </w:tcPr>
          <w:p w14:paraId="73D58BC3" w14:textId="5ED90AA6"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LDNO discount calculation</w:t>
            </w:r>
          </w:p>
        </w:tc>
        <w:tc>
          <w:tcPr>
            <w:tcW w:w="1388" w:type="dxa"/>
            <w:shd w:val="clear" w:color="auto" w:fill="D9E2F3" w:themeFill="accent1" w:themeFillTint="33"/>
          </w:tcPr>
          <w:p w14:paraId="625FA95B" w14:textId="65CEBADA"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LDNO calculations</w:t>
            </w:r>
          </w:p>
        </w:tc>
        <w:tc>
          <w:tcPr>
            <w:tcW w:w="2894" w:type="dxa"/>
            <w:shd w:val="clear" w:color="auto" w:fill="D9E2F3" w:themeFill="accent1" w:themeFillTint="33"/>
          </w:tcPr>
          <w:p w14:paraId="0AF0E918" w14:textId="0EC3F590"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when calculating LDNO discounts, generation tariffs can have discounts other than 0% or 100% (as they do in the CDCM).</w:t>
            </w:r>
          </w:p>
        </w:tc>
        <w:tc>
          <w:tcPr>
            <w:tcW w:w="0" w:type="auto"/>
            <w:shd w:val="clear" w:color="auto" w:fill="000000" w:themeFill="text1"/>
            <w:noWrap/>
          </w:tcPr>
          <w:p w14:paraId="572AF9CF" w14:textId="77777777" w:rsidR="00543B79" w:rsidRPr="00646EBF" w:rsidRDefault="00543B79"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26BE6DF7" w14:textId="5B1D4FB5"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728D688E" w14:textId="578E35ED"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35F108E5" w14:textId="08D88CFA"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6BB60C0B" w14:textId="77777777" w:rsidR="00543B79" w:rsidRDefault="00543B79"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para 25.2:</w:t>
            </w:r>
          </w:p>
          <w:p w14:paraId="7AEF1606" w14:textId="5407EE1A" w:rsidR="00543B79" w:rsidRPr="00543B79" w:rsidRDefault="00543B79"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‘In each case, the discount applied to all CDCM tariff components. Discount percentages are capped </w:t>
            </w:r>
            <w:r>
              <w:rPr>
                <w:rFonts w:ascii="Calibri" w:eastAsia="Times New Roman" w:hAnsi="Calibri" w:cs="Calibri"/>
                <w:i/>
                <w:iCs/>
                <w:color w:val="000000"/>
                <w:u w:val="single"/>
                <w:lang w:eastAsia="en-GB"/>
              </w:rPr>
              <w:t xml:space="preserve">[to] at </w:t>
            </w:r>
            <w:r>
              <w:rPr>
                <w:rFonts w:ascii="Calibri" w:eastAsia="Times New Roman" w:hAnsi="Calibri" w:cs="Calibri"/>
                <w:color w:val="000000"/>
                <w:lang w:eastAsia="en-GB"/>
              </w:rPr>
              <w:t>100 per cent.’</w:t>
            </w:r>
          </w:p>
        </w:tc>
      </w:tr>
      <w:tr w:rsidR="00543B79" w:rsidRPr="00646EBF" w14:paraId="755377EA" w14:textId="77777777" w:rsidTr="00050280">
        <w:trPr>
          <w:trHeight w:val="900"/>
        </w:trPr>
        <w:tc>
          <w:tcPr>
            <w:tcW w:w="506" w:type="dxa"/>
            <w:shd w:val="clear" w:color="auto" w:fill="FFF2CC" w:themeFill="accent4" w:themeFillTint="33"/>
          </w:tcPr>
          <w:p w14:paraId="24E9BA92" w14:textId="24B6A277" w:rsidR="00543B79" w:rsidRDefault="00543B79"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t>33</w:t>
            </w:r>
          </w:p>
        </w:tc>
        <w:tc>
          <w:tcPr>
            <w:tcW w:w="0" w:type="auto"/>
            <w:shd w:val="clear" w:color="auto" w:fill="FFF2CC" w:themeFill="accent4" w:themeFillTint="33"/>
          </w:tcPr>
          <w:p w14:paraId="35A72923" w14:textId="73991092"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25.2</w:t>
            </w:r>
          </w:p>
        </w:tc>
        <w:tc>
          <w:tcPr>
            <w:tcW w:w="1415" w:type="dxa"/>
            <w:shd w:val="clear" w:color="auto" w:fill="FFF2CC" w:themeFill="accent4" w:themeFillTint="33"/>
          </w:tcPr>
          <w:p w14:paraId="68E20319" w14:textId="5C11FD67"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LDNO discounts for generators with no reactive power charge</w:t>
            </w:r>
          </w:p>
        </w:tc>
        <w:tc>
          <w:tcPr>
            <w:tcW w:w="1388" w:type="dxa"/>
            <w:shd w:val="clear" w:color="auto" w:fill="FFF2CC" w:themeFill="accent4" w:themeFillTint="33"/>
          </w:tcPr>
          <w:p w14:paraId="419DB8B0" w14:textId="32D77881"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LDNO calculations</w:t>
            </w:r>
          </w:p>
        </w:tc>
        <w:tc>
          <w:tcPr>
            <w:tcW w:w="2894" w:type="dxa"/>
            <w:shd w:val="clear" w:color="auto" w:fill="FFF2CC" w:themeFill="accent4" w:themeFillTint="33"/>
          </w:tcPr>
          <w:p w14:paraId="5AC31346" w14:textId="154457E0"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LDNO discounts do not need to be calculated for the variants of the CDCM generation tariffs which do not have a reactive power charge.</w:t>
            </w:r>
          </w:p>
        </w:tc>
        <w:tc>
          <w:tcPr>
            <w:tcW w:w="0" w:type="auto"/>
            <w:shd w:val="clear" w:color="auto" w:fill="000000" w:themeFill="text1"/>
            <w:noWrap/>
          </w:tcPr>
          <w:p w14:paraId="08C74E62" w14:textId="77777777" w:rsidR="00543B79" w:rsidRPr="00646EBF" w:rsidRDefault="00543B79" w:rsidP="00646EBF">
            <w:pPr>
              <w:spacing w:after="0" w:line="240" w:lineRule="auto"/>
              <w:rPr>
                <w:rFonts w:ascii="Calibri" w:eastAsia="Times New Roman" w:hAnsi="Calibri" w:cs="Calibri"/>
                <w:color w:val="000000"/>
                <w:lang w:eastAsia="en-GB"/>
              </w:rPr>
            </w:pPr>
          </w:p>
        </w:tc>
        <w:tc>
          <w:tcPr>
            <w:tcW w:w="705" w:type="dxa"/>
            <w:shd w:val="clear" w:color="auto" w:fill="FFFFFF" w:themeFill="background1"/>
          </w:tcPr>
          <w:p w14:paraId="6116B2EE" w14:textId="053731FF"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Part 2 </w:t>
            </w:r>
          </w:p>
        </w:tc>
        <w:tc>
          <w:tcPr>
            <w:tcW w:w="1316" w:type="dxa"/>
            <w:shd w:val="clear" w:color="auto" w:fill="FFFFFF" w:themeFill="background1"/>
          </w:tcPr>
          <w:p w14:paraId="3EDB508B" w14:textId="5EAD2FCF"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FFFFFF" w:themeFill="background1"/>
          </w:tcPr>
          <w:p w14:paraId="7EADB68A" w14:textId="535A039E" w:rsidR="00543B79" w:rsidRDefault="00543B79"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FFFFFF" w:themeFill="background1"/>
          </w:tcPr>
          <w:p w14:paraId="6940C85D" w14:textId="74229A71" w:rsidR="00543B79" w:rsidRDefault="00543B79"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Replicate clause 147 of Schedule 16 (which lists tariffs for discounts) at clause 25.3 of Schedule 18.</w:t>
            </w:r>
          </w:p>
        </w:tc>
      </w:tr>
      <w:tr w:rsidR="000177B5" w:rsidRPr="00646EBF" w14:paraId="645939C5" w14:textId="77777777" w:rsidTr="00050280">
        <w:trPr>
          <w:trHeight w:val="900"/>
        </w:trPr>
        <w:tc>
          <w:tcPr>
            <w:tcW w:w="506" w:type="dxa"/>
            <w:shd w:val="clear" w:color="auto" w:fill="D9E2F3" w:themeFill="accent1" w:themeFillTint="33"/>
          </w:tcPr>
          <w:p w14:paraId="588355EB" w14:textId="781EB903" w:rsidR="000177B5" w:rsidRDefault="000177B5" w:rsidP="00646EBF">
            <w:pPr>
              <w:spacing w:after="0" w:line="240" w:lineRule="auto"/>
              <w:jc w:val="right"/>
              <w:rPr>
                <w:rFonts w:ascii="Calibri" w:eastAsia="Times New Roman" w:hAnsi="Calibri" w:cs="Calibri"/>
                <w:color w:val="000000"/>
                <w:lang w:eastAsia="en-GB"/>
              </w:rPr>
            </w:pPr>
            <w:r>
              <w:rPr>
                <w:rFonts w:ascii="Calibri" w:eastAsia="Times New Roman" w:hAnsi="Calibri" w:cs="Calibri"/>
                <w:color w:val="000000"/>
                <w:lang w:eastAsia="en-GB"/>
              </w:rPr>
              <w:lastRenderedPageBreak/>
              <w:t>34</w:t>
            </w:r>
          </w:p>
        </w:tc>
        <w:tc>
          <w:tcPr>
            <w:tcW w:w="0" w:type="auto"/>
            <w:shd w:val="clear" w:color="auto" w:fill="D9E2F3" w:themeFill="accent1" w:themeFillTint="33"/>
          </w:tcPr>
          <w:p w14:paraId="41840E02" w14:textId="1E1132EF" w:rsidR="000177B5" w:rsidRDefault="000177B5"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Schedule 17, paragraph 26.11</w:t>
            </w:r>
          </w:p>
        </w:tc>
        <w:tc>
          <w:tcPr>
            <w:tcW w:w="1415" w:type="dxa"/>
            <w:shd w:val="clear" w:color="auto" w:fill="D9E2F3" w:themeFill="accent1" w:themeFillTint="33"/>
          </w:tcPr>
          <w:p w14:paraId="021A4350" w14:textId="6D33461A" w:rsidR="000177B5" w:rsidRDefault="000177B5"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LDNO scaling by 50%</w:t>
            </w:r>
          </w:p>
        </w:tc>
        <w:tc>
          <w:tcPr>
            <w:tcW w:w="1388" w:type="dxa"/>
            <w:shd w:val="clear" w:color="auto" w:fill="D9E2F3" w:themeFill="accent1" w:themeFillTint="33"/>
          </w:tcPr>
          <w:p w14:paraId="44950CB5" w14:textId="4965A79F" w:rsidR="000177B5" w:rsidRDefault="000177B5"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FCP; Import Capacity</w:t>
            </w:r>
          </w:p>
        </w:tc>
        <w:tc>
          <w:tcPr>
            <w:tcW w:w="2894" w:type="dxa"/>
            <w:shd w:val="clear" w:color="auto" w:fill="D9E2F3" w:themeFill="accent1" w:themeFillTint="33"/>
          </w:tcPr>
          <w:p w14:paraId="251561E3" w14:textId="45550A14" w:rsidR="000177B5" w:rsidRDefault="000177B5"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The model assumes that this refers to residual revenue as calculated in Schedule 17, Paragraph 18.8 and Schedule 17, Paragraph 18.20</w:t>
            </w:r>
          </w:p>
        </w:tc>
        <w:tc>
          <w:tcPr>
            <w:tcW w:w="0" w:type="auto"/>
            <w:shd w:val="clear" w:color="auto" w:fill="000000" w:themeFill="text1"/>
            <w:noWrap/>
          </w:tcPr>
          <w:p w14:paraId="4058FBAF" w14:textId="77777777" w:rsidR="000177B5" w:rsidRPr="00646EBF" w:rsidRDefault="000177B5" w:rsidP="00646EBF">
            <w:pPr>
              <w:spacing w:after="0" w:line="240" w:lineRule="auto"/>
              <w:rPr>
                <w:rFonts w:ascii="Calibri" w:eastAsia="Times New Roman" w:hAnsi="Calibri" w:cs="Calibri"/>
                <w:color w:val="000000"/>
                <w:lang w:eastAsia="en-GB"/>
              </w:rPr>
            </w:pPr>
          </w:p>
        </w:tc>
        <w:tc>
          <w:tcPr>
            <w:tcW w:w="705" w:type="dxa"/>
            <w:shd w:val="clear" w:color="auto" w:fill="D9E2F3" w:themeFill="accent1" w:themeFillTint="33"/>
          </w:tcPr>
          <w:p w14:paraId="30BC4796" w14:textId="1A07770B" w:rsidR="000177B5" w:rsidRDefault="000177B5"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Part 2</w:t>
            </w:r>
          </w:p>
        </w:tc>
        <w:tc>
          <w:tcPr>
            <w:tcW w:w="1316" w:type="dxa"/>
            <w:shd w:val="clear" w:color="auto" w:fill="D9E2F3" w:themeFill="accent1" w:themeFillTint="33"/>
          </w:tcPr>
          <w:p w14:paraId="42130542" w14:textId="50FF0A07" w:rsidR="000177B5" w:rsidRDefault="000177B5"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Clarification Only</w:t>
            </w:r>
          </w:p>
        </w:tc>
        <w:tc>
          <w:tcPr>
            <w:tcW w:w="2463" w:type="dxa"/>
            <w:shd w:val="clear" w:color="auto" w:fill="D9E2F3" w:themeFill="accent1" w:themeFillTint="33"/>
          </w:tcPr>
          <w:p w14:paraId="6EBD7E8E" w14:textId="6B187DE4" w:rsidR="000177B5" w:rsidRDefault="000177B5" w:rsidP="00646EBF">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EDCM (LRIC and FCP) – Housekeeping (minor)</w:t>
            </w:r>
          </w:p>
        </w:tc>
        <w:tc>
          <w:tcPr>
            <w:tcW w:w="3025" w:type="dxa"/>
            <w:shd w:val="clear" w:color="auto" w:fill="D9E2F3" w:themeFill="accent1" w:themeFillTint="33"/>
          </w:tcPr>
          <w:p w14:paraId="001DC7BD" w14:textId="77777777" w:rsidR="000177B5" w:rsidRDefault="000177B5"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Amend clause 26.11:</w:t>
            </w:r>
          </w:p>
          <w:p w14:paraId="76ACF5A9" w14:textId="5019FE38" w:rsidR="000177B5" w:rsidRPr="000177B5" w:rsidRDefault="000177B5" w:rsidP="00BC620A">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 xml:space="preserve">‘For EDCM Connectees connected to the IDNO Party’s network, the capacity-based charge for the DNO Party’s indirect costs </w:t>
            </w:r>
            <w:r>
              <w:rPr>
                <w:rFonts w:ascii="Calibri" w:eastAsia="Times New Roman" w:hAnsi="Calibri" w:cs="Calibri"/>
                <w:i/>
                <w:iCs/>
                <w:color w:val="000000"/>
                <w:u w:val="single"/>
                <w:lang w:eastAsia="en-GB"/>
              </w:rPr>
              <w:t>(as per clause 18.18)</w:t>
            </w:r>
            <w:r>
              <w:rPr>
                <w:rFonts w:ascii="Calibri" w:eastAsia="Times New Roman" w:hAnsi="Calibri" w:cs="Calibri"/>
                <w:color w:val="000000"/>
                <w:lang w:eastAsia="en-GB"/>
              </w:rPr>
              <w:t xml:space="preserve"> and the 20% share of residual revenue </w:t>
            </w:r>
            <w:r>
              <w:rPr>
                <w:rFonts w:ascii="Calibri" w:eastAsia="Times New Roman" w:hAnsi="Calibri" w:cs="Calibri"/>
                <w:i/>
                <w:iCs/>
                <w:color w:val="000000"/>
                <w:u w:val="single"/>
                <w:lang w:eastAsia="en-GB"/>
              </w:rPr>
              <w:t>(as per clause 18.20)</w:t>
            </w:r>
            <w:r>
              <w:rPr>
                <w:rFonts w:ascii="Calibri" w:eastAsia="Times New Roman" w:hAnsi="Calibri" w:cs="Calibri"/>
                <w:color w:val="000000"/>
                <w:lang w:eastAsia="en-GB"/>
              </w:rPr>
              <w:t xml:space="preserve"> that is applies as a fixed adder, would be scaled down by a factor of 50 per cent, however, the scaling down will not apply where the residual revenue is negative.’</w:t>
            </w:r>
          </w:p>
        </w:tc>
      </w:tr>
    </w:tbl>
    <w:p w14:paraId="4C87DE04" w14:textId="7533114F" w:rsidR="002D42C2" w:rsidRDefault="002D42C2"/>
    <w:sectPr w:rsidR="002D42C2" w:rsidSect="00646EBF">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ollie Nicholls" w:date="2019-11-25T16:49:00Z" w:initials="HN">
    <w:p w14:paraId="6F839337" w14:textId="764D0E06" w:rsidR="00E325C2" w:rsidRDefault="00E325C2">
      <w:pPr>
        <w:pStyle w:val="CommentText"/>
      </w:pPr>
      <w:r>
        <w:rPr>
          <w:rStyle w:val="CommentReference"/>
        </w:rPr>
        <w:annotationRef/>
      </w:r>
      <w:r w:rsidR="00154B61">
        <w:t xml:space="preserve">The end of the discussion point is missing from the assumptions log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83933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839337" w16cid:durableId="2186848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F19EF"/>
    <w:multiLevelType w:val="hybridMultilevel"/>
    <w:tmpl w:val="8308469E"/>
    <w:lvl w:ilvl="0" w:tplc="45E283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926D03"/>
    <w:multiLevelType w:val="hybridMultilevel"/>
    <w:tmpl w:val="6C38FC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F674582"/>
    <w:multiLevelType w:val="hybridMultilevel"/>
    <w:tmpl w:val="1A90505E"/>
    <w:lvl w:ilvl="0" w:tplc="29760B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B466EFE"/>
    <w:multiLevelType w:val="hybridMultilevel"/>
    <w:tmpl w:val="340C0684"/>
    <w:lvl w:ilvl="0" w:tplc="70F2549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EBF"/>
    <w:rsid w:val="000177B5"/>
    <w:rsid w:val="00050280"/>
    <w:rsid w:val="00055743"/>
    <w:rsid w:val="000F22F1"/>
    <w:rsid w:val="000F7001"/>
    <w:rsid w:val="00154B61"/>
    <w:rsid w:val="001927E8"/>
    <w:rsid w:val="001A4C3E"/>
    <w:rsid w:val="002028B0"/>
    <w:rsid w:val="00227D85"/>
    <w:rsid w:val="00260143"/>
    <w:rsid w:val="002D42C2"/>
    <w:rsid w:val="003022CD"/>
    <w:rsid w:val="00327F5D"/>
    <w:rsid w:val="003E7B0E"/>
    <w:rsid w:val="00485B1D"/>
    <w:rsid w:val="004D08EF"/>
    <w:rsid w:val="005347BD"/>
    <w:rsid w:val="00543B79"/>
    <w:rsid w:val="0056186C"/>
    <w:rsid w:val="005D7185"/>
    <w:rsid w:val="00646EBF"/>
    <w:rsid w:val="0069663D"/>
    <w:rsid w:val="006A684F"/>
    <w:rsid w:val="006E09BF"/>
    <w:rsid w:val="0070198F"/>
    <w:rsid w:val="00707B5B"/>
    <w:rsid w:val="00783CC0"/>
    <w:rsid w:val="007D6373"/>
    <w:rsid w:val="00825838"/>
    <w:rsid w:val="00833C01"/>
    <w:rsid w:val="00843236"/>
    <w:rsid w:val="008744C9"/>
    <w:rsid w:val="008C0313"/>
    <w:rsid w:val="008D11C9"/>
    <w:rsid w:val="00943816"/>
    <w:rsid w:val="009C4015"/>
    <w:rsid w:val="009C5F33"/>
    <w:rsid w:val="009F19F1"/>
    <w:rsid w:val="00A1073D"/>
    <w:rsid w:val="00B63120"/>
    <w:rsid w:val="00BA0C9C"/>
    <w:rsid w:val="00BA1915"/>
    <w:rsid w:val="00BC620A"/>
    <w:rsid w:val="00BE1D48"/>
    <w:rsid w:val="00C179AD"/>
    <w:rsid w:val="00C64D9F"/>
    <w:rsid w:val="00D16B3E"/>
    <w:rsid w:val="00DA6B93"/>
    <w:rsid w:val="00DD4CE0"/>
    <w:rsid w:val="00E325C2"/>
    <w:rsid w:val="00E57F9D"/>
    <w:rsid w:val="00E932DB"/>
    <w:rsid w:val="00FA0366"/>
    <w:rsid w:val="49C7D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4DD87"/>
  <w15:chartTrackingRefBased/>
  <w15:docId w15:val="{6CC2D8ED-BB2A-433F-B96C-0A898C2A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7B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B0E"/>
    <w:rPr>
      <w:rFonts w:ascii="Segoe UI" w:hAnsi="Segoe UI" w:cs="Segoe UI"/>
      <w:sz w:val="18"/>
      <w:szCs w:val="18"/>
    </w:rPr>
  </w:style>
  <w:style w:type="paragraph" w:styleId="ListParagraph">
    <w:name w:val="List Paragraph"/>
    <w:basedOn w:val="Normal"/>
    <w:uiPriority w:val="34"/>
    <w:qFormat/>
    <w:rsid w:val="002D42C2"/>
    <w:pPr>
      <w:ind w:left="720"/>
      <w:contextualSpacing/>
    </w:pPr>
  </w:style>
  <w:style w:type="character" w:styleId="CommentReference">
    <w:name w:val="annotation reference"/>
    <w:basedOn w:val="DefaultParagraphFont"/>
    <w:uiPriority w:val="99"/>
    <w:semiHidden/>
    <w:unhideWhenUsed/>
    <w:rsid w:val="00E325C2"/>
    <w:rPr>
      <w:sz w:val="16"/>
      <w:szCs w:val="16"/>
    </w:rPr>
  </w:style>
  <w:style w:type="paragraph" w:styleId="CommentText">
    <w:name w:val="annotation text"/>
    <w:basedOn w:val="Normal"/>
    <w:link w:val="CommentTextChar"/>
    <w:uiPriority w:val="99"/>
    <w:semiHidden/>
    <w:unhideWhenUsed/>
    <w:rsid w:val="00E325C2"/>
    <w:pPr>
      <w:spacing w:line="240" w:lineRule="auto"/>
    </w:pPr>
    <w:rPr>
      <w:sz w:val="20"/>
      <w:szCs w:val="20"/>
    </w:rPr>
  </w:style>
  <w:style w:type="character" w:customStyle="1" w:styleId="CommentTextChar">
    <w:name w:val="Comment Text Char"/>
    <w:basedOn w:val="DefaultParagraphFont"/>
    <w:link w:val="CommentText"/>
    <w:uiPriority w:val="99"/>
    <w:semiHidden/>
    <w:rsid w:val="00E325C2"/>
    <w:rPr>
      <w:sz w:val="20"/>
      <w:szCs w:val="20"/>
    </w:rPr>
  </w:style>
  <w:style w:type="paragraph" w:styleId="CommentSubject">
    <w:name w:val="annotation subject"/>
    <w:basedOn w:val="CommentText"/>
    <w:next w:val="CommentText"/>
    <w:link w:val="CommentSubjectChar"/>
    <w:uiPriority w:val="99"/>
    <w:semiHidden/>
    <w:unhideWhenUsed/>
    <w:rsid w:val="00E325C2"/>
    <w:rPr>
      <w:b/>
      <w:bCs/>
    </w:rPr>
  </w:style>
  <w:style w:type="character" w:customStyle="1" w:styleId="CommentSubjectChar">
    <w:name w:val="Comment Subject Char"/>
    <w:basedOn w:val="CommentTextChar"/>
    <w:link w:val="CommentSubject"/>
    <w:uiPriority w:val="99"/>
    <w:semiHidden/>
    <w:rsid w:val="00E325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79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7A2D9396799F458E7ED7341D4BC8DE" ma:contentTypeVersion="3" ma:contentTypeDescription="Create a new document." ma:contentTypeScope="" ma:versionID="ff009b389d767e6f20c8bf32f1cdfb69">
  <xsd:schema xmlns:xsd="http://www.w3.org/2001/XMLSchema" xmlns:xs="http://www.w3.org/2001/XMLSchema" xmlns:p="http://schemas.microsoft.com/office/2006/metadata/properties" xmlns:ns2="5779e73f-c2fc-4a8d-9b4e-0ee89ca28766" targetNamespace="http://schemas.microsoft.com/office/2006/metadata/properties" ma:root="true" ma:fieldsID="682970ed647e7549999b7064af1bcf44" ns2:_="">
    <xsd:import namespace="5779e73f-c2fc-4a8d-9b4e-0ee89ca28766"/>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9e73f-c2fc-4a8d-9b4e-0ee89ca28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5DF3F-C9FC-4270-B728-ADF02BCD9753}">
  <ds:schemaRefs>
    <ds:schemaRef ds:uri="http://schemas.microsoft.com/sharepoint/v3/contenttype/forms"/>
  </ds:schemaRefs>
</ds:datastoreItem>
</file>

<file path=customXml/itemProps2.xml><?xml version="1.0" encoding="utf-8"?>
<ds:datastoreItem xmlns:ds="http://schemas.openxmlformats.org/officeDocument/2006/customXml" ds:itemID="{0695C27B-7923-4A88-AEF4-2FEE6232C4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08A3DC-FB3C-4607-AED6-40249AEEC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9e73f-c2fc-4a8d-9b4e-0ee89ca28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16</Pages>
  <Words>3457</Words>
  <Characters>19705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7</cp:revision>
  <dcterms:created xsi:type="dcterms:W3CDTF">2019-11-25T12:19:00Z</dcterms:created>
  <dcterms:modified xsi:type="dcterms:W3CDTF">2020-01-06T18:13:00Z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0x010100B17A2D9396799F458E7ED7341D4BC8DE</vt:lpwstr>
  </property>
</Properties>
</file>