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
        <w:gridCol w:w="1217"/>
        <w:gridCol w:w="1460"/>
        <w:gridCol w:w="1382"/>
        <w:gridCol w:w="2491"/>
        <w:gridCol w:w="222"/>
        <w:gridCol w:w="656"/>
        <w:gridCol w:w="1479"/>
        <w:gridCol w:w="2124"/>
        <w:gridCol w:w="2602"/>
      </w:tblGrid>
      <w:tr w:rsidR="006577F4" w:rsidRPr="00646EBF" w14:paraId="35068A72" w14:textId="77777777" w:rsidTr="004A2223">
        <w:trPr>
          <w:trHeight w:val="423"/>
        </w:trPr>
        <w:tc>
          <w:tcPr>
            <w:tcW w:w="14095" w:type="dxa"/>
            <w:gridSpan w:val="10"/>
            <w:shd w:val="clear" w:color="auto" w:fill="4B86CD"/>
            <w:noWrap/>
            <w:hideMark/>
          </w:tcPr>
          <w:p w14:paraId="6DC4E15C" w14:textId="77777777" w:rsidR="006577F4" w:rsidRPr="00646EBF" w:rsidRDefault="006577F4" w:rsidP="000F0BD6">
            <w:pPr>
              <w:spacing w:after="0" w:line="240" w:lineRule="auto"/>
              <w:rPr>
                <w:rFonts w:ascii="Calibri" w:eastAsia="Times New Roman" w:hAnsi="Calibri" w:cs="Calibri"/>
                <w:b/>
                <w:bCs/>
                <w:color w:val="FFFFFF"/>
                <w:lang w:eastAsia="en-GB"/>
              </w:rPr>
            </w:pPr>
            <w:r>
              <w:rPr>
                <w:rFonts w:ascii="Calibri" w:eastAsia="Times New Roman" w:hAnsi="Calibri" w:cs="Calibri"/>
                <w:b/>
                <w:bCs/>
                <w:color w:val="FFFFFF"/>
                <w:lang w:eastAsia="en-GB"/>
              </w:rPr>
              <w:t>Assumptions</w:t>
            </w:r>
          </w:p>
        </w:tc>
      </w:tr>
      <w:tr w:rsidR="004A2223" w:rsidRPr="00646EBF" w14:paraId="66CACDAB" w14:textId="77777777" w:rsidTr="009B4C33">
        <w:trPr>
          <w:trHeight w:val="117"/>
        </w:trPr>
        <w:tc>
          <w:tcPr>
            <w:tcW w:w="463" w:type="dxa"/>
            <w:shd w:val="clear" w:color="auto" w:fill="auto"/>
            <w:noWrap/>
            <w:hideMark/>
          </w:tcPr>
          <w:p w14:paraId="56FA135A" w14:textId="77777777" w:rsidR="006577F4" w:rsidRPr="00646EBF" w:rsidRDefault="006577F4" w:rsidP="000F0BD6">
            <w:pPr>
              <w:spacing w:after="0" w:line="240" w:lineRule="auto"/>
              <w:rPr>
                <w:rFonts w:ascii="Times New Roman" w:eastAsia="Times New Roman" w:hAnsi="Times New Roman" w:cs="Times New Roman"/>
                <w:sz w:val="20"/>
                <w:szCs w:val="20"/>
                <w:lang w:eastAsia="en-GB"/>
              </w:rPr>
            </w:pPr>
          </w:p>
        </w:tc>
        <w:tc>
          <w:tcPr>
            <w:tcW w:w="0" w:type="auto"/>
            <w:shd w:val="clear" w:color="auto" w:fill="auto"/>
            <w:noWrap/>
            <w:hideMark/>
          </w:tcPr>
          <w:p w14:paraId="52C538AA" w14:textId="77777777" w:rsidR="006577F4" w:rsidRPr="00646EBF" w:rsidRDefault="006577F4" w:rsidP="000F0BD6">
            <w:pPr>
              <w:spacing w:after="0" w:line="240" w:lineRule="auto"/>
              <w:rPr>
                <w:rFonts w:ascii="Times New Roman" w:eastAsia="Times New Roman" w:hAnsi="Times New Roman" w:cs="Times New Roman"/>
                <w:sz w:val="20"/>
                <w:szCs w:val="20"/>
                <w:lang w:eastAsia="en-GB"/>
              </w:rPr>
            </w:pPr>
          </w:p>
        </w:tc>
        <w:tc>
          <w:tcPr>
            <w:tcW w:w="1452" w:type="dxa"/>
            <w:shd w:val="clear" w:color="auto" w:fill="auto"/>
            <w:noWrap/>
            <w:hideMark/>
          </w:tcPr>
          <w:p w14:paraId="731BAAD8" w14:textId="77777777" w:rsidR="006577F4" w:rsidRPr="00646EBF" w:rsidRDefault="006577F4" w:rsidP="000F0BD6">
            <w:pPr>
              <w:spacing w:after="0" w:line="240" w:lineRule="auto"/>
              <w:rPr>
                <w:rFonts w:ascii="Times New Roman" w:eastAsia="Times New Roman" w:hAnsi="Times New Roman" w:cs="Times New Roman"/>
                <w:sz w:val="20"/>
                <w:szCs w:val="20"/>
                <w:lang w:eastAsia="en-GB"/>
              </w:rPr>
            </w:pPr>
          </w:p>
        </w:tc>
        <w:tc>
          <w:tcPr>
            <w:tcW w:w="1375" w:type="dxa"/>
            <w:shd w:val="clear" w:color="auto" w:fill="auto"/>
            <w:noWrap/>
            <w:hideMark/>
          </w:tcPr>
          <w:p w14:paraId="07761F8D" w14:textId="77777777" w:rsidR="006577F4" w:rsidRPr="00646EBF" w:rsidRDefault="006577F4" w:rsidP="000F0BD6">
            <w:pPr>
              <w:spacing w:after="0" w:line="240" w:lineRule="auto"/>
              <w:rPr>
                <w:rFonts w:ascii="Times New Roman" w:eastAsia="Times New Roman" w:hAnsi="Times New Roman" w:cs="Times New Roman"/>
                <w:sz w:val="20"/>
                <w:szCs w:val="20"/>
                <w:lang w:eastAsia="en-GB"/>
              </w:rPr>
            </w:pPr>
          </w:p>
        </w:tc>
        <w:tc>
          <w:tcPr>
            <w:tcW w:w="2502" w:type="dxa"/>
            <w:shd w:val="clear" w:color="auto" w:fill="auto"/>
            <w:noWrap/>
            <w:hideMark/>
          </w:tcPr>
          <w:p w14:paraId="59A51A18" w14:textId="77777777" w:rsidR="006577F4" w:rsidRPr="00646EBF" w:rsidRDefault="006577F4" w:rsidP="000F0BD6">
            <w:pPr>
              <w:spacing w:after="0" w:line="240" w:lineRule="auto"/>
              <w:rPr>
                <w:rFonts w:ascii="Times New Roman" w:eastAsia="Times New Roman" w:hAnsi="Times New Roman" w:cs="Times New Roman"/>
                <w:sz w:val="20"/>
                <w:szCs w:val="20"/>
                <w:lang w:eastAsia="en-GB"/>
              </w:rPr>
            </w:pPr>
          </w:p>
        </w:tc>
        <w:tc>
          <w:tcPr>
            <w:tcW w:w="0" w:type="auto"/>
            <w:shd w:val="clear" w:color="auto" w:fill="000000" w:themeFill="text1"/>
            <w:noWrap/>
            <w:hideMark/>
          </w:tcPr>
          <w:p w14:paraId="2DE6FB90" w14:textId="77777777" w:rsidR="006577F4" w:rsidRPr="00646EBF" w:rsidRDefault="006577F4" w:rsidP="000F0BD6">
            <w:pPr>
              <w:spacing w:after="0" w:line="240" w:lineRule="auto"/>
              <w:rPr>
                <w:rFonts w:ascii="Times New Roman" w:eastAsia="Times New Roman" w:hAnsi="Times New Roman" w:cs="Times New Roman"/>
                <w:sz w:val="20"/>
                <w:szCs w:val="20"/>
                <w:lang w:eastAsia="en-GB"/>
              </w:rPr>
            </w:pPr>
          </w:p>
        </w:tc>
        <w:tc>
          <w:tcPr>
            <w:tcW w:w="653" w:type="dxa"/>
            <w:shd w:val="clear" w:color="auto" w:fill="auto"/>
            <w:noWrap/>
            <w:hideMark/>
          </w:tcPr>
          <w:p w14:paraId="114D8BEC" w14:textId="77777777" w:rsidR="006577F4" w:rsidRPr="00646EBF" w:rsidRDefault="006577F4" w:rsidP="000F0BD6">
            <w:pPr>
              <w:spacing w:after="0" w:line="240" w:lineRule="auto"/>
              <w:rPr>
                <w:rFonts w:ascii="Times New Roman" w:eastAsia="Times New Roman" w:hAnsi="Times New Roman" w:cs="Times New Roman"/>
                <w:sz w:val="20"/>
                <w:szCs w:val="20"/>
                <w:lang w:eastAsia="en-GB"/>
              </w:rPr>
            </w:pPr>
          </w:p>
        </w:tc>
        <w:tc>
          <w:tcPr>
            <w:tcW w:w="1471" w:type="dxa"/>
            <w:shd w:val="clear" w:color="auto" w:fill="auto"/>
            <w:noWrap/>
            <w:hideMark/>
          </w:tcPr>
          <w:p w14:paraId="66FD9095" w14:textId="77777777" w:rsidR="006577F4" w:rsidRPr="00646EBF" w:rsidRDefault="006577F4" w:rsidP="000F0BD6">
            <w:pPr>
              <w:spacing w:after="0" w:line="240" w:lineRule="auto"/>
              <w:rPr>
                <w:rFonts w:ascii="Times New Roman" w:eastAsia="Times New Roman" w:hAnsi="Times New Roman" w:cs="Times New Roman"/>
                <w:sz w:val="20"/>
                <w:szCs w:val="20"/>
                <w:lang w:eastAsia="en-GB"/>
              </w:rPr>
            </w:pPr>
          </w:p>
        </w:tc>
        <w:tc>
          <w:tcPr>
            <w:tcW w:w="2133" w:type="dxa"/>
            <w:shd w:val="clear" w:color="auto" w:fill="auto"/>
            <w:noWrap/>
            <w:hideMark/>
          </w:tcPr>
          <w:p w14:paraId="28A098A5" w14:textId="77777777" w:rsidR="006577F4" w:rsidRPr="00646EBF" w:rsidRDefault="006577F4" w:rsidP="000F0BD6">
            <w:pPr>
              <w:spacing w:after="0" w:line="240" w:lineRule="auto"/>
              <w:rPr>
                <w:rFonts w:ascii="Times New Roman" w:eastAsia="Times New Roman" w:hAnsi="Times New Roman" w:cs="Times New Roman"/>
                <w:sz w:val="20"/>
                <w:szCs w:val="20"/>
                <w:lang w:eastAsia="en-GB"/>
              </w:rPr>
            </w:pPr>
          </w:p>
        </w:tc>
        <w:tc>
          <w:tcPr>
            <w:tcW w:w="2613" w:type="dxa"/>
            <w:shd w:val="clear" w:color="auto" w:fill="auto"/>
            <w:noWrap/>
            <w:hideMark/>
          </w:tcPr>
          <w:p w14:paraId="340CB6BA" w14:textId="77777777" w:rsidR="006577F4" w:rsidRPr="00646EBF" w:rsidRDefault="006577F4" w:rsidP="000F0BD6">
            <w:pPr>
              <w:spacing w:after="0" w:line="240" w:lineRule="auto"/>
              <w:rPr>
                <w:rFonts w:ascii="Times New Roman" w:eastAsia="Times New Roman" w:hAnsi="Times New Roman" w:cs="Times New Roman"/>
                <w:sz w:val="20"/>
                <w:szCs w:val="20"/>
                <w:lang w:eastAsia="en-GB"/>
              </w:rPr>
            </w:pPr>
          </w:p>
        </w:tc>
      </w:tr>
      <w:tr w:rsidR="006577F4" w:rsidRPr="00646EBF" w14:paraId="2FD06548" w14:textId="77777777" w:rsidTr="00674008">
        <w:trPr>
          <w:trHeight w:val="900"/>
        </w:trPr>
        <w:tc>
          <w:tcPr>
            <w:tcW w:w="463" w:type="dxa"/>
            <w:shd w:val="clear" w:color="auto" w:fill="4B86CD"/>
            <w:vAlign w:val="center"/>
            <w:hideMark/>
          </w:tcPr>
          <w:p w14:paraId="0D40F9A2" w14:textId="77777777" w:rsidR="006577F4" w:rsidRPr="00646EBF" w:rsidRDefault="006577F4" w:rsidP="000F0BD6">
            <w:pPr>
              <w:spacing w:after="0" w:line="240" w:lineRule="auto"/>
              <w:jc w:val="right"/>
              <w:rPr>
                <w:rFonts w:ascii="Calibri" w:eastAsia="Times New Roman" w:hAnsi="Calibri" w:cs="Calibri"/>
                <w:b/>
                <w:bCs/>
                <w:color w:val="FFFFFF"/>
                <w:lang w:eastAsia="en-GB"/>
              </w:rPr>
            </w:pPr>
            <w:r w:rsidRPr="00646EBF">
              <w:rPr>
                <w:rFonts w:ascii="Calibri" w:eastAsia="Times New Roman" w:hAnsi="Calibri" w:cs="Calibri"/>
                <w:b/>
                <w:bCs/>
                <w:color w:val="FFFFFF"/>
                <w:lang w:eastAsia="en-GB"/>
              </w:rPr>
              <w:t>ID</w:t>
            </w:r>
          </w:p>
        </w:tc>
        <w:tc>
          <w:tcPr>
            <w:tcW w:w="0" w:type="auto"/>
            <w:shd w:val="clear" w:color="auto" w:fill="4B86CD"/>
            <w:vAlign w:val="center"/>
            <w:hideMark/>
          </w:tcPr>
          <w:p w14:paraId="10B56D88" w14:textId="77777777" w:rsidR="006577F4" w:rsidRPr="00646EBF" w:rsidRDefault="006577F4" w:rsidP="000F0BD6">
            <w:pPr>
              <w:spacing w:after="0" w:line="240" w:lineRule="auto"/>
              <w:rPr>
                <w:rFonts w:ascii="Calibri" w:eastAsia="Times New Roman" w:hAnsi="Calibri" w:cs="Calibri"/>
                <w:b/>
                <w:bCs/>
                <w:color w:val="FFFFFF"/>
                <w:lang w:eastAsia="en-GB"/>
              </w:rPr>
            </w:pPr>
            <w:r w:rsidRPr="00646EBF">
              <w:rPr>
                <w:rFonts w:ascii="Calibri" w:eastAsia="Times New Roman" w:hAnsi="Calibri" w:cs="Calibri"/>
                <w:b/>
                <w:bCs/>
                <w:color w:val="FFFFFF"/>
                <w:lang w:eastAsia="en-GB"/>
              </w:rPr>
              <w:t>DCUSA text reference</w:t>
            </w:r>
          </w:p>
        </w:tc>
        <w:tc>
          <w:tcPr>
            <w:tcW w:w="1452" w:type="dxa"/>
            <w:shd w:val="clear" w:color="auto" w:fill="4B86CD"/>
            <w:vAlign w:val="center"/>
            <w:hideMark/>
          </w:tcPr>
          <w:p w14:paraId="1B37BE4B" w14:textId="77777777" w:rsidR="006577F4" w:rsidRPr="00646EBF" w:rsidRDefault="006577F4" w:rsidP="000F0BD6">
            <w:pPr>
              <w:spacing w:after="0" w:line="240" w:lineRule="auto"/>
              <w:rPr>
                <w:rFonts w:ascii="Calibri" w:eastAsia="Times New Roman" w:hAnsi="Calibri" w:cs="Calibri"/>
                <w:b/>
                <w:bCs/>
                <w:color w:val="FFFFFF"/>
                <w:lang w:eastAsia="en-GB"/>
              </w:rPr>
            </w:pPr>
            <w:r w:rsidRPr="00646EBF">
              <w:rPr>
                <w:rFonts w:ascii="Calibri" w:eastAsia="Times New Roman" w:hAnsi="Calibri" w:cs="Calibri"/>
                <w:b/>
                <w:bCs/>
                <w:color w:val="FFFFFF"/>
                <w:lang w:eastAsia="en-GB"/>
              </w:rPr>
              <w:t>Assumption</w:t>
            </w:r>
          </w:p>
        </w:tc>
        <w:tc>
          <w:tcPr>
            <w:tcW w:w="1375" w:type="dxa"/>
            <w:shd w:val="clear" w:color="auto" w:fill="4B86CD"/>
            <w:vAlign w:val="center"/>
            <w:hideMark/>
          </w:tcPr>
          <w:p w14:paraId="448C0C73" w14:textId="77777777" w:rsidR="006577F4" w:rsidRPr="00646EBF" w:rsidRDefault="006577F4" w:rsidP="000F0BD6">
            <w:pPr>
              <w:spacing w:after="0" w:line="240" w:lineRule="auto"/>
              <w:rPr>
                <w:rFonts w:ascii="Calibri" w:eastAsia="Times New Roman" w:hAnsi="Calibri" w:cs="Calibri"/>
                <w:b/>
                <w:bCs/>
                <w:color w:val="FFFFFF"/>
                <w:lang w:eastAsia="en-GB"/>
              </w:rPr>
            </w:pPr>
            <w:r w:rsidRPr="00646EBF">
              <w:rPr>
                <w:rFonts w:ascii="Calibri" w:eastAsia="Times New Roman" w:hAnsi="Calibri" w:cs="Calibri"/>
                <w:b/>
                <w:bCs/>
                <w:color w:val="FFFFFF"/>
                <w:lang w:eastAsia="en-GB"/>
              </w:rPr>
              <w:t>Worksheet reference</w:t>
            </w:r>
          </w:p>
        </w:tc>
        <w:tc>
          <w:tcPr>
            <w:tcW w:w="2502" w:type="dxa"/>
            <w:shd w:val="clear" w:color="auto" w:fill="4B86CD"/>
            <w:vAlign w:val="center"/>
            <w:hideMark/>
          </w:tcPr>
          <w:p w14:paraId="4BC68360" w14:textId="77777777" w:rsidR="006577F4" w:rsidRPr="00646EBF" w:rsidRDefault="006577F4" w:rsidP="000F0BD6">
            <w:pPr>
              <w:spacing w:after="0" w:line="240" w:lineRule="auto"/>
              <w:rPr>
                <w:rFonts w:ascii="Calibri" w:eastAsia="Times New Roman" w:hAnsi="Calibri" w:cs="Calibri"/>
                <w:b/>
                <w:bCs/>
                <w:color w:val="FFFFFF"/>
                <w:lang w:eastAsia="en-GB"/>
              </w:rPr>
            </w:pPr>
            <w:r w:rsidRPr="00646EBF">
              <w:rPr>
                <w:rFonts w:ascii="Calibri" w:eastAsia="Times New Roman" w:hAnsi="Calibri" w:cs="Calibri"/>
                <w:b/>
                <w:bCs/>
                <w:color w:val="FFFFFF"/>
                <w:lang w:eastAsia="en-GB"/>
              </w:rPr>
              <w:t>Description</w:t>
            </w:r>
          </w:p>
        </w:tc>
        <w:tc>
          <w:tcPr>
            <w:tcW w:w="0" w:type="auto"/>
            <w:shd w:val="clear" w:color="auto" w:fill="000000" w:themeFill="text1"/>
            <w:noWrap/>
            <w:vAlign w:val="center"/>
            <w:hideMark/>
          </w:tcPr>
          <w:p w14:paraId="19AACD6C" w14:textId="77777777" w:rsidR="006577F4" w:rsidRPr="00646EBF" w:rsidRDefault="006577F4" w:rsidP="000F0BD6">
            <w:pPr>
              <w:spacing w:after="0" w:line="240" w:lineRule="auto"/>
              <w:rPr>
                <w:rFonts w:ascii="Calibri" w:eastAsia="Times New Roman" w:hAnsi="Calibri" w:cs="Calibri"/>
                <w:b/>
                <w:bCs/>
                <w:color w:val="FFFFFF"/>
                <w:lang w:eastAsia="en-GB"/>
              </w:rPr>
            </w:pPr>
          </w:p>
        </w:tc>
        <w:tc>
          <w:tcPr>
            <w:tcW w:w="653" w:type="dxa"/>
            <w:shd w:val="clear" w:color="auto" w:fill="4B86CD"/>
            <w:vAlign w:val="center"/>
            <w:hideMark/>
          </w:tcPr>
          <w:p w14:paraId="48977004" w14:textId="77777777" w:rsidR="006577F4" w:rsidRPr="00646EBF" w:rsidRDefault="006577F4" w:rsidP="000F0BD6">
            <w:pPr>
              <w:spacing w:after="0" w:line="240" w:lineRule="auto"/>
              <w:rPr>
                <w:rFonts w:ascii="Calibri" w:eastAsia="Times New Roman" w:hAnsi="Calibri" w:cs="Calibri"/>
                <w:b/>
                <w:bCs/>
                <w:color w:val="FFFFFF"/>
                <w:lang w:eastAsia="en-GB"/>
              </w:rPr>
            </w:pPr>
            <w:r w:rsidRPr="00646EBF">
              <w:rPr>
                <w:rFonts w:ascii="Calibri" w:eastAsia="Times New Roman" w:hAnsi="Calibri" w:cs="Calibri"/>
                <w:b/>
                <w:bCs/>
                <w:color w:val="FFFFFF"/>
                <w:lang w:eastAsia="en-GB"/>
              </w:rPr>
              <w:t>Type</w:t>
            </w:r>
          </w:p>
        </w:tc>
        <w:tc>
          <w:tcPr>
            <w:tcW w:w="1471" w:type="dxa"/>
            <w:shd w:val="clear" w:color="auto" w:fill="4B86CD"/>
            <w:vAlign w:val="center"/>
            <w:hideMark/>
          </w:tcPr>
          <w:p w14:paraId="74B123BD" w14:textId="77777777" w:rsidR="006577F4" w:rsidRPr="00646EBF" w:rsidRDefault="006577F4" w:rsidP="000F0BD6">
            <w:pPr>
              <w:spacing w:after="0" w:line="240" w:lineRule="auto"/>
              <w:rPr>
                <w:rFonts w:ascii="Calibri" w:eastAsia="Times New Roman" w:hAnsi="Calibri" w:cs="Calibri"/>
                <w:b/>
                <w:bCs/>
                <w:color w:val="FFFFFF"/>
                <w:lang w:eastAsia="en-GB"/>
              </w:rPr>
            </w:pPr>
            <w:r w:rsidRPr="00646EBF">
              <w:rPr>
                <w:rFonts w:ascii="Calibri" w:eastAsia="Times New Roman" w:hAnsi="Calibri" w:cs="Calibri"/>
                <w:b/>
                <w:bCs/>
                <w:color w:val="FFFFFF"/>
                <w:lang w:eastAsia="en-GB"/>
              </w:rPr>
              <w:t>Justification</w:t>
            </w:r>
          </w:p>
        </w:tc>
        <w:tc>
          <w:tcPr>
            <w:tcW w:w="2133" w:type="dxa"/>
            <w:shd w:val="clear" w:color="auto" w:fill="4B86CD"/>
            <w:vAlign w:val="center"/>
            <w:hideMark/>
          </w:tcPr>
          <w:p w14:paraId="4AB50524" w14:textId="77777777" w:rsidR="006577F4" w:rsidRPr="00646EBF" w:rsidRDefault="006577F4" w:rsidP="000F0BD6">
            <w:pPr>
              <w:spacing w:after="0" w:line="240" w:lineRule="auto"/>
              <w:rPr>
                <w:rFonts w:ascii="Calibri" w:eastAsia="Times New Roman" w:hAnsi="Calibri" w:cs="Calibri"/>
                <w:b/>
                <w:bCs/>
                <w:color w:val="FFFFFF"/>
                <w:lang w:eastAsia="en-GB"/>
              </w:rPr>
            </w:pPr>
            <w:r w:rsidRPr="00646EBF">
              <w:rPr>
                <w:rFonts w:ascii="Calibri" w:eastAsia="Times New Roman" w:hAnsi="Calibri" w:cs="Calibri"/>
                <w:b/>
                <w:bCs/>
                <w:color w:val="FFFFFF"/>
                <w:lang w:eastAsia="en-GB"/>
              </w:rPr>
              <w:t>Grouping</w:t>
            </w:r>
          </w:p>
        </w:tc>
        <w:tc>
          <w:tcPr>
            <w:tcW w:w="2613" w:type="dxa"/>
            <w:shd w:val="clear" w:color="auto" w:fill="4B86CD"/>
            <w:vAlign w:val="center"/>
            <w:hideMark/>
          </w:tcPr>
          <w:p w14:paraId="1D931D1B" w14:textId="77777777" w:rsidR="006577F4" w:rsidRPr="00646EBF" w:rsidRDefault="006577F4" w:rsidP="000F0BD6">
            <w:pPr>
              <w:spacing w:after="0" w:line="240" w:lineRule="auto"/>
              <w:rPr>
                <w:rFonts w:ascii="Calibri" w:eastAsia="Times New Roman" w:hAnsi="Calibri" w:cs="Calibri"/>
                <w:b/>
                <w:bCs/>
                <w:color w:val="FFFFFF"/>
                <w:lang w:eastAsia="en-GB"/>
              </w:rPr>
            </w:pPr>
            <w:r w:rsidRPr="00646EBF">
              <w:rPr>
                <w:rFonts w:ascii="Calibri" w:eastAsia="Times New Roman" w:hAnsi="Calibri" w:cs="Calibri"/>
                <w:b/>
                <w:bCs/>
                <w:color w:val="FFFFFF"/>
                <w:lang w:eastAsia="en-GB"/>
              </w:rPr>
              <w:t>Proposed Solution</w:t>
            </w:r>
          </w:p>
        </w:tc>
      </w:tr>
      <w:tr w:rsidR="006577F4" w:rsidRPr="00646EBF" w14:paraId="46639A3C" w14:textId="77777777" w:rsidTr="009B4C33">
        <w:trPr>
          <w:trHeight w:val="1800"/>
        </w:trPr>
        <w:tc>
          <w:tcPr>
            <w:tcW w:w="463" w:type="dxa"/>
            <w:shd w:val="clear" w:color="auto" w:fill="FFF2CC" w:themeFill="accent4" w:themeFillTint="33"/>
          </w:tcPr>
          <w:p w14:paraId="68CA5824" w14:textId="77777777" w:rsidR="006577F4" w:rsidRPr="00646EBF" w:rsidRDefault="006577F4" w:rsidP="000F0BD6">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w:t>
            </w:r>
          </w:p>
        </w:tc>
        <w:tc>
          <w:tcPr>
            <w:tcW w:w="0" w:type="auto"/>
            <w:shd w:val="clear" w:color="auto" w:fill="FFF2CC" w:themeFill="accent4" w:themeFillTint="33"/>
          </w:tcPr>
          <w:p w14:paraId="35A446E1" w14:textId="0EBF0ECA" w:rsidR="006577F4" w:rsidRPr="00646EBF" w:rsidRDefault="00812355"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Schedules 17/18</w:t>
            </w:r>
          </w:p>
        </w:tc>
        <w:tc>
          <w:tcPr>
            <w:tcW w:w="1452" w:type="dxa"/>
            <w:shd w:val="clear" w:color="auto" w:fill="FFF2CC" w:themeFill="accent4" w:themeFillTint="33"/>
          </w:tcPr>
          <w:p w14:paraId="7A3FEB7E" w14:textId="7437A5BF" w:rsidR="006577F4" w:rsidRPr="00646EBF" w:rsidRDefault="004A2223"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Outputs to other models</w:t>
            </w:r>
          </w:p>
        </w:tc>
        <w:tc>
          <w:tcPr>
            <w:tcW w:w="1375" w:type="dxa"/>
            <w:shd w:val="clear" w:color="auto" w:fill="FFF2CC" w:themeFill="accent4" w:themeFillTint="33"/>
          </w:tcPr>
          <w:p w14:paraId="013A451A" w14:textId="5FF40840" w:rsidR="006577F4" w:rsidRPr="00646EBF" w:rsidRDefault="00A429B1"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CDCM; outputs to other models</w:t>
            </w:r>
          </w:p>
        </w:tc>
        <w:tc>
          <w:tcPr>
            <w:tcW w:w="2502" w:type="dxa"/>
            <w:shd w:val="clear" w:color="auto" w:fill="FFF2CC" w:themeFill="accent4" w:themeFillTint="33"/>
          </w:tcPr>
          <w:p w14:paraId="3379A188" w14:textId="6DBAA35B" w:rsidR="006577F4" w:rsidRPr="00646EBF" w:rsidRDefault="00CA65A1"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Schedule 16 does not define which parts of the CDCM should be taken as inputs to the EDCM and PCDM. Some of these inputs are defined in Schedules 17/18 – namely paragraphs 9.2 and 15.11 with respect to system simultaneous maximum load and Diversity Allowance. Where these are defined, they are identified using table numbers from the existing models. We assume firstly that these table references will be updated in Schedules 17/18 to reflect the current table reference numbers, and secondly that the outputs exported to the EDCM and PCDM should match the outputs used by the </w:t>
            </w:r>
            <w:r>
              <w:rPr>
                <w:rFonts w:ascii="Calibri" w:eastAsia="Times New Roman" w:hAnsi="Calibri" w:cs="Calibri"/>
                <w:color w:val="000000"/>
                <w:lang w:eastAsia="en-GB"/>
              </w:rPr>
              <w:lastRenderedPageBreak/>
              <w:t>existing models. For instance, system simultaneous maximum load should be exported to the EDCM before adjusting for standing charges (as per existing CDCM table 2506) and not after adjusting for standing charges (as per existing CDCM table 2611).</w:t>
            </w:r>
          </w:p>
        </w:tc>
        <w:tc>
          <w:tcPr>
            <w:tcW w:w="0" w:type="auto"/>
            <w:shd w:val="clear" w:color="auto" w:fill="000000" w:themeFill="text1"/>
            <w:noWrap/>
          </w:tcPr>
          <w:p w14:paraId="5C36A2E4" w14:textId="77777777" w:rsidR="006577F4" w:rsidRPr="00646EBF" w:rsidRDefault="006577F4" w:rsidP="000F0BD6">
            <w:pPr>
              <w:spacing w:after="0" w:line="240" w:lineRule="auto"/>
              <w:rPr>
                <w:rFonts w:ascii="Calibri" w:eastAsia="Times New Roman" w:hAnsi="Calibri" w:cs="Calibri"/>
                <w:color w:val="000000"/>
                <w:lang w:eastAsia="en-GB"/>
              </w:rPr>
            </w:pPr>
          </w:p>
        </w:tc>
        <w:tc>
          <w:tcPr>
            <w:tcW w:w="653" w:type="dxa"/>
            <w:shd w:val="clear" w:color="auto" w:fill="FFFFFF" w:themeFill="background1"/>
          </w:tcPr>
          <w:p w14:paraId="3713EAEB" w14:textId="1637A2EE" w:rsidR="006577F4" w:rsidRPr="00646EBF" w:rsidRDefault="00A12FA1"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2</w:t>
            </w:r>
          </w:p>
        </w:tc>
        <w:tc>
          <w:tcPr>
            <w:tcW w:w="1471" w:type="dxa"/>
            <w:shd w:val="clear" w:color="auto" w:fill="FFFFFF" w:themeFill="background1"/>
          </w:tcPr>
          <w:p w14:paraId="122812B0" w14:textId="420D702D" w:rsidR="006577F4" w:rsidRPr="00646EBF" w:rsidRDefault="00964B90"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Legal text change required to use new model references</w:t>
            </w:r>
          </w:p>
        </w:tc>
        <w:tc>
          <w:tcPr>
            <w:tcW w:w="2133" w:type="dxa"/>
            <w:shd w:val="clear" w:color="auto" w:fill="FFFFFF" w:themeFill="background1"/>
          </w:tcPr>
          <w:p w14:paraId="2661B132" w14:textId="14218D1E" w:rsidR="006577F4" w:rsidRPr="00646EBF" w:rsidRDefault="006633D6"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CDCM – Housekeeping (minor)</w:t>
            </w:r>
          </w:p>
        </w:tc>
        <w:tc>
          <w:tcPr>
            <w:tcW w:w="2613" w:type="dxa"/>
            <w:shd w:val="clear" w:color="auto" w:fill="FFFFFF" w:themeFill="background1"/>
          </w:tcPr>
          <w:p w14:paraId="7876CDBA" w14:textId="77777777" w:rsidR="006577F4" w:rsidRDefault="006E3F33" w:rsidP="000F0BD6">
            <w:pPr>
              <w:spacing w:after="0" w:line="240" w:lineRule="auto"/>
              <w:rPr>
                <w:rFonts w:ascii="Calibri" w:eastAsia="Times New Roman" w:hAnsi="Calibri" w:cs="Calibri"/>
                <w:color w:val="000000"/>
                <w:lang w:eastAsia="en-GB"/>
              </w:rPr>
            </w:pPr>
            <w:r>
              <w:rPr>
                <w:rFonts w:ascii="Calibri" w:eastAsia="Times New Roman" w:hAnsi="Calibri" w:cs="Calibri"/>
                <w:b/>
                <w:bCs/>
                <w:color w:val="000000"/>
                <w:lang w:eastAsia="en-GB"/>
              </w:rPr>
              <w:t>Quick fix:</w:t>
            </w:r>
          </w:p>
          <w:p w14:paraId="535E4660" w14:textId="77777777" w:rsidR="006E3F33" w:rsidRDefault="006E3F33"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Request CEPA/TNEI to update table references in the model to be used for 2020/21 charges to include the old table reference so that DNOs can still comply with the existing legal text (which specifies table references from the old model) when setting 2020/21 charges.</w:t>
            </w:r>
          </w:p>
          <w:p w14:paraId="154A8063" w14:textId="77777777" w:rsidR="006E3F33" w:rsidRDefault="006E3F33"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This requires the ‘System peak load, all unit rates, total’ in CDCM model section 106-C to include in its reference table number 2506, and the </w:t>
            </w:r>
            <w:r>
              <w:rPr>
                <w:rFonts w:ascii="Calibri" w:eastAsia="Times New Roman" w:hAnsi="Calibri" w:cs="Calibri"/>
                <w:i/>
                <w:iCs/>
                <w:color w:val="000000"/>
                <w:u w:val="single"/>
                <w:lang w:eastAsia="en-GB"/>
              </w:rPr>
              <w:t>‘Adjusted network model cumulative diversity factor’ in CDCM model section 102-A to include in its reference table number 2611.</w:t>
            </w:r>
          </w:p>
          <w:p w14:paraId="7F589E58" w14:textId="77777777" w:rsidR="006E3F33" w:rsidRDefault="006E3F33" w:rsidP="000F0BD6">
            <w:pPr>
              <w:spacing w:after="0" w:line="240" w:lineRule="auto"/>
              <w:rPr>
                <w:rFonts w:ascii="Calibri" w:eastAsia="Times New Roman" w:hAnsi="Calibri" w:cs="Calibri"/>
                <w:b/>
                <w:bCs/>
                <w:color w:val="000000"/>
                <w:lang w:eastAsia="en-GB"/>
              </w:rPr>
            </w:pPr>
            <w:r>
              <w:rPr>
                <w:rFonts w:ascii="Calibri" w:eastAsia="Times New Roman" w:hAnsi="Calibri" w:cs="Calibri"/>
                <w:b/>
                <w:bCs/>
                <w:color w:val="000000"/>
                <w:lang w:eastAsia="en-GB"/>
              </w:rPr>
              <w:t>Longer term solution:</w:t>
            </w:r>
          </w:p>
          <w:p w14:paraId="0CD79B0B" w14:textId="27ADF6D3" w:rsidR="006E3F33" w:rsidRPr="006E3F33" w:rsidRDefault="006E3F33"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Define outputs to other models in CDCM legal </w:t>
            </w:r>
            <w:proofErr w:type="gramStart"/>
            <w:r>
              <w:rPr>
                <w:rFonts w:ascii="Calibri" w:eastAsia="Times New Roman" w:hAnsi="Calibri" w:cs="Calibri"/>
                <w:color w:val="000000"/>
                <w:lang w:eastAsia="en-GB"/>
              </w:rPr>
              <w:lastRenderedPageBreak/>
              <w:t>text, and</w:t>
            </w:r>
            <w:proofErr w:type="gramEnd"/>
            <w:r>
              <w:rPr>
                <w:rFonts w:ascii="Calibri" w:eastAsia="Times New Roman" w:hAnsi="Calibri" w:cs="Calibri"/>
                <w:color w:val="000000"/>
                <w:lang w:eastAsia="en-GB"/>
              </w:rPr>
              <w:t xml:space="preserve"> cross-reference these clauses of Schedule 17 and 18 to the new clauses in the CDCM.</w:t>
            </w:r>
          </w:p>
        </w:tc>
      </w:tr>
      <w:tr w:rsidR="006577F4" w:rsidRPr="00646EBF" w14:paraId="5CE8A35B" w14:textId="77777777" w:rsidTr="009B4C33">
        <w:trPr>
          <w:trHeight w:val="900"/>
        </w:trPr>
        <w:tc>
          <w:tcPr>
            <w:tcW w:w="463" w:type="dxa"/>
            <w:shd w:val="clear" w:color="auto" w:fill="D9E2F3" w:themeFill="accent1" w:themeFillTint="33"/>
          </w:tcPr>
          <w:p w14:paraId="7620D433" w14:textId="52A71D2B" w:rsidR="006577F4" w:rsidRPr="00646EBF" w:rsidRDefault="00812355" w:rsidP="000F0BD6">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2</w:t>
            </w:r>
          </w:p>
        </w:tc>
        <w:tc>
          <w:tcPr>
            <w:tcW w:w="0" w:type="auto"/>
            <w:shd w:val="clear" w:color="auto" w:fill="D9E2F3" w:themeFill="accent1" w:themeFillTint="33"/>
          </w:tcPr>
          <w:p w14:paraId="647991A6" w14:textId="7E691A49" w:rsidR="006577F4" w:rsidRPr="00646EBF" w:rsidRDefault="00812355"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18 Section 2</w:t>
            </w:r>
          </w:p>
        </w:tc>
        <w:tc>
          <w:tcPr>
            <w:tcW w:w="1452" w:type="dxa"/>
            <w:shd w:val="clear" w:color="auto" w:fill="D9E2F3" w:themeFill="accent1" w:themeFillTint="33"/>
          </w:tcPr>
          <w:p w14:paraId="26D58784" w14:textId="2C1FCE42" w:rsidR="006577F4" w:rsidRPr="00646EBF" w:rsidRDefault="004A2223"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LRIC inputs</w:t>
            </w:r>
          </w:p>
        </w:tc>
        <w:tc>
          <w:tcPr>
            <w:tcW w:w="1375" w:type="dxa"/>
            <w:shd w:val="clear" w:color="auto" w:fill="D9E2F3" w:themeFill="accent1" w:themeFillTint="33"/>
          </w:tcPr>
          <w:p w14:paraId="68BC903E" w14:textId="79407540" w:rsidR="006577F4" w:rsidRPr="00646EBF" w:rsidRDefault="00A429B1"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LRIC inputs</w:t>
            </w:r>
          </w:p>
        </w:tc>
        <w:tc>
          <w:tcPr>
            <w:tcW w:w="2502" w:type="dxa"/>
            <w:shd w:val="clear" w:color="auto" w:fill="D9E2F3" w:themeFill="accent1" w:themeFillTint="33"/>
          </w:tcPr>
          <w:p w14:paraId="24F68AB1" w14:textId="308E6713" w:rsidR="006577F4" w:rsidRPr="00646EBF" w:rsidRDefault="00CA65A1"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this is only relevant to the calculation of the power flow inputs.</w:t>
            </w:r>
          </w:p>
        </w:tc>
        <w:tc>
          <w:tcPr>
            <w:tcW w:w="0" w:type="auto"/>
            <w:shd w:val="clear" w:color="auto" w:fill="000000" w:themeFill="text1"/>
            <w:noWrap/>
          </w:tcPr>
          <w:p w14:paraId="21337EEC" w14:textId="77777777" w:rsidR="006577F4" w:rsidRPr="00646EBF" w:rsidRDefault="006577F4" w:rsidP="000F0BD6">
            <w:pPr>
              <w:spacing w:after="0" w:line="240" w:lineRule="auto"/>
              <w:rPr>
                <w:rFonts w:ascii="Calibri" w:eastAsia="Times New Roman" w:hAnsi="Calibri" w:cs="Calibri"/>
                <w:color w:val="000000"/>
                <w:lang w:eastAsia="en-GB"/>
              </w:rPr>
            </w:pPr>
          </w:p>
        </w:tc>
        <w:tc>
          <w:tcPr>
            <w:tcW w:w="653" w:type="dxa"/>
            <w:shd w:val="clear" w:color="auto" w:fill="D9E2F3" w:themeFill="accent1" w:themeFillTint="33"/>
          </w:tcPr>
          <w:p w14:paraId="4F98D64F" w14:textId="54ACFC37" w:rsidR="006577F4" w:rsidRPr="00646EBF" w:rsidRDefault="00A12FA1"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1471" w:type="dxa"/>
            <w:shd w:val="clear" w:color="auto" w:fill="D9E2F3" w:themeFill="accent1" w:themeFillTint="33"/>
          </w:tcPr>
          <w:p w14:paraId="356285D8" w14:textId="502FC6F6" w:rsidR="006577F4" w:rsidRPr="00646EBF" w:rsidRDefault="00964B90"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 change needed, correct assumption</w:t>
            </w:r>
          </w:p>
        </w:tc>
        <w:tc>
          <w:tcPr>
            <w:tcW w:w="2133" w:type="dxa"/>
            <w:shd w:val="clear" w:color="auto" w:fill="D9E2F3" w:themeFill="accent1" w:themeFillTint="33"/>
          </w:tcPr>
          <w:p w14:paraId="1FB56D96" w14:textId="419737B7" w:rsidR="006577F4" w:rsidRPr="00646EBF" w:rsidRDefault="006633D6"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 action</w:t>
            </w:r>
          </w:p>
        </w:tc>
        <w:tc>
          <w:tcPr>
            <w:tcW w:w="2613" w:type="dxa"/>
            <w:shd w:val="clear" w:color="auto" w:fill="D9E2F3" w:themeFill="accent1" w:themeFillTint="33"/>
          </w:tcPr>
          <w:p w14:paraId="0E39DD3A" w14:textId="77777777" w:rsidR="006577F4" w:rsidRPr="0056186C" w:rsidRDefault="006577F4" w:rsidP="000F0BD6">
            <w:pPr>
              <w:spacing w:after="0" w:line="240" w:lineRule="auto"/>
              <w:rPr>
                <w:rFonts w:ascii="Calibri" w:eastAsia="Times New Roman" w:hAnsi="Calibri" w:cs="Calibri"/>
                <w:i/>
                <w:iCs/>
                <w:color w:val="000000"/>
                <w:u w:val="single"/>
                <w:lang w:eastAsia="en-GB"/>
              </w:rPr>
            </w:pPr>
          </w:p>
        </w:tc>
      </w:tr>
      <w:tr w:rsidR="006577F4" w:rsidRPr="00646EBF" w14:paraId="44C75983" w14:textId="77777777" w:rsidTr="009B4C33">
        <w:trPr>
          <w:trHeight w:val="900"/>
        </w:trPr>
        <w:tc>
          <w:tcPr>
            <w:tcW w:w="463" w:type="dxa"/>
            <w:shd w:val="clear" w:color="auto" w:fill="D9E2F3" w:themeFill="accent1" w:themeFillTint="33"/>
          </w:tcPr>
          <w:p w14:paraId="63CFB71E" w14:textId="2122504B" w:rsidR="006577F4" w:rsidRPr="00646EBF" w:rsidRDefault="00812355" w:rsidP="000F0BD6">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3</w:t>
            </w:r>
          </w:p>
        </w:tc>
        <w:tc>
          <w:tcPr>
            <w:tcW w:w="0" w:type="auto"/>
            <w:shd w:val="clear" w:color="auto" w:fill="D9E2F3" w:themeFill="accent1" w:themeFillTint="33"/>
          </w:tcPr>
          <w:p w14:paraId="32B0EAAB" w14:textId="001A4AAD" w:rsidR="006577F4" w:rsidRPr="00646EBF" w:rsidRDefault="00812355"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18 Paragraph 6.3</w:t>
            </w:r>
          </w:p>
        </w:tc>
        <w:tc>
          <w:tcPr>
            <w:tcW w:w="1452" w:type="dxa"/>
            <w:shd w:val="clear" w:color="auto" w:fill="D9E2F3" w:themeFill="accent1" w:themeFillTint="33"/>
          </w:tcPr>
          <w:p w14:paraId="482763C2" w14:textId="72BC17B0" w:rsidR="006577F4" w:rsidRPr="00646EBF" w:rsidRDefault="004A2223"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Power flow inputs</w:t>
            </w:r>
          </w:p>
        </w:tc>
        <w:tc>
          <w:tcPr>
            <w:tcW w:w="1375" w:type="dxa"/>
            <w:shd w:val="clear" w:color="auto" w:fill="D9E2F3" w:themeFill="accent1" w:themeFillTint="33"/>
          </w:tcPr>
          <w:p w14:paraId="2A2AE7D0" w14:textId="0F0E0820" w:rsidR="006577F4" w:rsidRPr="00646EBF" w:rsidRDefault="00A429B1"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LRIC inputs</w:t>
            </w:r>
          </w:p>
        </w:tc>
        <w:tc>
          <w:tcPr>
            <w:tcW w:w="2502" w:type="dxa"/>
            <w:shd w:val="clear" w:color="auto" w:fill="D9E2F3" w:themeFill="accent1" w:themeFillTint="33"/>
          </w:tcPr>
          <w:p w14:paraId="4B0BE456" w14:textId="4B0879D1" w:rsidR="006577F4" w:rsidRPr="00646EBF" w:rsidRDefault="00CA65A1"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The model assumes that demand flows are entered as a negative value and that generation flows are entered as a positive </w:t>
            </w:r>
            <w:r w:rsidR="00BD6F0C">
              <w:rPr>
                <w:rFonts w:ascii="Calibri" w:eastAsia="Times New Roman" w:hAnsi="Calibri" w:cs="Calibri"/>
                <w:color w:val="000000"/>
                <w:lang w:eastAsia="en-GB"/>
              </w:rPr>
              <w:t>value.</w:t>
            </w:r>
          </w:p>
        </w:tc>
        <w:tc>
          <w:tcPr>
            <w:tcW w:w="0" w:type="auto"/>
            <w:shd w:val="clear" w:color="auto" w:fill="000000" w:themeFill="text1"/>
            <w:noWrap/>
          </w:tcPr>
          <w:p w14:paraId="2243A5EA" w14:textId="77777777" w:rsidR="006577F4" w:rsidRPr="00646EBF" w:rsidRDefault="006577F4" w:rsidP="000F0BD6">
            <w:pPr>
              <w:spacing w:after="0" w:line="240" w:lineRule="auto"/>
              <w:rPr>
                <w:rFonts w:ascii="Calibri" w:eastAsia="Times New Roman" w:hAnsi="Calibri" w:cs="Calibri"/>
                <w:color w:val="000000"/>
                <w:lang w:eastAsia="en-GB"/>
              </w:rPr>
            </w:pPr>
          </w:p>
        </w:tc>
        <w:tc>
          <w:tcPr>
            <w:tcW w:w="653" w:type="dxa"/>
            <w:shd w:val="clear" w:color="auto" w:fill="D9E2F3" w:themeFill="accent1" w:themeFillTint="33"/>
          </w:tcPr>
          <w:p w14:paraId="1840C05A" w14:textId="05507C08" w:rsidR="006577F4" w:rsidRPr="00646EBF" w:rsidRDefault="00A12FA1"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2</w:t>
            </w:r>
          </w:p>
        </w:tc>
        <w:tc>
          <w:tcPr>
            <w:tcW w:w="1471" w:type="dxa"/>
            <w:shd w:val="clear" w:color="auto" w:fill="D9E2F3" w:themeFill="accent1" w:themeFillTint="33"/>
          </w:tcPr>
          <w:p w14:paraId="071FF4F8" w14:textId="4C45C4D4" w:rsidR="006577F4" w:rsidRPr="00646EBF" w:rsidRDefault="00964B90"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Clarification only</w:t>
            </w:r>
          </w:p>
        </w:tc>
        <w:tc>
          <w:tcPr>
            <w:tcW w:w="2133" w:type="dxa"/>
            <w:shd w:val="clear" w:color="auto" w:fill="D9E2F3" w:themeFill="accent1" w:themeFillTint="33"/>
          </w:tcPr>
          <w:p w14:paraId="70059160" w14:textId="11D4217D" w:rsidR="006577F4" w:rsidRPr="00646EBF" w:rsidRDefault="006633D6"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only) – Housekeeping (minor)</w:t>
            </w:r>
          </w:p>
        </w:tc>
        <w:tc>
          <w:tcPr>
            <w:tcW w:w="2613" w:type="dxa"/>
            <w:shd w:val="clear" w:color="auto" w:fill="D9E2F3" w:themeFill="accent1" w:themeFillTint="33"/>
          </w:tcPr>
          <w:p w14:paraId="20A7146D" w14:textId="53689F89" w:rsidR="006577F4" w:rsidRPr="006E3F33" w:rsidRDefault="006E3F33"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Amend final sentence of para 6.3: ‘If the active power flow is generation-dominated </w:t>
            </w:r>
            <w:r>
              <w:rPr>
                <w:rFonts w:ascii="Calibri" w:eastAsia="Times New Roman" w:hAnsi="Calibri" w:cs="Calibri"/>
                <w:i/>
                <w:iCs/>
                <w:color w:val="000000"/>
                <w:u w:val="single"/>
                <w:lang w:eastAsia="en-GB"/>
              </w:rPr>
              <w:t>(i.e. positive)</w:t>
            </w:r>
            <w:r>
              <w:rPr>
                <w:rFonts w:ascii="Calibri" w:eastAsia="Times New Roman" w:hAnsi="Calibri" w:cs="Calibri"/>
                <w:color w:val="000000"/>
                <w:lang w:eastAsia="en-GB"/>
              </w:rPr>
              <w:t>, then PF is replaced with 1’</w:t>
            </w:r>
          </w:p>
        </w:tc>
      </w:tr>
      <w:tr w:rsidR="00674008" w:rsidRPr="00646EBF" w14:paraId="22272AEC" w14:textId="77777777" w:rsidTr="005B2923">
        <w:trPr>
          <w:trHeight w:val="1500"/>
        </w:trPr>
        <w:tc>
          <w:tcPr>
            <w:tcW w:w="463" w:type="dxa"/>
            <w:shd w:val="clear" w:color="auto" w:fill="D9E2F3" w:themeFill="accent1" w:themeFillTint="33"/>
          </w:tcPr>
          <w:p w14:paraId="2EC1CE1C" w14:textId="0BAF918A" w:rsidR="00674008" w:rsidRPr="00646EBF" w:rsidRDefault="00674008" w:rsidP="000F0BD6">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4</w:t>
            </w:r>
          </w:p>
        </w:tc>
        <w:tc>
          <w:tcPr>
            <w:tcW w:w="0" w:type="auto"/>
            <w:shd w:val="clear" w:color="auto" w:fill="D9E2F3" w:themeFill="accent1" w:themeFillTint="33"/>
          </w:tcPr>
          <w:p w14:paraId="5C0CC1A4" w14:textId="17BB6FDF" w:rsidR="00674008" w:rsidRPr="00646EBF" w:rsidRDefault="00674008"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18 Paragraph 6.3</w:t>
            </w:r>
          </w:p>
        </w:tc>
        <w:tc>
          <w:tcPr>
            <w:tcW w:w="1452" w:type="dxa"/>
            <w:shd w:val="clear" w:color="auto" w:fill="D9E2F3" w:themeFill="accent1" w:themeFillTint="33"/>
          </w:tcPr>
          <w:p w14:paraId="706D96A1" w14:textId="29052353" w:rsidR="00674008" w:rsidRPr="00646EBF" w:rsidRDefault="00674008"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Cluster of linked locations</w:t>
            </w:r>
          </w:p>
        </w:tc>
        <w:tc>
          <w:tcPr>
            <w:tcW w:w="1375" w:type="dxa"/>
            <w:shd w:val="clear" w:color="auto" w:fill="D9E2F3" w:themeFill="accent1" w:themeFillTint="33"/>
          </w:tcPr>
          <w:p w14:paraId="37388777" w14:textId="56B95912" w:rsidR="00674008" w:rsidRPr="00646EBF" w:rsidRDefault="00674008"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Charge 1 (LRIC)</w:t>
            </w:r>
          </w:p>
        </w:tc>
        <w:tc>
          <w:tcPr>
            <w:tcW w:w="2502" w:type="dxa"/>
            <w:shd w:val="clear" w:color="auto" w:fill="D9E2F3" w:themeFill="accent1" w:themeFillTint="33"/>
          </w:tcPr>
          <w:p w14:paraId="0EB1A624" w14:textId="2CED6838" w:rsidR="00674008" w:rsidRPr="00646EBF" w:rsidRDefault="00674008"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a cluster of linked locations may comprise a maximum of eleven points rather than eight (e.g. ten linked locations rather than seven)</w:t>
            </w:r>
          </w:p>
        </w:tc>
        <w:tc>
          <w:tcPr>
            <w:tcW w:w="0" w:type="auto"/>
            <w:shd w:val="clear" w:color="auto" w:fill="000000" w:themeFill="text1"/>
            <w:noWrap/>
          </w:tcPr>
          <w:p w14:paraId="503F789C" w14:textId="77777777" w:rsidR="00674008" w:rsidRPr="00646EBF" w:rsidRDefault="00674008" w:rsidP="000F0BD6">
            <w:pPr>
              <w:spacing w:after="0" w:line="240" w:lineRule="auto"/>
              <w:rPr>
                <w:rFonts w:ascii="Calibri" w:eastAsia="Times New Roman" w:hAnsi="Calibri" w:cs="Calibri"/>
                <w:color w:val="000000"/>
                <w:lang w:eastAsia="en-GB"/>
              </w:rPr>
            </w:pPr>
          </w:p>
        </w:tc>
        <w:tc>
          <w:tcPr>
            <w:tcW w:w="653" w:type="dxa"/>
            <w:shd w:val="clear" w:color="auto" w:fill="D9E2F3" w:themeFill="accent1" w:themeFillTint="33"/>
          </w:tcPr>
          <w:p w14:paraId="2E02E817" w14:textId="5F2BE599" w:rsidR="00674008" w:rsidRPr="00646EBF" w:rsidRDefault="00674008"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2</w:t>
            </w:r>
          </w:p>
        </w:tc>
        <w:tc>
          <w:tcPr>
            <w:tcW w:w="1471" w:type="dxa"/>
            <w:shd w:val="clear" w:color="auto" w:fill="D9E2F3" w:themeFill="accent1" w:themeFillTint="33"/>
          </w:tcPr>
          <w:p w14:paraId="408E9804" w14:textId="2EFB2DFE" w:rsidR="00674008" w:rsidRPr="00646EBF" w:rsidRDefault="00674008"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Change only made to bring number of locations under open governance to enable parties to increase if necessary</w:t>
            </w:r>
          </w:p>
        </w:tc>
        <w:tc>
          <w:tcPr>
            <w:tcW w:w="2133" w:type="dxa"/>
            <w:shd w:val="clear" w:color="auto" w:fill="D9E2F3" w:themeFill="accent1" w:themeFillTint="33"/>
          </w:tcPr>
          <w:p w14:paraId="396AAD3E" w14:textId="0F9632B7" w:rsidR="00674008" w:rsidRPr="00646EBF" w:rsidRDefault="00674008"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only) – Housekeeping (minor)</w:t>
            </w:r>
          </w:p>
        </w:tc>
        <w:tc>
          <w:tcPr>
            <w:tcW w:w="2613" w:type="dxa"/>
            <w:vMerge w:val="restart"/>
            <w:shd w:val="clear" w:color="auto" w:fill="D9E2F3" w:themeFill="accent1" w:themeFillTint="33"/>
          </w:tcPr>
          <w:p w14:paraId="4C84EA8E" w14:textId="758A8A2B" w:rsidR="00674008" w:rsidRPr="006E3F33" w:rsidRDefault="00674008"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Amend para 6.4: </w:t>
            </w:r>
            <w:r>
              <w:rPr>
                <w:rFonts w:ascii="Calibri" w:eastAsia="Times New Roman" w:hAnsi="Calibri" w:cs="Calibri"/>
                <w:i/>
                <w:iCs/>
                <w:color w:val="000000"/>
                <w:u w:val="single"/>
                <w:lang w:eastAsia="en-GB"/>
              </w:rPr>
              <w:t xml:space="preserve">‘A Connectee can be assigned to a cluster of up to 11 linked locations. </w:t>
            </w:r>
            <w:r>
              <w:rPr>
                <w:rFonts w:ascii="Calibri" w:eastAsia="Times New Roman" w:hAnsi="Calibri" w:cs="Calibri"/>
                <w:color w:val="000000"/>
                <w:lang w:eastAsia="en-GB"/>
              </w:rPr>
              <w:t xml:space="preserve">If the Connectee is attached to a cluster of linked locations, the sums of active power flows at each location are used to calculate PF. </w:t>
            </w:r>
            <w:r>
              <w:rPr>
                <w:rFonts w:ascii="Calibri" w:eastAsia="Times New Roman" w:hAnsi="Calibri" w:cs="Calibri"/>
                <w:i/>
                <w:iCs/>
                <w:color w:val="000000"/>
                <w:u w:val="single"/>
                <w:lang w:eastAsia="en-GB"/>
              </w:rPr>
              <w:t xml:space="preserve">If the sum of </w:t>
            </w:r>
            <w:r>
              <w:rPr>
                <w:rFonts w:ascii="Calibri" w:eastAsia="Times New Roman" w:hAnsi="Calibri" w:cs="Calibri"/>
                <w:i/>
                <w:iCs/>
                <w:color w:val="000000"/>
                <w:u w:val="single"/>
                <w:lang w:eastAsia="en-GB"/>
              </w:rPr>
              <w:lastRenderedPageBreak/>
              <w:t>active power flows is generation-dominated (i.e. positive), then PF is replaced with 1.</w:t>
            </w:r>
            <w:r>
              <w:rPr>
                <w:rFonts w:ascii="Calibri" w:eastAsia="Times New Roman" w:hAnsi="Calibri" w:cs="Calibri"/>
                <w:color w:val="000000"/>
                <w:lang w:eastAsia="en-GB"/>
              </w:rPr>
              <w:t>’</w:t>
            </w:r>
          </w:p>
        </w:tc>
      </w:tr>
      <w:tr w:rsidR="00674008" w:rsidRPr="00646EBF" w14:paraId="3AE9BCA6" w14:textId="77777777" w:rsidTr="005B2923">
        <w:trPr>
          <w:trHeight w:val="900"/>
        </w:trPr>
        <w:tc>
          <w:tcPr>
            <w:tcW w:w="463" w:type="dxa"/>
            <w:shd w:val="clear" w:color="auto" w:fill="D9E2F3" w:themeFill="accent1" w:themeFillTint="33"/>
          </w:tcPr>
          <w:p w14:paraId="53A65156" w14:textId="7B4BAFD5" w:rsidR="00674008" w:rsidRPr="00646EBF" w:rsidRDefault="00674008" w:rsidP="000F0BD6">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5</w:t>
            </w:r>
          </w:p>
        </w:tc>
        <w:tc>
          <w:tcPr>
            <w:tcW w:w="0" w:type="auto"/>
            <w:shd w:val="clear" w:color="auto" w:fill="D9E2F3" w:themeFill="accent1" w:themeFillTint="33"/>
          </w:tcPr>
          <w:p w14:paraId="2E8B3386" w14:textId="28630F38" w:rsidR="00674008" w:rsidRPr="00646EBF" w:rsidRDefault="00674008"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18 Paragraph 6.3</w:t>
            </w:r>
          </w:p>
        </w:tc>
        <w:tc>
          <w:tcPr>
            <w:tcW w:w="1452" w:type="dxa"/>
            <w:shd w:val="clear" w:color="auto" w:fill="D9E2F3" w:themeFill="accent1" w:themeFillTint="33"/>
          </w:tcPr>
          <w:p w14:paraId="2D446902" w14:textId="71E2FBC3" w:rsidR="00674008" w:rsidRPr="00646EBF" w:rsidRDefault="00674008"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Demand dominated</w:t>
            </w:r>
          </w:p>
        </w:tc>
        <w:tc>
          <w:tcPr>
            <w:tcW w:w="1375" w:type="dxa"/>
            <w:shd w:val="clear" w:color="auto" w:fill="D9E2F3" w:themeFill="accent1" w:themeFillTint="33"/>
          </w:tcPr>
          <w:p w14:paraId="347D3696" w14:textId="7D858B43" w:rsidR="00674008" w:rsidRPr="00646EBF" w:rsidRDefault="00674008"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Charge 1 (LRIC)</w:t>
            </w:r>
          </w:p>
        </w:tc>
        <w:tc>
          <w:tcPr>
            <w:tcW w:w="2502" w:type="dxa"/>
            <w:shd w:val="clear" w:color="auto" w:fill="D9E2F3" w:themeFill="accent1" w:themeFillTint="33"/>
          </w:tcPr>
          <w:p w14:paraId="42A3EF8F" w14:textId="32F6E136" w:rsidR="00674008" w:rsidRPr="00646EBF" w:rsidRDefault="00674008"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a site is generation dominated if the sum of active power flows across all linked locations is greater than or equal to zero.</w:t>
            </w:r>
          </w:p>
        </w:tc>
        <w:tc>
          <w:tcPr>
            <w:tcW w:w="0" w:type="auto"/>
            <w:shd w:val="clear" w:color="auto" w:fill="000000" w:themeFill="text1"/>
            <w:noWrap/>
          </w:tcPr>
          <w:p w14:paraId="262A1D56" w14:textId="77777777" w:rsidR="00674008" w:rsidRPr="00646EBF" w:rsidRDefault="00674008" w:rsidP="000F0BD6">
            <w:pPr>
              <w:spacing w:after="0" w:line="240" w:lineRule="auto"/>
              <w:rPr>
                <w:rFonts w:ascii="Calibri" w:eastAsia="Times New Roman" w:hAnsi="Calibri" w:cs="Calibri"/>
                <w:color w:val="000000"/>
                <w:lang w:eastAsia="en-GB"/>
              </w:rPr>
            </w:pPr>
          </w:p>
        </w:tc>
        <w:tc>
          <w:tcPr>
            <w:tcW w:w="653" w:type="dxa"/>
            <w:shd w:val="clear" w:color="auto" w:fill="D9E2F3" w:themeFill="accent1" w:themeFillTint="33"/>
          </w:tcPr>
          <w:p w14:paraId="38B444A9" w14:textId="3213FBA5" w:rsidR="00674008" w:rsidRPr="00646EBF" w:rsidRDefault="00674008"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2</w:t>
            </w:r>
          </w:p>
        </w:tc>
        <w:tc>
          <w:tcPr>
            <w:tcW w:w="1471" w:type="dxa"/>
            <w:shd w:val="clear" w:color="auto" w:fill="D9E2F3" w:themeFill="accent1" w:themeFillTint="33"/>
          </w:tcPr>
          <w:p w14:paraId="76BAC7C1" w14:textId="6C4089F0" w:rsidR="00674008" w:rsidRPr="00646EBF" w:rsidRDefault="00674008"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Clarification only</w:t>
            </w:r>
          </w:p>
        </w:tc>
        <w:tc>
          <w:tcPr>
            <w:tcW w:w="2133" w:type="dxa"/>
            <w:shd w:val="clear" w:color="auto" w:fill="D9E2F3" w:themeFill="accent1" w:themeFillTint="33"/>
          </w:tcPr>
          <w:p w14:paraId="768E3870" w14:textId="10245858" w:rsidR="00674008" w:rsidRPr="00646EBF" w:rsidRDefault="00674008"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only) – Housekeeping (minor)</w:t>
            </w:r>
          </w:p>
        </w:tc>
        <w:tc>
          <w:tcPr>
            <w:tcW w:w="2613" w:type="dxa"/>
            <w:vMerge/>
            <w:shd w:val="clear" w:color="auto" w:fill="D9E2F3" w:themeFill="accent1" w:themeFillTint="33"/>
          </w:tcPr>
          <w:p w14:paraId="49180E4F" w14:textId="77777777" w:rsidR="00674008" w:rsidRPr="00646EBF" w:rsidRDefault="00674008" w:rsidP="000F0BD6">
            <w:pPr>
              <w:spacing w:after="0" w:line="240" w:lineRule="auto"/>
              <w:rPr>
                <w:rFonts w:ascii="Calibri" w:eastAsia="Times New Roman" w:hAnsi="Calibri" w:cs="Calibri"/>
                <w:color w:val="000000"/>
                <w:lang w:eastAsia="en-GB"/>
              </w:rPr>
            </w:pPr>
          </w:p>
        </w:tc>
      </w:tr>
      <w:tr w:rsidR="006577F4" w:rsidRPr="00646EBF" w14:paraId="54939F75" w14:textId="77777777" w:rsidTr="005B2923">
        <w:trPr>
          <w:trHeight w:val="1800"/>
        </w:trPr>
        <w:tc>
          <w:tcPr>
            <w:tcW w:w="463" w:type="dxa"/>
            <w:shd w:val="clear" w:color="auto" w:fill="D9E2F3" w:themeFill="accent1" w:themeFillTint="33"/>
          </w:tcPr>
          <w:p w14:paraId="33F6FEE0" w14:textId="21A56C13" w:rsidR="006577F4" w:rsidRPr="00646EBF" w:rsidRDefault="00812355" w:rsidP="000F0BD6">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6</w:t>
            </w:r>
          </w:p>
        </w:tc>
        <w:tc>
          <w:tcPr>
            <w:tcW w:w="0" w:type="auto"/>
            <w:shd w:val="clear" w:color="auto" w:fill="D9E2F3" w:themeFill="accent1" w:themeFillTint="33"/>
          </w:tcPr>
          <w:p w14:paraId="259CB7A9" w14:textId="4065BCF7" w:rsidR="006577F4" w:rsidRPr="00646EBF" w:rsidRDefault="00812355"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18 Paragraph 8.3</w:t>
            </w:r>
          </w:p>
        </w:tc>
        <w:tc>
          <w:tcPr>
            <w:tcW w:w="1452" w:type="dxa"/>
            <w:shd w:val="clear" w:color="auto" w:fill="D9E2F3" w:themeFill="accent1" w:themeFillTint="33"/>
          </w:tcPr>
          <w:p w14:paraId="083E9189" w14:textId="39C8B9B7" w:rsidR="006577F4" w:rsidRPr="00646EBF" w:rsidRDefault="004A2223"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DSM adjustment </w:t>
            </w:r>
          </w:p>
        </w:tc>
        <w:tc>
          <w:tcPr>
            <w:tcW w:w="1375" w:type="dxa"/>
            <w:shd w:val="clear" w:color="auto" w:fill="D9E2F3" w:themeFill="accent1" w:themeFillTint="33"/>
          </w:tcPr>
          <w:p w14:paraId="6361DEA7" w14:textId="7C4C4CFC" w:rsidR="006577F4" w:rsidRPr="00646EBF" w:rsidRDefault="00A429B1"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Charge 1 (LRIC), Import super-red</w:t>
            </w:r>
          </w:p>
        </w:tc>
        <w:tc>
          <w:tcPr>
            <w:tcW w:w="2502" w:type="dxa"/>
            <w:shd w:val="clear" w:color="auto" w:fill="D9E2F3" w:themeFill="accent1" w:themeFillTint="33"/>
          </w:tcPr>
          <w:p w14:paraId="3CA79B1D" w14:textId="05458144" w:rsidR="006577F4" w:rsidRPr="00646EBF" w:rsidRDefault="00D45A36"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The model assumes that the DSM adjustment can be made </w:t>
            </w:r>
            <w:r w:rsidR="0016280D">
              <w:rPr>
                <w:rFonts w:ascii="Calibri" w:eastAsia="Times New Roman" w:hAnsi="Calibri" w:cs="Calibri"/>
                <w:color w:val="000000"/>
                <w:lang w:eastAsia="en-GB"/>
              </w:rPr>
              <w:t>to the charges as calculated in Schedule 18 section 6, rather than to the “raw” LRIC inputs in order to simplify the modelling. This is because the charges are ultimately linearly dependent on the LRIC charge inputs.</w:t>
            </w:r>
          </w:p>
        </w:tc>
        <w:tc>
          <w:tcPr>
            <w:tcW w:w="0" w:type="auto"/>
            <w:shd w:val="clear" w:color="auto" w:fill="000000" w:themeFill="text1"/>
            <w:noWrap/>
          </w:tcPr>
          <w:p w14:paraId="04F67756" w14:textId="77777777" w:rsidR="006577F4" w:rsidRPr="00646EBF" w:rsidRDefault="006577F4" w:rsidP="000F0BD6">
            <w:pPr>
              <w:spacing w:after="0" w:line="240" w:lineRule="auto"/>
              <w:rPr>
                <w:rFonts w:ascii="Calibri" w:eastAsia="Times New Roman" w:hAnsi="Calibri" w:cs="Calibri"/>
                <w:color w:val="000000"/>
                <w:lang w:eastAsia="en-GB"/>
              </w:rPr>
            </w:pPr>
          </w:p>
        </w:tc>
        <w:tc>
          <w:tcPr>
            <w:tcW w:w="653" w:type="dxa"/>
            <w:shd w:val="clear" w:color="auto" w:fill="D9E2F3" w:themeFill="accent1" w:themeFillTint="33"/>
          </w:tcPr>
          <w:p w14:paraId="7E4CE2DF" w14:textId="497AEE6E" w:rsidR="006577F4" w:rsidRPr="00646EBF" w:rsidRDefault="00A12FA1"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1471" w:type="dxa"/>
            <w:shd w:val="clear" w:color="auto" w:fill="D9E2F3" w:themeFill="accent1" w:themeFillTint="33"/>
          </w:tcPr>
          <w:p w14:paraId="66A893E6" w14:textId="68B18259" w:rsidR="006577F4" w:rsidRPr="00646EBF" w:rsidRDefault="00964B90"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 change needed; order of calculation in model and legal text does not align but with no impact on charges and so no need for change</w:t>
            </w:r>
          </w:p>
        </w:tc>
        <w:tc>
          <w:tcPr>
            <w:tcW w:w="2133" w:type="dxa"/>
            <w:shd w:val="clear" w:color="auto" w:fill="D9E2F3" w:themeFill="accent1" w:themeFillTint="33"/>
          </w:tcPr>
          <w:p w14:paraId="6C3EC761" w14:textId="39811BF4" w:rsidR="006577F4" w:rsidRPr="00646EBF" w:rsidRDefault="006633D6"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 action</w:t>
            </w:r>
          </w:p>
        </w:tc>
        <w:tc>
          <w:tcPr>
            <w:tcW w:w="2613" w:type="dxa"/>
            <w:shd w:val="clear" w:color="auto" w:fill="D9E2F3" w:themeFill="accent1" w:themeFillTint="33"/>
          </w:tcPr>
          <w:p w14:paraId="3F73B280" w14:textId="77777777" w:rsidR="006577F4" w:rsidRPr="0069663D" w:rsidRDefault="006577F4" w:rsidP="000F0BD6">
            <w:pPr>
              <w:spacing w:after="0" w:line="240" w:lineRule="auto"/>
              <w:rPr>
                <w:rFonts w:ascii="Calibri" w:eastAsia="Times New Roman" w:hAnsi="Calibri" w:cs="Calibri"/>
                <w:color w:val="000000"/>
                <w:u w:val="single"/>
                <w:lang w:eastAsia="en-GB"/>
              </w:rPr>
            </w:pPr>
          </w:p>
        </w:tc>
      </w:tr>
      <w:tr w:rsidR="006577F4" w:rsidRPr="00646EBF" w14:paraId="344D92F9" w14:textId="77777777" w:rsidTr="005B2923">
        <w:trPr>
          <w:trHeight w:val="1800"/>
        </w:trPr>
        <w:tc>
          <w:tcPr>
            <w:tcW w:w="463" w:type="dxa"/>
            <w:shd w:val="clear" w:color="auto" w:fill="D9E2F3" w:themeFill="accent1" w:themeFillTint="33"/>
          </w:tcPr>
          <w:p w14:paraId="3E5925DE" w14:textId="1A0F3051" w:rsidR="006577F4" w:rsidRPr="00646EBF" w:rsidRDefault="00812355" w:rsidP="000F0BD6">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7</w:t>
            </w:r>
          </w:p>
        </w:tc>
        <w:tc>
          <w:tcPr>
            <w:tcW w:w="0" w:type="auto"/>
            <w:shd w:val="clear" w:color="auto" w:fill="D9E2F3" w:themeFill="accent1" w:themeFillTint="33"/>
          </w:tcPr>
          <w:p w14:paraId="7D0E91BB" w14:textId="75EAA37A" w:rsidR="006577F4" w:rsidRPr="00646EBF" w:rsidRDefault="00812355"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18 Paragraph 8.3</w:t>
            </w:r>
          </w:p>
        </w:tc>
        <w:tc>
          <w:tcPr>
            <w:tcW w:w="1452" w:type="dxa"/>
            <w:shd w:val="clear" w:color="auto" w:fill="D9E2F3" w:themeFill="accent1" w:themeFillTint="33"/>
          </w:tcPr>
          <w:p w14:paraId="32F9BC34" w14:textId="595B5E7E" w:rsidR="006577F4" w:rsidRPr="00646EBF" w:rsidRDefault="004A2223"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Super-red DSM adjustment</w:t>
            </w:r>
          </w:p>
        </w:tc>
        <w:tc>
          <w:tcPr>
            <w:tcW w:w="1375" w:type="dxa"/>
            <w:shd w:val="clear" w:color="auto" w:fill="D9E2F3" w:themeFill="accent1" w:themeFillTint="33"/>
          </w:tcPr>
          <w:p w14:paraId="31B5E7BD" w14:textId="5698747C" w:rsidR="006577F4" w:rsidRPr="00646EBF" w:rsidRDefault="00A429B1"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Import super-red</w:t>
            </w:r>
          </w:p>
        </w:tc>
        <w:tc>
          <w:tcPr>
            <w:tcW w:w="2502" w:type="dxa"/>
            <w:shd w:val="clear" w:color="auto" w:fill="D9E2F3" w:themeFill="accent1" w:themeFillTint="33"/>
          </w:tcPr>
          <w:p w14:paraId="2A881720" w14:textId="57278833" w:rsidR="006577F4" w:rsidRPr="00646EBF" w:rsidRDefault="0016280D"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“the DSM-adjusted remote (or parent and grandparent) element of the LRIC charge 1 is applied to units consumed during the super-red time band” means that the super-red import charge is adjusted for DSM.</w:t>
            </w:r>
          </w:p>
        </w:tc>
        <w:tc>
          <w:tcPr>
            <w:tcW w:w="0" w:type="auto"/>
            <w:shd w:val="clear" w:color="auto" w:fill="000000" w:themeFill="text1"/>
            <w:noWrap/>
          </w:tcPr>
          <w:p w14:paraId="41EBFBD2" w14:textId="77777777" w:rsidR="006577F4" w:rsidRPr="00646EBF" w:rsidRDefault="006577F4" w:rsidP="000F0BD6">
            <w:pPr>
              <w:spacing w:after="0" w:line="240" w:lineRule="auto"/>
              <w:rPr>
                <w:rFonts w:ascii="Calibri" w:eastAsia="Times New Roman" w:hAnsi="Calibri" w:cs="Calibri"/>
                <w:color w:val="000000"/>
                <w:lang w:eastAsia="en-GB"/>
              </w:rPr>
            </w:pPr>
          </w:p>
        </w:tc>
        <w:tc>
          <w:tcPr>
            <w:tcW w:w="653" w:type="dxa"/>
            <w:shd w:val="clear" w:color="auto" w:fill="D9E2F3" w:themeFill="accent1" w:themeFillTint="33"/>
          </w:tcPr>
          <w:p w14:paraId="15286EEC" w14:textId="0C19BFBD" w:rsidR="006577F4" w:rsidRPr="00646EBF" w:rsidRDefault="00A12FA1"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2</w:t>
            </w:r>
          </w:p>
        </w:tc>
        <w:tc>
          <w:tcPr>
            <w:tcW w:w="1471" w:type="dxa"/>
            <w:shd w:val="clear" w:color="auto" w:fill="D9E2F3" w:themeFill="accent1" w:themeFillTint="33"/>
          </w:tcPr>
          <w:p w14:paraId="4B342016" w14:textId="057FBD8A" w:rsidR="006577F4" w:rsidRPr="00646EBF" w:rsidRDefault="00964B90"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Clarification only</w:t>
            </w:r>
          </w:p>
        </w:tc>
        <w:tc>
          <w:tcPr>
            <w:tcW w:w="2133" w:type="dxa"/>
            <w:shd w:val="clear" w:color="auto" w:fill="D9E2F3" w:themeFill="accent1" w:themeFillTint="33"/>
          </w:tcPr>
          <w:p w14:paraId="29BFC95B" w14:textId="329EFD73" w:rsidR="006577F4" w:rsidRPr="00646EBF" w:rsidRDefault="006633D6"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and FCP) – Housekeeping (minor)</w:t>
            </w:r>
          </w:p>
        </w:tc>
        <w:tc>
          <w:tcPr>
            <w:tcW w:w="2613" w:type="dxa"/>
            <w:shd w:val="clear" w:color="auto" w:fill="D9E2F3" w:themeFill="accent1" w:themeFillTint="33"/>
          </w:tcPr>
          <w:p w14:paraId="3D9C67F9" w14:textId="754C2484" w:rsidR="006577F4" w:rsidRPr="00674008" w:rsidRDefault="00674008"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Amend the last sentence of para 8.3: ‘The DSM-adjusted local element of the LRIC charge 1 is applied to the </w:t>
            </w:r>
            <w:r>
              <w:rPr>
                <w:rFonts w:ascii="Calibri" w:eastAsia="Times New Roman" w:hAnsi="Calibri" w:cs="Calibri"/>
                <w:i/>
                <w:iCs/>
                <w:color w:val="000000"/>
                <w:u w:val="single"/>
                <w:lang w:eastAsia="en-GB"/>
              </w:rPr>
              <w:t>[Maximum]</w:t>
            </w:r>
            <w:r>
              <w:rPr>
                <w:rFonts w:ascii="Calibri" w:eastAsia="Times New Roman" w:hAnsi="Calibri" w:cs="Calibri"/>
                <w:color w:val="000000"/>
                <w:lang w:eastAsia="en-GB"/>
              </w:rPr>
              <w:t xml:space="preserve"> Import Capacity </w:t>
            </w:r>
            <w:r>
              <w:rPr>
                <w:rFonts w:ascii="Calibri" w:eastAsia="Times New Roman" w:hAnsi="Calibri" w:cs="Calibri"/>
                <w:i/>
                <w:iCs/>
                <w:color w:val="000000"/>
                <w:u w:val="single"/>
                <w:lang w:eastAsia="en-GB"/>
              </w:rPr>
              <w:t xml:space="preserve">charge, </w:t>
            </w:r>
            <w:r>
              <w:rPr>
                <w:rFonts w:ascii="Calibri" w:eastAsia="Times New Roman" w:hAnsi="Calibri" w:cs="Calibri"/>
                <w:color w:val="000000"/>
                <w:lang w:eastAsia="en-GB"/>
              </w:rPr>
              <w:t>and the DSM-adjusted remo</w:t>
            </w:r>
            <w:r w:rsidR="005B2923">
              <w:rPr>
                <w:rFonts w:ascii="Calibri" w:eastAsia="Times New Roman" w:hAnsi="Calibri" w:cs="Calibri"/>
                <w:color w:val="000000"/>
                <w:lang w:eastAsia="en-GB"/>
              </w:rPr>
              <w:t>t</w:t>
            </w:r>
            <w:r>
              <w:rPr>
                <w:rFonts w:ascii="Calibri" w:eastAsia="Times New Roman" w:hAnsi="Calibri" w:cs="Calibri"/>
                <w:color w:val="000000"/>
                <w:lang w:eastAsia="en-GB"/>
              </w:rPr>
              <w:t xml:space="preserve">e </w:t>
            </w:r>
            <w:r>
              <w:rPr>
                <w:rFonts w:ascii="Calibri" w:eastAsia="Times New Roman" w:hAnsi="Calibri" w:cs="Calibri"/>
                <w:i/>
                <w:iCs/>
                <w:color w:val="000000"/>
                <w:u w:val="single"/>
                <w:lang w:eastAsia="en-GB"/>
              </w:rPr>
              <w:t>[(or parent and grandparent)]</w:t>
            </w:r>
            <w:r>
              <w:rPr>
                <w:rFonts w:ascii="Calibri" w:eastAsia="Times New Roman" w:hAnsi="Calibri" w:cs="Calibri"/>
                <w:color w:val="000000"/>
                <w:lang w:eastAsia="en-GB"/>
              </w:rPr>
              <w:t xml:space="preserve"> element of the LRIC charge 1 is applied to </w:t>
            </w:r>
            <w:r>
              <w:rPr>
                <w:rFonts w:ascii="Calibri" w:eastAsia="Times New Roman" w:hAnsi="Calibri" w:cs="Calibri"/>
                <w:i/>
                <w:iCs/>
                <w:color w:val="000000"/>
                <w:u w:val="single"/>
                <w:lang w:eastAsia="en-GB"/>
              </w:rPr>
              <w:t>[units consumed during]</w:t>
            </w:r>
            <w:r>
              <w:rPr>
                <w:rFonts w:ascii="Calibri" w:eastAsia="Times New Roman" w:hAnsi="Calibri" w:cs="Calibri"/>
                <w:color w:val="000000"/>
                <w:lang w:eastAsia="en-GB"/>
              </w:rPr>
              <w:t xml:space="preserve"> the super-red </w:t>
            </w:r>
            <w:r>
              <w:rPr>
                <w:rFonts w:ascii="Calibri" w:eastAsia="Times New Roman" w:hAnsi="Calibri" w:cs="Calibri"/>
                <w:i/>
                <w:iCs/>
                <w:color w:val="000000"/>
                <w:u w:val="single"/>
                <w:lang w:eastAsia="en-GB"/>
              </w:rPr>
              <w:t>unit rate [time band]</w:t>
            </w:r>
            <w:r>
              <w:rPr>
                <w:rFonts w:ascii="Calibri" w:eastAsia="Times New Roman" w:hAnsi="Calibri" w:cs="Calibri"/>
                <w:color w:val="000000"/>
                <w:lang w:eastAsia="en-GB"/>
              </w:rPr>
              <w:t>.’</w:t>
            </w:r>
          </w:p>
        </w:tc>
      </w:tr>
      <w:tr w:rsidR="00674008" w:rsidRPr="00646EBF" w14:paraId="4F77925F" w14:textId="77777777" w:rsidTr="005B2923">
        <w:trPr>
          <w:trHeight w:val="3000"/>
        </w:trPr>
        <w:tc>
          <w:tcPr>
            <w:tcW w:w="463" w:type="dxa"/>
            <w:shd w:val="clear" w:color="auto" w:fill="FFF2CC" w:themeFill="accent4" w:themeFillTint="33"/>
          </w:tcPr>
          <w:p w14:paraId="1F0C3A4B" w14:textId="458E6347" w:rsidR="00674008" w:rsidRPr="00646EBF" w:rsidRDefault="00674008" w:rsidP="000F0BD6">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8</w:t>
            </w:r>
          </w:p>
        </w:tc>
        <w:tc>
          <w:tcPr>
            <w:tcW w:w="0" w:type="auto"/>
            <w:shd w:val="clear" w:color="auto" w:fill="FFF2CC" w:themeFill="accent4" w:themeFillTint="33"/>
          </w:tcPr>
          <w:p w14:paraId="33250EF0" w14:textId="29030AC1" w:rsidR="00674008" w:rsidRPr="00646EBF" w:rsidRDefault="00674008"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18 paragraph 9.2</w:t>
            </w:r>
          </w:p>
        </w:tc>
        <w:tc>
          <w:tcPr>
            <w:tcW w:w="1452" w:type="dxa"/>
            <w:shd w:val="clear" w:color="auto" w:fill="FFF2CC" w:themeFill="accent4" w:themeFillTint="33"/>
          </w:tcPr>
          <w:p w14:paraId="2FBACFCD" w14:textId="61625DC6" w:rsidR="00674008" w:rsidRPr="00646EBF" w:rsidRDefault="00674008"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Part-year adjustment </w:t>
            </w:r>
          </w:p>
        </w:tc>
        <w:tc>
          <w:tcPr>
            <w:tcW w:w="1375" w:type="dxa"/>
            <w:shd w:val="clear" w:color="auto" w:fill="FFF2CC" w:themeFill="accent4" w:themeFillTint="33"/>
          </w:tcPr>
          <w:p w14:paraId="2CC2B14F" w14:textId="2F5A279D" w:rsidR="00674008" w:rsidRPr="00646EBF" w:rsidRDefault="00674008"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Capacities, Transmission</w:t>
            </w:r>
          </w:p>
        </w:tc>
        <w:tc>
          <w:tcPr>
            <w:tcW w:w="2502" w:type="dxa"/>
            <w:shd w:val="clear" w:color="auto" w:fill="FFF2CC" w:themeFill="accent4" w:themeFillTint="33"/>
          </w:tcPr>
          <w:p w14:paraId="4418E244" w14:textId="466C4A47" w:rsidR="00674008" w:rsidRPr="00646EBF" w:rsidRDefault="00674008"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the adjustment for part-year referenced in this paragraph will apply to both the kW/kVA parameter and maximum import capacity.</w:t>
            </w:r>
          </w:p>
        </w:tc>
        <w:tc>
          <w:tcPr>
            <w:tcW w:w="0" w:type="auto"/>
            <w:shd w:val="clear" w:color="auto" w:fill="000000" w:themeFill="text1"/>
            <w:noWrap/>
          </w:tcPr>
          <w:p w14:paraId="09AD17E2" w14:textId="77777777" w:rsidR="00674008" w:rsidRPr="00646EBF" w:rsidRDefault="00674008" w:rsidP="000F0BD6">
            <w:pPr>
              <w:spacing w:after="0" w:line="240" w:lineRule="auto"/>
              <w:rPr>
                <w:rFonts w:ascii="Calibri" w:eastAsia="Times New Roman" w:hAnsi="Calibri" w:cs="Calibri"/>
                <w:color w:val="000000"/>
                <w:lang w:eastAsia="en-GB"/>
              </w:rPr>
            </w:pPr>
          </w:p>
        </w:tc>
        <w:tc>
          <w:tcPr>
            <w:tcW w:w="653" w:type="dxa"/>
            <w:shd w:val="clear" w:color="auto" w:fill="D9E2F3" w:themeFill="accent1" w:themeFillTint="33"/>
          </w:tcPr>
          <w:p w14:paraId="5079F006" w14:textId="52DD7DF7" w:rsidR="00674008" w:rsidRPr="00646EBF" w:rsidRDefault="00674008"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2</w:t>
            </w:r>
          </w:p>
        </w:tc>
        <w:tc>
          <w:tcPr>
            <w:tcW w:w="1471" w:type="dxa"/>
            <w:shd w:val="clear" w:color="auto" w:fill="D9E2F3" w:themeFill="accent1" w:themeFillTint="33"/>
          </w:tcPr>
          <w:p w14:paraId="70F9F57C" w14:textId="0A1CEB83" w:rsidR="00674008" w:rsidRPr="00646EBF" w:rsidRDefault="00674008"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Clarification only</w:t>
            </w:r>
          </w:p>
        </w:tc>
        <w:tc>
          <w:tcPr>
            <w:tcW w:w="2133" w:type="dxa"/>
            <w:shd w:val="clear" w:color="auto" w:fill="D9E2F3" w:themeFill="accent1" w:themeFillTint="33"/>
          </w:tcPr>
          <w:p w14:paraId="404B980C" w14:textId="2723685B" w:rsidR="00674008" w:rsidRPr="00646EBF" w:rsidRDefault="00674008"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and FCP) – Housekeeping (minor)</w:t>
            </w:r>
          </w:p>
        </w:tc>
        <w:tc>
          <w:tcPr>
            <w:tcW w:w="2613" w:type="dxa"/>
            <w:vMerge w:val="restart"/>
            <w:shd w:val="clear" w:color="auto" w:fill="D9E2F3" w:themeFill="accent1" w:themeFillTint="33"/>
          </w:tcPr>
          <w:p w14:paraId="241898A4" w14:textId="77777777" w:rsidR="00674008" w:rsidRDefault="00674008"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Amend definitions after para 9.2:</w:t>
            </w:r>
          </w:p>
          <w:p w14:paraId="71D19C41" w14:textId="77777777" w:rsidR="00674008" w:rsidRDefault="00674008"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‘Total EDCM peak time consumption (in kW) calculated by multiplying:</w:t>
            </w:r>
          </w:p>
          <w:p w14:paraId="0A7E38AD" w14:textId="594A7A6A" w:rsidR="00674008" w:rsidRDefault="00674008" w:rsidP="000F0BD6">
            <w:pPr>
              <w:spacing w:after="0" w:line="240" w:lineRule="auto"/>
              <w:rPr>
                <w:rFonts w:ascii="Calibri" w:eastAsia="Times New Roman" w:hAnsi="Calibri" w:cs="Calibri"/>
                <w:color w:val="000000"/>
                <w:lang w:eastAsia="en-GB"/>
              </w:rPr>
            </w:pPr>
            <w:r>
              <w:rPr>
                <w:rFonts w:ascii="Calibri" w:eastAsia="Times New Roman" w:hAnsi="Calibri" w:cs="Calibri"/>
                <w:i/>
                <w:iCs/>
                <w:color w:val="000000"/>
                <w:u w:val="single"/>
                <w:lang w:eastAsia="en-GB"/>
              </w:rPr>
              <w:t>(i)</w:t>
            </w:r>
            <w:r>
              <w:rPr>
                <w:rFonts w:ascii="Calibri" w:eastAsia="Times New Roman" w:hAnsi="Calibri" w:cs="Calibri"/>
                <w:color w:val="000000"/>
                <w:lang w:eastAsia="en-GB"/>
              </w:rPr>
              <w:t xml:space="preserve"> the Maximum Import Capacity of each Connectee </w:t>
            </w:r>
            <w:r>
              <w:rPr>
                <w:rFonts w:ascii="Calibri" w:eastAsia="Times New Roman" w:hAnsi="Calibri" w:cs="Calibri"/>
                <w:i/>
                <w:iCs/>
                <w:color w:val="000000"/>
                <w:u w:val="single"/>
                <w:lang w:eastAsia="en-GB"/>
              </w:rPr>
              <w:t>(if necessary adjusted for Connectees connected for part of the Charging Year by multiplying by the proportion of the year for which the Connectee is expected to be connected)</w:t>
            </w:r>
            <w:r>
              <w:rPr>
                <w:rFonts w:ascii="Calibri" w:eastAsia="Times New Roman" w:hAnsi="Calibri" w:cs="Calibri"/>
                <w:color w:val="000000"/>
                <w:lang w:eastAsia="en-GB"/>
              </w:rPr>
              <w:t xml:space="preserve">; by </w:t>
            </w:r>
          </w:p>
          <w:p w14:paraId="19471BFD" w14:textId="7B3CA8A9" w:rsidR="00C90779" w:rsidRPr="007E61C4" w:rsidRDefault="007E61C4"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(ii) the forecast peak-time kW divided by forecast maximum kVA of that Connectee (adjusted for losses to transmission and, if necessary, for </w:t>
            </w:r>
            <w:r>
              <w:rPr>
                <w:rFonts w:ascii="Calibri" w:eastAsia="Times New Roman" w:hAnsi="Calibri" w:cs="Calibri"/>
                <w:color w:val="000000"/>
                <w:lang w:eastAsia="en-GB"/>
              </w:rPr>
              <w:lastRenderedPageBreak/>
              <w:t xml:space="preserve">Connectees connected for part of the Charging Year </w:t>
            </w:r>
            <w:r>
              <w:rPr>
                <w:rFonts w:ascii="Calibri" w:eastAsia="Times New Roman" w:hAnsi="Calibri" w:cs="Calibri"/>
                <w:i/>
                <w:iCs/>
                <w:color w:val="000000"/>
                <w:u w:val="single"/>
                <w:lang w:eastAsia="en-GB"/>
              </w:rPr>
              <w:t>by multiplying by the proportion of the super-red period for which the Connectee is expected to be connected)</w:t>
            </w:r>
            <w:r>
              <w:rPr>
                <w:rFonts w:ascii="Calibri" w:eastAsia="Times New Roman" w:hAnsi="Calibri" w:cs="Calibri"/>
                <w:color w:val="000000"/>
                <w:lang w:eastAsia="en-GB"/>
              </w:rPr>
              <w:t xml:space="preserve"> and aggregating across all EDCM Customer demand’</w:t>
            </w:r>
          </w:p>
          <w:p w14:paraId="2F14E3E5" w14:textId="0AAF8497" w:rsidR="00674008" w:rsidRPr="00674008" w:rsidRDefault="00674008" w:rsidP="000F0BD6">
            <w:pPr>
              <w:spacing w:after="0" w:line="240" w:lineRule="auto"/>
              <w:rPr>
                <w:rFonts w:ascii="Calibri" w:eastAsia="Times New Roman" w:hAnsi="Calibri" w:cs="Calibri"/>
                <w:color w:val="000000"/>
                <w:lang w:eastAsia="en-GB"/>
              </w:rPr>
            </w:pPr>
          </w:p>
        </w:tc>
      </w:tr>
      <w:tr w:rsidR="00674008" w:rsidRPr="00646EBF" w14:paraId="6B57B332" w14:textId="77777777" w:rsidTr="005B2923">
        <w:trPr>
          <w:trHeight w:val="3000"/>
        </w:trPr>
        <w:tc>
          <w:tcPr>
            <w:tcW w:w="463" w:type="dxa"/>
            <w:shd w:val="clear" w:color="auto" w:fill="FFF2CC" w:themeFill="accent4" w:themeFillTint="33"/>
          </w:tcPr>
          <w:p w14:paraId="3937199C" w14:textId="0679D97F" w:rsidR="00674008" w:rsidRPr="00646EBF" w:rsidRDefault="00674008" w:rsidP="000F0BD6">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9</w:t>
            </w:r>
          </w:p>
        </w:tc>
        <w:tc>
          <w:tcPr>
            <w:tcW w:w="0" w:type="auto"/>
            <w:shd w:val="clear" w:color="auto" w:fill="FFF2CC" w:themeFill="accent4" w:themeFillTint="33"/>
          </w:tcPr>
          <w:p w14:paraId="11DE3A02" w14:textId="14B1DC6F" w:rsidR="00674008" w:rsidRPr="00646EBF" w:rsidRDefault="00674008"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18 paragraph 9.2</w:t>
            </w:r>
          </w:p>
        </w:tc>
        <w:tc>
          <w:tcPr>
            <w:tcW w:w="1452" w:type="dxa"/>
            <w:shd w:val="clear" w:color="auto" w:fill="FFF2CC" w:themeFill="accent4" w:themeFillTint="33"/>
          </w:tcPr>
          <w:p w14:paraId="15642B62" w14:textId="4166F0A0" w:rsidR="00674008" w:rsidRPr="00646EBF" w:rsidRDefault="00674008"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kW/kVA part-year adjustment</w:t>
            </w:r>
          </w:p>
        </w:tc>
        <w:tc>
          <w:tcPr>
            <w:tcW w:w="1375" w:type="dxa"/>
            <w:shd w:val="clear" w:color="auto" w:fill="FFF2CC" w:themeFill="accent4" w:themeFillTint="33"/>
          </w:tcPr>
          <w:p w14:paraId="3EE0FB1C" w14:textId="74D05EF6" w:rsidR="00674008" w:rsidRPr="00646EBF" w:rsidRDefault="00674008"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EDCM LRIC; Capacities </w:t>
            </w:r>
          </w:p>
        </w:tc>
        <w:tc>
          <w:tcPr>
            <w:tcW w:w="2502" w:type="dxa"/>
            <w:shd w:val="clear" w:color="auto" w:fill="FFF2CC" w:themeFill="accent4" w:themeFillTint="33"/>
          </w:tcPr>
          <w:p w14:paraId="580E36F7" w14:textId="0EB5323A" w:rsidR="00674008" w:rsidRPr="00646EBF" w:rsidRDefault="00674008"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For a part-year adjustment to super-red kW/kVA, the model assumes that this is calculated by multiplying by the proportion of super-red hours as a customer and dividing by the proportion of the year as a customer.</w:t>
            </w:r>
          </w:p>
        </w:tc>
        <w:tc>
          <w:tcPr>
            <w:tcW w:w="0" w:type="auto"/>
            <w:shd w:val="clear" w:color="auto" w:fill="000000" w:themeFill="text1"/>
            <w:noWrap/>
          </w:tcPr>
          <w:p w14:paraId="345F7ABF" w14:textId="77777777" w:rsidR="00674008" w:rsidRPr="00646EBF" w:rsidRDefault="00674008" w:rsidP="000F0BD6">
            <w:pPr>
              <w:spacing w:after="0" w:line="240" w:lineRule="auto"/>
              <w:rPr>
                <w:rFonts w:ascii="Calibri" w:eastAsia="Times New Roman" w:hAnsi="Calibri" w:cs="Calibri"/>
                <w:color w:val="000000"/>
                <w:lang w:eastAsia="en-GB"/>
              </w:rPr>
            </w:pPr>
          </w:p>
        </w:tc>
        <w:tc>
          <w:tcPr>
            <w:tcW w:w="653" w:type="dxa"/>
            <w:shd w:val="clear" w:color="auto" w:fill="D9E2F3" w:themeFill="accent1" w:themeFillTint="33"/>
          </w:tcPr>
          <w:p w14:paraId="4DF4C322" w14:textId="16365170" w:rsidR="00674008" w:rsidRPr="00646EBF" w:rsidRDefault="00674008"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2</w:t>
            </w:r>
          </w:p>
        </w:tc>
        <w:tc>
          <w:tcPr>
            <w:tcW w:w="1471" w:type="dxa"/>
            <w:shd w:val="clear" w:color="auto" w:fill="D9E2F3" w:themeFill="accent1" w:themeFillTint="33"/>
          </w:tcPr>
          <w:p w14:paraId="41EECFB6" w14:textId="18FE241C" w:rsidR="00674008" w:rsidRPr="00646EBF" w:rsidRDefault="00674008"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Clarification only</w:t>
            </w:r>
          </w:p>
        </w:tc>
        <w:tc>
          <w:tcPr>
            <w:tcW w:w="2133" w:type="dxa"/>
            <w:shd w:val="clear" w:color="auto" w:fill="D9E2F3" w:themeFill="accent1" w:themeFillTint="33"/>
          </w:tcPr>
          <w:p w14:paraId="01A3433A" w14:textId="2A274D6A" w:rsidR="00674008" w:rsidRPr="00646EBF" w:rsidRDefault="00674008"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and FCP) – Housekeeping (minor)</w:t>
            </w:r>
          </w:p>
        </w:tc>
        <w:tc>
          <w:tcPr>
            <w:tcW w:w="2613" w:type="dxa"/>
            <w:vMerge/>
            <w:shd w:val="clear" w:color="auto" w:fill="D9E2F3" w:themeFill="accent1" w:themeFillTint="33"/>
          </w:tcPr>
          <w:p w14:paraId="6F56ADD5" w14:textId="77777777" w:rsidR="00674008" w:rsidRPr="00674008" w:rsidRDefault="00674008" w:rsidP="00674008">
            <w:pPr>
              <w:spacing w:after="0" w:line="240" w:lineRule="auto"/>
              <w:rPr>
                <w:rFonts w:ascii="Calibri" w:eastAsia="Times New Roman" w:hAnsi="Calibri" w:cs="Calibri"/>
                <w:i/>
                <w:iCs/>
                <w:color w:val="000000" w:themeColor="text1"/>
                <w:u w:val="single"/>
                <w:lang w:eastAsia="en-GB"/>
              </w:rPr>
            </w:pPr>
          </w:p>
        </w:tc>
      </w:tr>
      <w:tr w:rsidR="00674008" w:rsidRPr="00646EBF" w14:paraId="4F38FAB5" w14:textId="77777777" w:rsidTr="005B2923">
        <w:trPr>
          <w:trHeight w:val="3300"/>
        </w:trPr>
        <w:tc>
          <w:tcPr>
            <w:tcW w:w="463" w:type="dxa"/>
            <w:shd w:val="clear" w:color="auto" w:fill="D9E2F3" w:themeFill="accent1" w:themeFillTint="33"/>
          </w:tcPr>
          <w:p w14:paraId="1E82836C" w14:textId="1DB2442F" w:rsidR="00674008" w:rsidRPr="00646EBF" w:rsidRDefault="00674008" w:rsidP="000F0BD6">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10</w:t>
            </w:r>
          </w:p>
        </w:tc>
        <w:tc>
          <w:tcPr>
            <w:tcW w:w="0" w:type="auto"/>
            <w:shd w:val="clear" w:color="auto" w:fill="D9E2F3" w:themeFill="accent1" w:themeFillTint="33"/>
          </w:tcPr>
          <w:p w14:paraId="0FF87C43" w14:textId="06625C41" w:rsidR="00674008" w:rsidRPr="00646EBF" w:rsidRDefault="00674008"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18 paragraph 9.2</w:t>
            </w:r>
          </w:p>
        </w:tc>
        <w:tc>
          <w:tcPr>
            <w:tcW w:w="1452" w:type="dxa"/>
            <w:shd w:val="clear" w:color="auto" w:fill="D9E2F3" w:themeFill="accent1" w:themeFillTint="33"/>
          </w:tcPr>
          <w:p w14:paraId="4AC3C864" w14:textId="1D70A60D" w:rsidR="00674008" w:rsidRPr="00646EBF" w:rsidRDefault="00674008"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Losses to transmission adjustment</w:t>
            </w:r>
          </w:p>
        </w:tc>
        <w:tc>
          <w:tcPr>
            <w:tcW w:w="1375" w:type="dxa"/>
            <w:shd w:val="clear" w:color="auto" w:fill="D9E2F3" w:themeFill="accent1" w:themeFillTint="33"/>
          </w:tcPr>
          <w:p w14:paraId="53EB8B0E" w14:textId="10CF1011" w:rsidR="00674008" w:rsidRPr="00646EBF" w:rsidRDefault="00674008"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Transmission</w:t>
            </w:r>
          </w:p>
        </w:tc>
        <w:tc>
          <w:tcPr>
            <w:tcW w:w="2502" w:type="dxa"/>
            <w:shd w:val="clear" w:color="auto" w:fill="D9E2F3" w:themeFill="accent1" w:themeFillTint="33"/>
          </w:tcPr>
          <w:p w14:paraId="0E42730D" w14:textId="32B5E20A" w:rsidR="00674008" w:rsidRPr="00646EBF" w:rsidRDefault="00674008"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the losses to transmission adjustment only applies to the kW/kVA parameter.</w:t>
            </w:r>
          </w:p>
        </w:tc>
        <w:tc>
          <w:tcPr>
            <w:tcW w:w="0" w:type="auto"/>
            <w:shd w:val="clear" w:color="auto" w:fill="000000" w:themeFill="text1"/>
            <w:noWrap/>
          </w:tcPr>
          <w:p w14:paraId="264480D5" w14:textId="77777777" w:rsidR="00674008" w:rsidRPr="00646EBF" w:rsidRDefault="00674008" w:rsidP="000F0BD6">
            <w:pPr>
              <w:spacing w:after="0" w:line="240" w:lineRule="auto"/>
              <w:rPr>
                <w:rFonts w:ascii="Calibri" w:eastAsia="Times New Roman" w:hAnsi="Calibri" w:cs="Calibri"/>
                <w:color w:val="000000"/>
                <w:lang w:eastAsia="en-GB"/>
              </w:rPr>
            </w:pPr>
          </w:p>
        </w:tc>
        <w:tc>
          <w:tcPr>
            <w:tcW w:w="653" w:type="dxa"/>
            <w:shd w:val="clear" w:color="auto" w:fill="D9E2F3" w:themeFill="accent1" w:themeFillTint="33"/>
          </w:tcPr>
          <w:p w14:paraId="2D0F2D51" w14:textId="3CDEEDF6" w:rsidR="00674008" w:rsidRPr="00646EBF" w:rsidRDefault="00674008"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2</w:t>
            </w:r>
          </w:p>
        </w:tc>
        <w:tc>
          <w:tcPr>
            <w:tcW w:w="1471" w:type="dxa"/>
            <w:shd w:val="clear" w:color="auto" w:fill="D9E2F3" w:themeFill="accent1" w:themeFillTint="33"/>
          </w:tcPr>
          <w:p w14:paraId="3A4A5045" w14:textId="31AB4C66" w:rsidR="00674008" w:rsidRPr="00646EBF" w:rsidRDefault="00674008"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Clarification only</w:t>
            </w:r>
          </w:p>
        </w:tc>
        <w:tc>
          <w:tcPr>
            <w:tcW w:w="2133" w:type="dxa"/>
            <w:shd w:val="clear" w:color="auto" w:fill="D9E2F3" w:themeFill="accent1" w:themeFillTint="33"/>
          </w:tcPr>
          <w:p w14:paraId="4FF64AB8" w14:textId="65CFF944" w:rsidR="00674008" w:rsidRPr="00646EBF" w:rsidRDefault="00674008"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and FCP) – Housekeeping (minor)</w:t>
            </w:r>
          </w:p>
        </w:tc>
        <w:tc>
          <w:tcPr>
            <w:tcW w:w="2613" w:type="dxa"/>
            <w:vMerge/>
            <w:shd w:val="clear" w:color="auto" w:fill="D9E2F3" w:themeFill="accent1" w:themeFillTint="33"/>
          </w:tcPr>
          <w:p w14:paraId="369D6503" w14:textId="77777777" w:rsidR="00674008" w:rsidRPr="00646EBF" w:rsidRDefault="00674008" w:rsidP="000F0BD6">
            <w:pPr>
              <w:spacing w:after="0" w:line="240" w:lineRule="auto"/>
              <w:rPr>
                <w:rFonts w:ascii="Calibri" w:eastAsia="Times New Roman" w:hAnsi="Calibri" w:cs="Calibri"/>
                <w:color w:val="000000"/>
                <w:lang w:eastAsia="en-GB"/>
              </w:rPr>
            </w:pPr>
          </w:p>
        </w:tc>
      </w:tr>
      <w:tr w:rsidR="006577F4" w:rsidRPr="00646EBF" w14:paraId="753796D7" w14:textId="77777777" w:rsidTr="005B2923">
        <w:trPr>
          <w:trHeight w:val="1800"/>
        </w:trPr>
        <w:tc>
          <w:tcPr>
            <w:tcW w:w="463" w:type="dxa"/>
            <w:shd w:val="clear" w:color="auto" w:fill="D9E2F3" w:themeFill="accent1" w:themeFillTint="33"/>
          </w:tcPr>
          <w:p w14:paraId="57F6CAB1" w14:textId="09FDADC4" w:rsidR="006577F4" w:rsidRPr="00646EBF" w:rsidRDefault="00812355" w:rsidP="000F0BD6">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11</w:t>
            </w:r>
          </w:p>
        </w:tc>
        <w:tc>
          <w:tcPr>
            <w:tcW w:w="0" w:type="auto"/>
            <w:shd w:val="clear" w:color="auto" w:fill="D9E2F3" w:themeFill="accent1" w:themeFillTint="33"/>
          </w:tcPr>
          <w:p w14:paraId="31CAD972" w14:textId="119BDCAC" w:rsidR="006577F4" w:rsidRPr="00646EBF" w:rsidRDefault="00812355"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w:t>
            </w:r>
            <w:r w:rsidR="004A2223">
              <w:rPr>
                <w:rFonts w:ascii="Calibri" w:eastAsia="Times New Roman" w:hAnsi="Calibri" w:cs="Calibri"/>
                <w:color w:val="000000"/>
                <w:lang w:eastAsia="en-GB"/>
              </w:rPr>
              <w:t>8</w:t>
            </w:r>
            <w:r>
              <w:rPr>
                <w:rFonts w:ascii="Calibri" w:eastAsia="Times New Roman" w:hAnsi="Calibri" w:cs="Calibri"/>
                <w:color w:val="000000"/>
                <w:lang w:eastAsia="en-GB"/>
              </w:rPr>
              <w:t xml:space="preserve"> paragraph 10.3</w:t>
            </w:r>
          </w:p>
        </w:tc>
        <w:tc>
          <w:tcPr>
            <w:tcW w:w="1452" w:type="dxa"/>
            <w:shd w:val="clear" w:color="auto" w:fill="D9E2F3" w:themeFill="accent1" w:themeFillTint="33"/>
          </w:tcPr>
          <w:p w14:paraId="4E04A887" w14:textId="5976788E" w:rsidR="006577F4" w:rsidRPr="00646EBF" w:rsidRDefault="004A2223"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Part-year adjustment</w:t>
            </w:r>
          </w:p>
        </w:tc>
        <w:tc>
          <w:tcPr>
            <w:tcW w:w="1375" w:type="dxa"/>
            <w:shd w:val="clear" w:color="auto" w:fill="D9E2F3" w:themeFill="accent1" w:themeFillTint="33"/>
          </w:tcPr>
          <w:p w14:paraId="23C23323" w14:textId="6EDC02DC" w:rsidR="006577F4" w:rsidRPr="00646EBF" w:rsidRDefault="00A429B1"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Capacities</w:t>
            </w:r>
          </w:p>
        </w:tc>
        <w:tc>
          <w:tcPr>
            <w:tcW w:w="2502" w:type="dxa"/>
            <w:shd w:val="clear" w:color="auto" w:fill="D9E2F3" w:themeFill="accent1" w:themeFillTint="33"/>
          </w:tcPr>
          <w:p w14:paraId="6C30955C" w14:textId="638CEE90" w:rsidR="006577F4" w:rsidRPr="00646EBF" w:rsidRDefault="0016280D"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both chargeable capacity and the capacity eligible for GSP credits should be adjusted for part-year connected customers.</w:t>
            </w:r>
          </w:p>
        </w:tc>
        <w:tc>
          <w:tcPr>
            <w:tcW w:w="0" w:type="auto"/>
            <w:shd w:val="clear" w:color="auto" w:fill="000000" w:themeFill="text1"/>
            <w:noWrap/>
          </w:tcPr>
          <w:p w14:paraId="1EDEEDD9" w14:textId="77777777" w:rsidR="006577F4" w:rsidRPr="00646EBF" w:rsidRDefault="006577F4" w:rsidP="000F0BD6">
            <w:pPr>
              <w:spacing w:after="0" w:line="240" w:lineRule="auto"/>
              <w:rPr>
                <w:rFonts w:ascii="Calibri" w:eastAsia="Times New Roman" w:hAnsi="Calibri" w:cs="Calibri"/>
                <w:color w:val="000000"/>
                <w:lang w:eastAsia="en-GB"/>
              </w:rPr>
            </w:pPr>
          </w:p>
        </w:tc>
        <w:tc>
          <w:tcPr>
            <w:tcW w:w="653" w:type="dxa"/>
            <w:shd w:val="clear" w:color="auto" w:fill="D9E2F3" w:themeFill="accent1" w:themeFillTint="33"/>
          </w:tcPr>
          <w:p w14:paraId="69576862" w14:textId="2562A666" w:rsidR="006577F4" w:rsidRDefault="00A12FA1" w:rsidP="000F0BD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1</w:t>
            </w:r>
          </w:p>
        </w:tc>
        <w:tc>
          <w:tcPr>
            <w:tcW w:w="1471" w:type="dxa"/>
            <w:shd w:val="clear" w:color="auto" w:fill="D9E2F3" w:themeFill="accent1" w:themeFillTint="33"/>
          </w:tcPr>
          <w:p w14:paraId="594C6D8A" w14:textId="1B79B0B3" w:rsidR="006577F4" w:rsidRDefault="00964B90" w:rsidP="000F0BD6">
            <w:pPr>
              <w:rPr>
                <w:rFonts w:ascii="Calibri" w:eastAsia="Times New Roman" w:hAnsi="Calibri" w:cs="Calibri"/>
                <w:color w:val="000000"/>
                <w:lang w:eastAsia="en-GB"/>
              </w:rPr>
            </w:pPr>
            <w:r>
              <w:rPr>
                <w:rFonts w:ascii="Calibri" w:eastAsia="Times New Roman" w:hAnsi="Calibri" w:cs="Calibri"/>
                <w:color w:val="000000"/>
                <w:lang w:eastAsia="en-GB"/>
              </w:rPr>
              <w:t xml:space="preserve">The model has historically been inconsistent with the legal text. So arguably part two in that we are just aligning legal text to model. But </w:t>
            </w:r>
            <w:proofErr w:type="gramStart"/>
            <w:r>
              <w:rPr>
                <w:rFonts w:ascii="Calibri" w:eastAsia="Times New Roman" w:hAnsi="Calibri" w:cs="Calibri"/>
                <w:color w:val="000000"/>
                <w:lang w:eastAsia="en-GB"/>
              </w:rPr>
              <w:t>also</w:t>
            </w:r>
            <w:proofErr w:type="gramEnd"/>
            <w:r>
              <w:rPr>
                <w:rFonts w:ascii="Calibri" w:eastAsia="Times New Roman" w:hAnsi="Calibri" w:cs="Calibri"/>
                <w:color w:val="000000"/>
                <w:lang w:eastAsia="en-GB"/>
              </w:rPr>
              <w:t xml:space="preserve"> arguably part one as, if the model were aligned to the legal text </w:t>
            </w:r>
            <w:r>
              <w:rPr>
                <w:rFonts w:ascii="Calibri" w:eastAsia="Times New Roman" w:hAnsi="Calibri" w:cs="Calibri"/>
                <w:color w:val="000000"/>
                <w:lang w:eastAsia="en-GB"/>
              </w:rPr>
              <w:lastRenderedPageBreak/>
              <w:t>previously, this would have an impact on charges.</w:t>
            </w:r>
          </w:p>
        </w:tc>
        <w:tc>
          <w:tcPr>
            <w:tcW w:w="2133" w:type="dxa"/>
            <w:shd w:val="clear" w:color="auto" w:fill="D9E2F3" w:themeFill="accent1" w:themeFillTint="33"/>
          </w:tcPr>
          <w:p w14:paraId="64131D39" w14:textId="337E0353" w:rsidR="006577F4" w:rsidRPr="00BA0C9C" w:rsidRDefault="006633D6" w:rsidP="000F0BD6">
            <w:pPr>
              <w:tabs>
                <w:tab w:val="left" w:pos="2246"/>
              </w:tabs>
              <w:rPr>
                <w:rFonts w:ascii="Calibri" w:eastAsia="Times New Roman" w:hAnsi="Calibri" w:cs="Calibri"/>
                <w:color w:val="000000"/>
                <w:lang w:eastAsia="en-GB"/>
              </w:rPr>
            </w:pPr>
            <w:r>
              <w:rPr>
                <w:rFonts w:ascii="Calibri" w:eastAsia="Times New Roman" w:hAnsi="Calibri" w:cs="Calibri"/>
                <w:color w:val="000000"/>
                <w:lang w:eastAsia="en-GB"/>
              </w:rPr>
              <w:lastRenderedPageBreak/>
              <w:t>EDCM (LRIC and FCP) – Legal text and model mis-aligned</w:t>
            </w:r>
          </w:p>
        </w:tc>
        <w:tc>
          <w:tcPr>
            <w:tcW w:w="2613" w:type="dxa"/>
            <w:shd w:val="clear" w:color="auto" w:fill="D9E2F3" w:themeFill="accent1" w:themeFillTint="33"/>
          </w:tcPr>
          <w:p w14:paraId="498C77E0" w14:textId="77777777" w:rsidR="006577F4" w:rsidRDefault="00897861" w:rsidP="000F0BD6">
            <w:pPr>
              <w:tabs>
                <w:tab w:val="left" w:pos="2246"/>
              </w:tabs>
              <w:rPr>
                <w:rFonts w:ascii="Calibri" w:eastAsia="Times New Roman" w:hAnsi="Calibri" w:cs="Calibri"/>
                <w:color w:val="000000"/>
                <w:lang w:eastAsia="en-GB"/>
              </w:rPr>
            </w:pPr>
            <w:r>
              <w:rPr>
                <w:rFonts w:ascii="Calibri" w:eastAsia="Times New Roman" w:hAnsi="Calibri" w:cs="Calibri"/>
                <w:color w:val="000000"/>
                <w:lang w:eastAsia="en-GB"/>
              </w:rPr>
              <w:t>Amend definitions after para 10.3:</w:t>
            </w:r>
          </w:p>
          <w:p w14:paraId="48DC32C5" w14:textId="77777777" w:rsidR="00897861" w:rsidRDefault="00897861" w:rsidP="000F0BD6">
            <w:pPr>
              <w:tabs>
                <w:tab w:val="left" w:pos="2246"/>
              </w:tabs>
              <w:rPr>
                <w:rFonts w:ascii="Calibri" w:eastAsia="Times New Roman" w:hAnsi="Calibri" w:cs="Calibri"/>
                <w:color w:val="000000"/>
                <w:lang w:eastAsia="en-GB"/>
              </w:rPr>
            </w:pPr>
            <w:r>
              <w:rPr>
                <w:rFonts w:ascii="Calibri" w:eastAsia="Times New Roman" w:hAnsi="Calibri" w:cs="Calibri"/>
                <w:color w:val="000000"/>
                <w:lang w:eastAsia="en-GB"/>
              </w:rPr>
              <w:t xml:space="preserve">‘Capacity eligible for credits (in kW) is the capacity that is made available by the generator under the agreement with the DNO, </w:t>
            </w:r>
            <w:r>
              <w:rPr>
                <w:rFonts w:ascii="Calibri" w:eastAsia="Times New Roman" w:hAnsi="Calibri" w:cs="Calibri"/>
                <w:i/>
                <w:iCs/>
                <w:color w:val="000000"/>
                <w:u w:val="single"/>
                <w:lang w:eastAsia="en-GB"/>
              </w:rPr>
              <w:t>if necessary adjusted for Connectees connected for part of the year by multiplying by the proportion of the year for which the Connectee is expected to be connected.</w:t>
            </w:r>
          </w:p>
          <w:p w14:paraId="4C550898" w14:textId="50D1C7D1" w:rsidR="00897861" w:rsidRPr="00897861" w:rsidRDefault="00897861" w:rsidP="000F0BD6">
            <w:pPr>
              <w:tabs>
                <w:tab w:val="left" w:pos="2246"/>
              </w:tabs>
              <w:rPr>
                <w:rFonts w:ascii="Calibri" w:eastAsia="Times New Roman" w:hAnsi="Calibri" w:cs="Calibri"/>
                <w:color w:val="000000"/>
                <w:lang w:eastAsia="en-GB"/>
              </w:rPr>
            </w:pPr>
            <w:r>
              <w:rPr>
                <w:rFonts w:ascii="Calibri" w:eastAsia="Times New Roman" w:hAnsi="Calibri" w:cs="Calibri"/>
                <w:color w:val="000000"/>
                <w:lang w:eastAsia="en-GB"/>
              </w:rPr>
              <w:t xml:space="preserve">Chargeable Export Capacity (in kVA) is the forecast average value of the maximum export </w:t>
            </w:r>
            <w:r>
              <w:rPr>
                <w:rFonts w:ascii="Calibri" w:eastAsia="Times New Roman" w:hAnsi="Calibri" w:cs="Calibri"/>
                <w:color w:val="000000"/>
                <w:lang w:eastAsia="en-GB"/>
              </w:rPr>
              <w:lastRenderedPageBreak/>
              <w:t xml:space="preserve">capacity of the generator over the charging year, less any capacity that is exempt from use of system charges in the charging year, </w:t>
            </w:r>
            <w:r>
              <w:rPr>
                <w:rFonts w:ascii="Calibri" w:eastAsia="Times New Roman" w:hAnsi="Calibri" w:cs="Calibri"/>
                <w:i/>
                <w:iCs/>
                <w:color w:val="000000"/>
                <w:u w:val="single"/>
                <w:lang w:eastAsia="en-GB"/>
              </w:rPr>
              <w:t>if necessary adjusted for Connectees connected for part of the year for which the Connectee is expected to be connected.</w:t>
            </w:r>
            <w:r>
              <w:rPr>
                <w:rFonts w:ascii="Calibri" w:eastAsia="Times New Roman" w:hAnsi="Calibri" w:cs="Calibri"/>
                <w:color w:val="000000"/>
                <w:lang w:eastAsia="en-GB"/>
              </w:rPr>
              <w:t>’</w:t>
            </w:r>
          </w:p>
        </w:tc>
      </w:tr>
      <w:tr w:rsidR="004A2223" w:rsidRPr="00646EBF" w14:paraId="2C3F934D" w14:textId="77777777" w:rsidTr="000A563C">
        <w:trPr>
          <w:trHeight w:val="900"/>
        </w:trPr>
        <w:tc>
          <w:tcPr>
            <w:tcW w:w="463" w:type="dxa"/>
            <w:shd w:val="clear" w:color="auto" w:fill="D9E2F3" w:themeFill="accent1" w:themeFillTint="33"/>
          </w:tcPr>
          <w:p w14:paraId="358F2C93" w14:textId="16D01600" w:rsidR="004A2223" w:rsidRPr="00646EBF" w:rsidRDefault="004A2223" w:rsidP="004A222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12</w:t>
            </w:r>
          </w:p>
        </w:tc>
        <w:tc>
          <w:tcPr>
            <w:tcW w:w="0" w:type="auto"/>
            <w:shd w:val="clear" w:color="auto" w:fill="D9E2F3" w:themeFill="accent1" w:themeFillTint="33"/>
          </w:tcPr>
          <w:p w14:paraId="50ADD1C7" w14:textId="1D527CE4" w:rsidR="004A2223" w:rsidRPr="00646EBF"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18 paragraph 12.3</w:t>
            </w:r>
          </w:p>
        </w:tc>
        <w:tc>
          <w:tcPr>
            <w:tcW w:w="1452" w:type="dxa"/>
            <w:shd w:val="clear" w:color="auto" w:fill="D9E2F3" w:themeFill="accent1" w:themeFillTint="33"/>
          </w:tcPr>
          <w:p w14:paraId="3755A75F" w14:textId="2AB1C96A" w:rsidR="004A2223" w:rsidRPr="00646EBF"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Part-year adjustment to capacity </w:t>
            </w:r>
          </w:p>
        </w:tc>
        <w:tc>
          <w:tcPr>
            <w:tcW w:w="1375" w:type="dxa"/>
            <w:shd w:val="clear" w:color="auto" w:fill="D9E2F3" w:themeFill="accent1" w:themeFillTint="33"/>
          </w:tcPr>
          <w:p w14:paraId="6C02A673" w14:textId="3E501E23" w:rsidR="004A2223" w:rsidRPr="00646EBF" w:rsidRDefault="00A429B1"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Capacities</w:t>
            </w:r>
          </w:p>
        </w:tc>
        <w:tc>
          <w:tcPr>
            <w:tcW w:w="2502" w:type="dxa"/>
            <w:shd w:val="clear" w:color="auto" w:fill="D9E2F3" w:themeFill="accent1" w:themeFillTint="33"/>
          </w:tcPr>
          <w:p w14:paraId="3CB879CC" w14:textId="11721DB9" w:rsidR="004A2223" w:rsidRPr="00646EBF" w:rsidRDefault="0016280D"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the part-year adjustment to the capacity described here, and all other part-year adjustments to capacity, simply involve multiplying the capacity by the proportion of the days in which the customer is connected.</w:t>
            </w:r>
          </w:p>
        </w:tc>
        <w:tc>
          <w:tcPr>
            <w:tcW w:w="0" w:type="auto"/>
            <w:shd w:val="clear" w:color="auto" w:fill="000000" w:themeFill="text1"/>
            <w:noWrap/>
          </w:tcPr>
          <w:p w14:paraId="0C254FDE" w14:textId="77777777" w:rsidR="004A2223" w:rsidRPr="00646EBF" w:rsidRDefault="004A2223" w:rsidP="004A2223">
            <w:pPr>
              <w:spacing w:after="0" w:line="240" w:lineRule="auto"/>
              <w:rPr>
                <w:rFonts w:ascii="Calibri" w:eastAsia="Times New Roman" w:hAnsi="Calibri" w:cs="Calibri"/>
                <w:color w:val="000000"/>
                <w:lang w:eastAsia="en-GB"/>
              </w:rPr>
            </w:pPr>
          </w:p>
        </w:tc>
        <w:tc>
          <w:tcPr>
            <w:tcW w:w="653" w:type="dxa"/>
            <w:shd w:val="clear" w:color="auto" w:fill="D9E2F3" w:themeFill="accent1" w:themeFillTint="33"/>
          </w:tcPr>
          <w:p w14:paraId="0E75B970" w14:textId="5496679A" w:rsidR="004A2223" w:rsidRPr="00646EBF" w:rsidRDefault="00A12FA1"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2</w:t>
            </w:r>
          </w:p>
        </w:tc>
        <w:tc>
          <w:tcPr>
            <w:tcW w:w="1471" w:type="dxa"/>
            <w:shd w:val="clear" w:color="auto" w:fill="D9E2F3" w:themeFill="accent1" w:themeFillTint="33"/>
          </w:tcPr>
          <w:p w14:paraId="5557C398" w14:textId="36ECD31F" w:rsidR="004A2223" w:rsidRPr="00646EBF" w:rsidRDefault="00964B90"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Clarification only</w:t>
            </w:r>
          </w:p>
        </w:tc>
        <w:tc>
          <w:tcPr>
            <w:tcW w:w="2133" w:type="dxa"/>
            <w:shd w:val="clear" w:color="auto" w:fill="D9E2F3" w:themeFill="accent1" w:themeFillTint="33"/>
          </w:tcPr>
          <w:p w14:paraId="22F78A1E" w14:textId="11784071" w:rsidR="004A2223" w:rsidRPr="00646EBF" w:rsidRDefault="006633D6"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and FCP) – Housekeeping (minor)</w:t>
            </w:r>
          </w:p>
        </w:tc>
        <w:tc>
          <w:tcPr>
            <w:tcW w:w="2613" w:type="dxa"/>
            <w:shd w:val="clear" w:color="auto" w:fill="D9E2F3" w:themeFill="accent1" w:themeFillTint="33"/>
          </w:tcPr>
          <w:p w14:paraId="64CACAFC" w14:textId="77777777" w:rsidR="004A2223" w:rsidRDefault="00897861"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Amend definitions under para 12.3: </w:t>
            </w:r>
          </w:p>
          <w:p w14:paraId="48ACC7C6" w14:textId="77777777" w:rsidR="00897861" w:rsidRDefault="00897861"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‘Total Pre-2005 EDCM DG capacity is the aggregate maximum export capacity of all non-exempt EDCM generators that connected before 1 April 2005, adjusted </w:t>
            </w:r>
            <w:r>
              <w:rPr>
                <w:rFonts w:ascii="Calibri" w:eastAsia="Times New Roman" w:hAnsi="Calibri" w:cs="Calibri"/>
                <w:i/>
                <w:iCs/>
                <w:color w:val="000000"/>
                <w:u w:val="single"/>
                <w:lang w:eastAsia="en-GB"/>
              </w:rPr>
              <w:t>(by multiplying by the proportion of the year for which the generator is expected to be connected)</w:t>
            </w:r>
            <w:r>
              <w:rPr>
                <w:rFonts w:ascii="Calibri" w:eastAsia="Times New Roman" w:hAnsi="Calibri" w:cs="Calibri"/>
                <w:color w:val="000000"/>
                <w:lang w:eastAsia="en-GB"/>
              </w:rPr>
              <w:t xml:space="preserve"> for part-year connected generators. In the case of generators that have subsequently increased their maximum export capacity, the part of their capacity that was added </w:t>
            </w:r>
            <w:r>
              <w:rPr>
                <w:rFonts w:ascii="Calibri" w:eastAsia="Times New Roman" w:hAnsi="Calibri" w:cs="Calibri"/>
                <w:color w:val="000000"/>
                <w:lang w:eastAsia="en-GB"/>
              </w:rPr>
              <w:lastRenderedPageBreak/>
              <w:t>after 1 April 2005 would be ignored.</w:t>
            </w:r>
          </w:p>
          <w:p w14:paraId="65D8C9E6" w14:textId="77777777" w:rsidR="00897861" w:rsidRDefault="00897861"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Total 2005-2010 EDCM generation capacity is the sum of the m</w:t>
            </w:r>
            <w:r w:rsidR="005A778C">
              <w:rPr>
                <w:rFonts w:ascii="Calibri" w:eastAsia="Times New Roman" w:hAnsi="Calibri" w:cs="Calibri"/>
                <w:color w:val="000000"/>
                <w:lang w:eastAsia="en-GB"/>
              </w:rPr>
              <w:t xml:space="preserve">aximum export capacities of all non-exempt EDCM generators that connected between 1 April 2005 and 31 March 2010, adjusted </w:t>
            </w:r>
            <w:r w:rsidR="005A778C">
              <w:rPr>
                <w:rFonts w:ascii="Calibri" w:eastAsia="Times New Roman" w:hAnsi="Calibri" w:cs="Calibri"/>
                <w:i/>
                <w:iCs/>
                <w:color w:val="000000"/>
                <w:u w:val="single"/>
                <w:lang w:eastAsia="en-GB"/>
              </w:rPr>
              <w:t>(by multiplying by the proportion of the year for which the generator is expected to be connected)</w:t>
            </w:r>
            <w:r w:rsidR="005A778C">
              <w:rPr>
                <w:rFonts w:ascii="Calibri" w:eastAsia="Times New Roman" w:hAnsi="Calibri" w:cs="Calibri"/>
                <w:color w:val="000000"/>
                <w:lang w:eastAsia="en-GB"/>
              </w:rPr>
              <w:t xml:space="preserve"> for part-year connected generators. </w:t>
            </w:r>
          </w:p>
          <w:p w14:paraId="19DC2850" w14:textId="5EBBAA4E" w:rsidR="005A778C" w:rsidRDefault="005A778C"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Total Post-2010 EDCM generation capacity is the sum of the maximum export capacities of all non-exempt EDCM generators that connected on or after 1 April 2010, adjusted </w:t>
            </w:r>
            <w:r>
              <w:rPr>
                <w:rFonts w:ascii="Calibri" w:eastAsia="Times New Roman" w:hAnsi="Calibri" w:cs="Calibri"/>
                <w:i/>
                <w:iCs/>
                <w:color w:val="000000"/>
                <w:u w:val="single"/>
                <w:lang w:eastAsia="en-GB"/>
              </w:rPr>
              <w:t>by multiplying by the proportion of the year for which the generator is expected to be connected)</w:t>
            </w:r>
            <w:r>
              <w:rPr>
                <w:rFonts w:ascii="Calibri" w:eastAsia="Times New Roman" w:hAnsi="Calibri" w:cs="Calibri"/>
                <w:color w:val="000000"/>
                <w:lang w:eastAsia="en-GB"/>
              </w:rPr>
              <w:t xml:space="preserve"> for part-year connected generators. In the case of generators that originally connected before 1 April 2010 and have increased their maximum export </w:t>
            </w:r>
            <w:r>
              <w:rPr>
                <w:rFonts w:ascii="Calibri" w:eastAsia="Times New Roman" w:hAnsi="Calibri" w:cs="Calibri"/>
                <w:color w:val="000000"/>
                <w:lang w:eastAsia="en-GB"/>
              </w:rPr>
              <w:lastRenderedPageBreak/>
              <w:t>capacity on or after 1 April 2010, the capacity that was added after 1 April 2010 should be included.</w:t>
            </w:r>
          </w:p>
          <w:p w14:paraId="5E32E32D" w14:textId="1425B0FD" w:rsidR="005A778C" w:rsidRDefault="005A778C"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Total 2005 - 2010 CDCM generation capacity is the sum of the maximum export capacities of all non-exempt CDCM generators that connected between 1 A</w:t>
            </w:r>
            <w:r w:rsidR="000A563C">
              <w:rPr>
                <w:rFonts w:ascii="Calibri" w:eastAsia="Times New Roman" w:hAnsi="Calibri" w:cs="Calibri"/>
                <w:color w:val="000000"/>
                <w:lang w:eastAsia="en-GB"/>
              </w:rPr>
              <w:t>p</w:t>
            </w:r>
            <w:r>
              <w:rPr>
                <w:rFonts w:ascii="Calibri" w:eastAsia="Times New Roman" w:hAnsi="Calibri" w:cs="Calibri"/>
                <w:color w:val="000000"/>
                <w:lang w:eastAsia="en-GB"/>
              </w:rPr>
              <w:t xml:space="preserve">ril 2005 and 31 March 2010, adjusted </w:t>
            </w:r>
            <w:r>
              <w:rPr>
                <w:rFonts w:ascii="Calibri" w:eastAsia="Times New Roman" w:hAnsi="Calibri" w:cs="Calibri"/>
                <w:i/>
                <w:iCs/>
                <w:color w:val="000000"/>
                <w:u w:val="single"/>
                <w:lang w:eastAsia="en-GB"/>
              </w:rPr>
              <w:t>(by multiplying by the proportion of the year for which the generator is expected to be connected)</w:t>
            </w:r>
            <w:r>
              <w:rPr>
                <w:rFonts w:ascii="Calibri" w:eastAsia="Times New Roman" w:hAnsi="Calibri" w:cs="Calibri"/>
                <w:color w:val="000000"/>
                <w:lang w:eastAsia="en-GB"/>
              </w:rPr>
              <w:t xml:space="preserve"> for part-year connected generators. </w:t>
            </w:r>
          </w:p>
          <w:p w14:paraId="0D7A69F5" w14:textId="3085A9D0" w:rsidR="005A778C" w:rsidRPr="00807DAB" w:rsidRDefault="005A778C"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Total Post-2010 CDCM generation capacity is the sum of the ma</w:t>
            </w:r>
            <w:r w:rsidR="00807DAB">
              <w:rPr>
                <w:rFonts w:ascii="Calibri" w:eastAsia="Times New Roman" w:hAnsi="Calibri" w:cs="Calibri"/>
                <w:color w:val="000000"/>
                <w:lang w:eastAsia="en-GB"/>
              </w:rPr>
              <w:t xml:space="preserve">ximum export capacities of all non-exempt CDCM generators that connected on or after 1 April 2010, adjusted </w:t>
            </w:r>
            <w:r w:rsidR="00807DAB">
              <w:rPr>
                <w:rFonts w:ascii="Calibri" w:eastAsia="Times New Roman" w:hAnsi="Calibri" w:cs="Calibri"/>
                <w:i/>
                <w:iCs/>
                <w:color w:val="000000"/>
                <w:u w:val="single"/>
                <w:lang w:eastAsia="en-GB"/>
              </w:rPr>
              <w:t>(by multiplying by the proportion of the year for which the generator is expected to be connected)</w:t>
            </w:r>
            <w:r w:rsidR="00807DAB">
              <w:rPr>
                <w:rFonts w:ascii="Calibri" w:eastAsia="Times New Roman" w:hAnsi="Calibri" w:cs="Calibri"/>
                <w:color w:val="000000"/>
                <w:lang w:eastAsia="en-GB"/>
              </w:rPr>
              <w:t xml:space="preserve"> for part year connected generators.’</w:t>
            </w:r>
          </w:p>
        </w:tc>
      </w:tr>
      <w:tr w:rsidR="004A2223" w:rsidRPr="00646EBF" w14:paraId="363A2C6D" w14:textId="77777777" w:rsidTr="000A563C">
        <w:trPr>
          <w:trHeight w:val="2100"/>
        </w:trPr>
        <w:tc>
          <w:tcPr>
            <w:tcW w:w="463" w:type="dxa"/>
            <w:shd w:val="clear" w:color="auto" w:fill="D9E2F3" w:themeFill="accent1" w:themeFillTint="33"/>
          </w:tcPr>
          <w:p w14:paraId="1E02CCC3" w14:textId="464EF716" w:rsidR="004A2223" w:rsidRPr="00646EBF" w:rsidRDefault="004A2223" w:rsidP="004A222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13</w:t>
            </w:r>
          </w:p>
        </w:tc>
        <w:tc>
          <w:tcPr>
            <w:tcW w:w="0" w:type="auto"/>
            <w:shd w:val="clear" w:color="auto" w:fill="D9E2F3" w:themeFill="accent1" w:themeFillTint="33"/>
          </w:tcPr>
          <w:p w14:paraId="6C761BDF" w14:textId="71F716E2" w:rsidR="004A2223" w:rsidRPr="00646EBF"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18 paragraph 15.11</w:t>
            </w:r>
          </w:p>
        </w:tc>
        <w:tc>
          <w:tcPr>
            <w:tcW w:w="1452" w:type="dxa"/>
            <w:shd w:val="clear" w:color="auto" w:fill="D9E2F3" w:themeFill="accent1" w:themeFillTint="33"/>
          </w:tcPr>
          <w:p w14:paraId="0A181B59" w14:textId="15A5DE1D" w:rsidR="004A2223" w:rsidRPr="00646EBF"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Network asset rate calculation</w:t>
            </w:r>
          </w:p>
        </w:tc>
        <w:tc>
          <w:tcPr>
            <w:tcW w:w="1375" w:type="dxa"/>
            <w:shd w:val="clear" w:color="auto" w:fill="D9E2F3" w:themeFill="accent1" w:themeFillTint="33"/>
          </w:tcPr>
          <w:p w14:paraId="59DDD702" w14:textId="28A30AEC" w:rsidR="004A2223" w:rsidRPr="00646EBF" w:rsidRDefault="00A429B1"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Asset values</w:t>
            </w:r>
          </w:p>
        </w:tc>
        <w:tc>
          <w:tcPr>
            <w:tcW w:w="2502" w:type="dxa"/>
            <w:shd w:val="clear" w:color="auto" w:fill="D9E2F3" w:themeFill="accent1" w:themeFillTint="33"/>
          </w:tcPr>
          <w:p w14:paraId="2E8E51FA" w14:textId="1E1F7B65" w:rsidR="004A2223" w:rsidRPr="00646EBF" w:rsidRDefault="0016280D"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the network asset rate at each voltage level is calculated as the asset values for that voltage level divided by the product of maximum demand at that voltage level and the loss adjustment factor to that voltage level.</w:t>
            </w:r>
          </w:p>
        </w:tc>
        <w:tc>
          <w:tcPr>
            <w:tcW w:w="0" w:type="auto"/>
            <w:shd w:val="clear" w:color="auto" w:fill="000000" w:themeFill="text1"/>
            <w:noWrap/>
          </w:tcPr>
          <w:p w14:paraId="24EBAD07" w14:textId="77777777" w:rsidR="004A2223" w:rsidRPr="00646EBF" w:rsidRDefault="004A2223" w:rsidP="004A2223">
            <w:pPr>
              <w:spacing w:after="0" w:line="240" w:lineRule="auto"/>
              <w:rPr>
                <w:rFonts w:ascii="Calibri" w:eastAsia="Times New Roman" w:hAnsi="Calibri" w:cs="Calibri"/>
                <w:color w:val="000000"/>
                <w:lang w:eastAsia="en-GB"/>
              </w:rPr>
            </w:pPr>
          </w:p>
        </w:tc>
        <w:tc>
          <w:tcPr>
            <w:tcW w:w="653" w:type="dxa"/>
            <w:shd w:val="clear" w:color="auto" w:fill="D9E2F3" w:themeFill="accent1" w:themeFillTint="33"/>
          </w:tcPr>
          <w:p w14:paraId="0059AAC8" w14:textId="291162E7" w:rsidR="004A2223" w:rsidRPr="00646EBF" w:rsidRDefault="00A12FA1"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2</w:t>
            </w:r>
          </w:p>
        </w:tc>
        <w:tc>
          <w:tcPr>
            <w:tcW w:w="1471" w:type="dxa"/>
            <w:shd w:val="clear" w:color="auto" w:fill="D9E2F3" w:themeFill="accent1" w:themeFillTint="33"/>
          </w:tcPr>
          <w:p w14:paraId="0AF967D7" w14:textId="317AC1EB" w:rsidR="004A2223" w:rsidRPr="00646EBF" w:rsidRDefault="00964B90"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Clarification only </w:t>
            </w:r>
          </w:p>
        </w:tc>
        <w:tc>
          <w:tcPr>
            <w:tcW w:w="2133" w:type="dxa"/>
            <w:shd w:val="clear" w:color="auto" w:fill="D9E2F3" w:themeFill="accent1" w:themeFillTint="33"/>
          </w:tcPr>
          <w:p w14:paraId="1D116AE4" w14:textId="7D21C49B" w:rsidR="004A2223" w:rsidRPr="00646EBF" w:rsidRDefault="006633D6"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and FCP) – Housekeeping (minor)</w:t>
            </w:r>
          </w:p>
        </w:tc>
        <w:tc>
          <w:tcPr>
            <w:tcW w:w="2613" w:type="dxa"/>
            <w:shd w:val="clear" w:color="auto" w:fill="D9E2F3" w:themeFill="accent1" w:themeFillTint="33"/>
          </w:tcPr>
          <w:p w14:paraId="742BC13B" w14:textId="77777777" w:rsidR="004A2223" w:rsidRDefault="00807DAB"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Amend definitions after para 15.11:</w:t>
            </w:r>
          </w:p>
          <w:p w14:paraId="403E6F21" w14:textId="46103BD8" w:rsidR="00807DAB" w:rsidRPr="00807DAB" w:rsidRDefault="00807DAB" w:rsidP="004A2223">
            <w:pPr>
              <w:spacing w:after="0" w:line="240" w:lineRule="auto"/>
              <w:rPr>
                <w:rFonts w:ascii="Calibri" w:eastAsia="Times New Roman" w:hAnsi="Calibri" w:cs="Calibri"/>
                <w:i/>
                <w:iCs/>
                <w:color w:val="000000"/>
                <w:u w:val="single"/>
                <w:lang w:eastAsia="en-GB"/>
              </w:rPr>
            </w:pPr>
            <w:r>
              <w:rPr>
                <w:rFonts w:ascii="Calibri" w:eastAsia="Times New Roman" w:hAnsi="Calibri" w:cs="Calibri"/>
                <w:color w:val="000000"/>
                <w:lang w:eastAsia="en-GB"/>
              </w:rPr>
              <w:t xml:space="preserve">‘NAR L is the network asset rate at level L in £/kW based on the 500 MW model </w:t>
            </w:r>
            <w:r>
              <w:rPr>
                <w:rFonts w:ascii="Calibri" w:eastAsia="Times New Roman" w:hAnsi="Calibri" w:cs="Calibri"/>
                <w:i/>
                <w:iCs/>
                <w:color w:val="000000"/>
                <w:u w:val="single"/>
                <w:lang w:eastAsia="en-GB"/>
              </w:rPr>
              <w:t>calculated as the asset values for that voltage level divided by the product of maximum demand at that voltage level and the loss adjustment factor to that voltage level’</w:t>
            </w:r>
          </w:p>
        </w:tc>
      </w:tr>
      <w:tr w:rsidR="004A2223" w:rsidRPr="00646EBF" w14:paraId="2EB2DD61" w14:textId="77777777" w:rsidTr="000A563C">
        <w:trPr>
          <w:trHeight w:val="900"/>
        </w:trPr>
        <w:tc>
          <w:tcPr>
            <w:tcW w:w="463" w:type="dxa"/>
            <w:shd w:val="clear" w:color="auto" w:fill="D9E2F3" w:themeFill="accent1" w:themeFillTint="33"/>
          </w:tcPr>
          <w:p w14:paraId="70C73540" w14:textId="1D988BED" w:rsidR="004A2223" w:rsidRPr="00646EBF" w:rsidRDefault="004A2223" w:rsidP="004A222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14</w:t>
            </w:r>
          </w:p>
        </w:tc>
        <w:tc>
          <w:tcPr>
            <w:tcW w:w="0" w:type="auto"/>
            <w:shd w:val="clear" w:color="auto" w:fill="D9E2F3" w:themeFill="accent1" w:themeFillTint="33"/>
          </w:tcPr>
          <w:p w14:paraId="2552C86B" w14:textId="426DBC38" w:rsidR="004A2223" w:rsidRPr="00646EBF"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18 paragraph 15.11</w:t>
            </w:r>
          </w:p>
        </w:tc>
        <w:tc>
          <w:tcPr>
            <w:tcW w:w="1452" w:type="dxa"/>
            <w:shd w:val="clear" w:color="auto" w:fill="D9E2F3" w:themeFill="accent1" w:themeFillTint="33"/>
          </w:tcPr>
          <w:p w14:paraId="73DF878F" w14:textId="2F60F32B" w:rsidR="004A2223" w:rsidRPr="00646EBF"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Peak time active power consumption in (kW/kVA)</w:t>
            </w:r>
          </w:p>
        </w:tc>
        <w:tc>
          <w:tcPr>
            <w:tcW w:w="1375" w:type="dxa"/>
            <w:shd w:val="clear" w:color="auto" w:fill="D9E2F3" w:themeFill="accent1" w:themeFillTint="33"/>
          </w:tcPr>
          <w:p w14:paraId="61607F38" w14:textId="53D31DDC" w:rsidR="004A2223" w:rsidRPr="00646EBF" w:rsidRDefault="0090310B"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Import capacity</w:t>
            </w:r>
          </w:p>
        </w:tc>
        <w:tc>
          <w:tcPr>
            <w:tcW w:w="2502" w:type="dxa"/>
            <w:shd w:val="clear" w:color="auto" w:fill="D9E2F3" w:themeFill="accent1" w:themeFillTint="33"/>
          </w:tcPr>
          <w:p w14:paraId="4DFD745D" w14:textId="68418F10" w:rsidR="004A2223" w:rsidRPr="00646EBF" w:rsidRDefault="000F0BD6"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this is a customer specific parameter and is equal to the average forecast super-red kW/kVA.</w:t>
            </w:r>
          </w:p>
        </w:tc>
        <w:tc>
          <w:tcPr>
            <w:tcW w:w="0" w:type="auto"/>
            <w:shd w:val="clear" w:color="auto" w:fill="000000" w:themeFill="text1"/>
            <w:noWrap/>
          </w:tcPr>
          <w:p w14:paraId="0F65F8A4" w14:textId="77777777" w:rsidR="004A2223" w:rsidRPr="00646EBF" w:rsidRDefault="004A2223" w:rsidP="004A2223">
            <w:pPr>
              <w:spacing w:after="0" w:line="240" w:lineRule="auto"/>
              <w:rPr>
                <w:rFonts w:ascii="Calibri" w:eastAsia="Times New Roman" w:hAnsi="Calibri" w:cs="Calibri"/>
                <w:color w:val="000000"/>
                <w:lang w:eastAsia="en-GB"/>
              </w:rPr>
            </w:pPr>
          </w:p>
        </w:tc>
        <w:tc>
          <w:tcPr>
            <w:tcW w:w="653" w:type="dxa"/>
            <w:shd w:val="clear" w:color="auto" w:fill="D9E2F3" w:themeFill="accent1" w:themeFillTint="33"/>
          </w:tcPr>
          <w:p w14:paraId="560071C9" w14:textId="1B0BF73C" w:rsidR="004A2223" w:rsidRPr="00646EBF" w:rsidRDefault="00A12FA1"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2</w:t>
            </w:r>
          </w:p>
        </w:tc>
        <w:tc>
          <w:tcPr>
            <w:tcW w:w="1471" w:type="dxa"/>
            <w:shd w:val="clear" w:color="auto" w:fill="D9E2F3" w:themeFill="accent1" w:themeFillTint="33"/>
          </w:tcPr>
          <w:p w14:paraId="6A1A0D6D" w14:textId="184DDA0B" w:rsidR="004A2223" w:rsidRPr="00646EBF" w:rsidRDefault="00931AB8"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Clarification Only</w:t>
            </w:r>
          </w:p>
        </w:tc>
        <w:tc>
          <w:tcPr>
            <w:tcW w:w="2133" w:type="dxa"/>
            <w:shd w:val="clear" w:color="auto" w:fill="D9E2F3" w:themeFill="accent1" w:themeFillTint="33"/>
          </w:tcPr>
          <w:p w14:paraId="0481ED89" w14:textId="07B1CD22" w:rsidR="004A2223" w:rsidRPr="00646EBF" w:rsidRDefault="006633D6"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and FCP) – Housekeeping (minor)</w:t>
            </w:r>
          </w:p>
        </w:tc>
        <w:tc>
          <w:tcPr>
            <w:tcW w:w="2613" w:type="dxa"/>
            <w:shd w:val="clear" w:color="auto" w:fill="D9E2F3" w:themeFill="accent1" w:themeFillTint="33"/>
          </w:tcPr>
          <w:p w14:paraId="719A150B" w14:textId="77777777" w:rsidR="004A2223" w:rsidRDefault="00807DAB"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Amend definitions after para 15.11:</w:t>
            </w:r>
          </w:p>
          <w:p w14:paraId="07825992" w14:textId="54F1465D" w:rsidR="00807DAB" w:rsidRPr="00807DAB" w:rsidRDefault="00807DAB"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‘D is the peak time active power consumption </w:t>
            </w:r>
            <w:r>
              <w:rPr>
                <w:rFonts w:ascii="Calibri" w:eastAsia="Times New Roman" w:hAnsi="Calibri" w:cs="Calibri"/>
                <w:i/>
                <w:iCs/>
                <w:color w:val="000000"/>
                <w:u w:val="single"/>
                <w:lang w:eastAsia="en-GB"/>
              </w:rPr>
              <w:t>for each Connectee</w:t>
            </w:r>
            <w:r>
              <w:rPr>
                <w:rFonts w:ascii="Calibri" w:eastAsia="Times New Roman" w:hAnsi="Calibri" w:cs="Calibri"/>
                <w:color w:val="000000"/>
                <w:lang w:eastAsia="en-GB"/>
              </w:rPr>
              <w:t xml:space="preserve"> in (kW/kVA). This is calculated as the </w:t>
            </w:r>
            <w:r>
              <w:rPr>
                <w:rFonts w:ascii="Calibri" w:eastAsia="Times New Roman" w:hAnsi="Calibri" w:cs="Calibri"/>
                <w:i/>
                <w:iCs/>
                <w:color w:val="000000"/>
                <w:u w:val="single"/>
                <w:lang w:eastAsia="en-GB"/>
              </w:rPr>
              <w:t xml:space="preserve">[historical peak-time] super-red </w:t>
            </w:r>
            <w:r>
              <w:rPr>
                <w:rFonts w:ascii="Calibri" w:eastAsia="Times New Roman" w:hAnsi="Calibri" w:cs="Calibri"/>
                <w:color w:val="000000"/>
                <w:lang w:eastAsia="en-GB"/>
              </w:rPr>
              <w:t xml:space="preserve">kW </w:t>
            </w:r>
            <w:r>
              <w:rPr>
                <w:rFonts w:ascii="Calibri" w:eastAsia="Times New Roman" w:hAnsi="Calibri" w:cs="Calibri"/>
                <w:i/>
                <w:iCs/>
                <w:color w:val="000000"/>
                <w:u w:val="single"/>
                <w:lang w:eastAsia="en-GB"/>
              </w:rPr>
              <w:t>import</w:t>
            </w:r>
            <w:r>
              <w:rPr>
                <w:rFonts w:ascii="Calibri" w:eastAsia="Times New Roman" w:hAnsi="Calibri" w:cs="Calibri"/>
                <w:color w:val="000000"/>
                <w:lang w:eastAsia="en-GB"/>
              </w:rPr>
              <w:t xml:space="preserve"> divided by </w:t>
            </w:r>
            <w:r>
              <w:rPr>
                <w:rFonts w:ascii="Calibri" w:eastAsia="Times New Roman" w:hAnsi="Calibri" w:cs="Calibri"/>
                <w:i/>
                <w:iCs/>
                <w:color w:val="000000"/>
                <w:u w:val="single"/>
                <w:lang w:eastAsia="en-GB"/>
              </w:rPr>
              <w:t>[historical maximum]</w:t>
            </w:r>
            <w:r>
              <w:rPr>
                <w:rFonts w:ascii="Calibri" w:eastAsia="Times New Roman" w:hAnsi="Calibri" w:cs="Calibri"/>
                <w:color w:val="000000"/>
                <w:lang w:eastAsia="en-GB"/>
              </w:rPr>
              <w:t xml:space="preserve"> kVA </w:t>
            </w:r>
            <w:r>
              <w:rPr>
                <w:rFonts w:ascii="Calibri" w:eastAsia="Times New Roman" w:hAnsi="Calibri" w:cs="Calibri"/>
                <w:i/>
                <w:iCs/>
                <w:color w:val="000000"/>
                <w:u w:val="single"/>
                <w:lang w:eastAsia="en-GB"/>
              </w:rPr>
              <w:t>capacity</w:t>
            </w:r>
            <w:r>
              <w:rPr>
                <w:rFonts w:ascii="Calibri" w:eastAsia="Times New Roman" w:hAnsi="Calibri" w:cs="Calibri"/>
                <w:color w:val="000000"/>
                <w:lang w:eastAsia="en-GB"/>
              </w:rPr>
              <w:t>.’</w:t>
            </w:r>
          </w:p>
        </w:tc>
      </w:tr>
      <w:tr w:rsidR="004A2223" w:rsidRPr="00646EBF" w14:paraId="09A5410A" w14:textId="77777777" w:rsidTr="000A563C">
        <w:trPr>
          <w:trHeight w:val="900"/>
        </w:trPr>
        <w:tc>
          <w:tcPr>
            <w:tcW w:w="463" w:type="dxa"/>
            <w:shd w:val="clear" w:color="auto" w:fill="D9E2F3" w:themeFill="accent1" w:themeFillTint="33"/>
          </w:tcPr>
          <w:p w14:paraId="1EE39394" w14:textId="362C0071" w:rsidR="004A2223" w:rsidRPr="00646EBF" w:rsidRDefault="004A2223" w:rsidP="004A222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15</w:t>
            </w:r>
          </w:p>
        </w:tc>
        <w:tc>
          <w:tcPr>
            <w:tcW w:w="0" w:type="auto"/>
            <w:shd w:val="clear" w:color="auto" w:fill="D9E2F3" w:themeFill="accent1" w:themeFillTint="33"/>
          </w:tcPr>
          <w:p w14:paraId="1BA1573B" w14:textId="41FC6CCE" w:rsidR="004A2223"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18 paragraph 15.13</w:t>
            </w:r>
          </w:p>
        </w:tc>
        <w:tc>
          <w:tcPr>
            <w:tcW w:w="1452" w:type="dxa"/>
            <w:shd w:val="clear" w:color="auto" w:fill="D9E2F3" w:themeFill="accent1" w:themeFillTint="33"/>
          </w:tcPr>
          <w:p w14:paraId="179C2A55" w14:textId="3C6F0A55" w:rsidR="004A2223"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NUFs for mixed import-export sites that are generation-dominated</w:t>
            </w:r>
          </w:p>
        </w:tc>
        <w:tc>
          <w:tcPr>
            <w:tcW w:w="1375" w:type="dxa"/>
            <w:shd w:val="clear" w:color="auto" w:fill="D9E2F3" w:themeFill="accent1" w:themeFillTint="33"/>
          </w:tcPr>
          <w:p w14:paraId="5D10C5AF" w14:textId="149B7C38" w:rsidR="004A2223" w:rsidRDefault="0090310B"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Tariff inputs</w:t>
            </w:r>
          </w:p>
        </w:tc>
        <w:tc>
          <w:tcPr>
            <w:tcW w:w="2502" w:type="dxa"/>
            <w:shd w:val="clear" w:color="auto" w:fill="D9E2F3" w:themeFill="accent1" w:themeFillTint="33"/>
          </w:tcPr>
          <w:p w14:paraId="677CBD5D" w14:textId="00A23300" w:rsidR="004A2223" w:rsidRDefault="000F0BD6"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the calculated described in this paragraph is carried out prior to NUFs being input into the model.</w:t>
            </w:r>
          </w:p>
        </w:tc>
        <w:tc>
          <w:tcPr>
            <w:tcW w:w="0" w:type="auto"/>
            <w:shd w:val="clear" w:color="auto" w:fill="000000" w:themeFill="text1"/>
            <w:noWrap/>
          </w:tcPr>
          <w:p w14:paraId="37797D1D" w14:textId="77777777" w:rsidR="004A2223" w:rsidRPr="00646EBF" w:rsidRDefault="004A2223" w:rsidP="004A2223">
            <w:pPr>
              <w:spacing w:after="0" w:line="240" w:lineRule="auto"/>
              <w:rPr>
                <w:rFonts w:ascii="Calibri" w:eastAsia="Times New Roman" w:hAnsi="Calibri" w:cs="Calibri"/>
                <w:color w:val="000000"/>
                <w:lang w:eastAsia="en-GB"/>
              </w:rPr>
            </w:pPr>
          </w:p>
        </w:tc>
        <w:tc>
          <w:tcPr>
            <w:tcW w:w="653" w:type="dxa"/>
            <w:shd w:val="clear" w:color="auto" w:fill="D9E2F3" w:themeFill="accent1" w:themeFillTint="33"/>
          </w:tcPr>
          <w:p w14:paraId="4AC1A3B1" w14:textId="76A83C9B" w:rsidR="004A2223" w:rsidRDefault="00A12FA1"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1471" w:type="dxa"/>
            <w:shd w:val="clear" w:color="auto" w:fill="D9E2F3" w:themeFill="accent1" w:themeFillTint="33"/>
          </w:tcPr>
          <w:p w14:paraId="01B19532" w14:textId="6EB64707" w:rsidR="004A2223" w:rsidRDefault="00931AB8"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 change – point of interface into model is not a matter for the methodology</w:t>
            </w:r>
          </w:p>
        </w:tc>
        <w:tc>
          <w:tcPr>
            <w:tcW w:w="2133" w:type="dxa"/>
            <w:shd w:val="clear" w:color="auto" w:fill="D9E2F3" w:themeFill="accent1" w:themeFillTint="33"/>
          </w:tcPr>
          <w:p w14:paraId="14B5551E" w14:textId="02350EA5" w:rsidR="004A2223" w:rsidRDefault="006633D6"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 Action</w:t>
            </w:r>
          </w:p>
        </w:tc>
        <w:tc>
          <w:tcPr>
            <w:tcW w:w="2613" w:type="dxa"/>
            <w:shd w:val="clear" w:color="auto" w:fill="D9E2F3" w:themeFill="accent1" w:themeFillTint="33"/>
          </w:tcPr>
          <w:p w14:paraId="0B8F0AFD" w14:textId="77777777" w:rsidR="004A2223" w:rsidRDefault="004A2223" w:rsidP="004A2223">
            <w:pPr>
              <w:spacing w:after="0" w:line="240" w:lineRule="auto"/>
              <w:rPr>
                <w:rFonts w:ascii="Calibri" w:eastAsia="Times New Roman" w:hAnsi="Calibri" w:cs="Calibri"/>
                <w:color w:val="000000"/>
                <w:lang w:eastAsia="en-GB"/>
              </w:rPr>
            </w:pPr>
          </w:p>
        </w:tc>
      </w:tr>
      <w:tr w:rsidR="004A2223" w:rsidRPr="00646EBF" w14:paraId="53FBA2A3" w14:textId="77777777" w:rsidTr="000A563C">
        <w:trPr>
          <w:trHeight w:val="900"/>
        </w:trPr>
        <w:tc>
          <w:tcPr>
            <w:tcW w:w="463" w:type="dxa"/>
            <w:shd w:val="clear" w:color="auto" w:fill="D9E2F3" w:themeFill="accent1" w:themeFillTint="33"/>
          </w:tcPr>
          <w:p w14:paraId="23BCC7CB" w14:textId="66538657" w:rsidR="004A2223" w:rsidRDefault="004A2223" w:rsidP="004A222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16</w:t>
            </w:r>
          </w:p>
        </w:tc>
        <w:tc>
          <w:tcPr>
            <w:tcW w:w="0" w:type="auto"/>
            <w:shd w:val="clear" w:color="auto" w:fill="D9E2F3" w:themeFill="accent1" w:themeFillTint="33"/>
          </w:tcPr>
          <w:p w14:paraId="1C498234" w14:textId="69566A69" w:rsidR="004A2223"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18 paragraphs 16.1, 16.10</w:t>
            </w:r>
          </w:p>
        </w:tc>
        <w:tc>
          <w:tcPr>
            <w:tcW w:w="1452" w:type="dxa"/>
            <w:shd w:val="clear" w:color="auto" w:fill="D9E2F3" w:themeFill="accent1" w:themeFillTint="33"/>
          </w:tcPr>
          <w:p w14:paraId="4B14B4FF" w14:textId="5466EE5E" w:rsidR="004A2223"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Generation and transmission charge revenue</w:t>
            </w:r>
          </w:p>
        </w:tc>
        <w:tc>
          <w:tcPr>
            <w:tcW w:w="1375" w:type="dxa"/>
            <w:shd w:val="clear" w:color="auto" w:fill="D9E2F3" w:themeFill="accent1" w:themeFillTint="33"/>
          </w:tcPr>
          <w:p w14:paraId="747065A3" w14:textId="0144E2EC" w:rsidR="004A2223" w:rsidRDefault="0090310B"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Import capacity</w:t>
            </w:r>
          </w:p>
        </w:tc>
        <w:tc>
          <w:tcPr>
            <w:tcW w:w="2502" w:type="dxa"/>
            <w:shd w:val="clear" w:color="auto" w:fill="D9E2F3" w:themeFill="accent1" w:themeFillTint="33"/>
          </w:tcPr>
          <w:p w14:paraId="16F8179A" w14:textId="60EE7A5F" w:rsidR="004A2223" w:rsidRDefault="000F0BD6"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generation revenue should be explicitly deducted from the calculation of the EDCM Demand Revenue Target, whereas that transmission charges should not be included in the overall revenue target and therefore not deducted here.</w:t>
            </w:r>
          </w:p>
        </w:tc>
        <w:tc>
          <w:tcPr>
            <w:tcW w:w="0" w:type="auto"/>
            <w:shd w:val="clear" w:color="auto" w:fill="000000" w:themeFill="text1"/>
            <w:noWrap/>
          </w:tcPr>
          <w:p w14:paraId="46AE2C50" w14:textId="77777777" w:rsidR="004A2223" w:rsidRPr="00646EBF" w:rsidRDefault="004A2223" w:rsidP="004A2223">
            <w:pPr>
              <w:spacing w:after="0" w:line="240" w:lineRule="auto"/>
              <w:rPr>
                <w:rFonts w:ascii="Calibri" w:eastAsia="Times New Roman" w:hAnsi="Calibri" w:cs="Calibri"/>
                <w:color w:val="000000"/>
                <w:lang w:eastAsia="en-GB"/>
              </w:rPr>
            </w:pPr>
          </w:p>
        </w:tc>
        <w:tc>
          <w:tcPr>
            <w:tcW w:w="653" w:type="dxa"/>
            <w:shd w:val="clear" w:color="auto" w:fill="D9E2F3" w:themeFill="accent1" w:themeFillTint="33"/>
          </w:tcPr>
          <w:p w14:paraId="22E6C9D6" w14:textId="3D898D62" w:rsidR="004A2223" w:rsidRDefault="00A12FA1"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1471" w:type="dxa"/>
            <w:shd w:val="clear" w:color="auto" w:fill="D9E2F3" w:themeFill="accent1" w:themeFillTint="33"/>
          </w:tcPr>
          <w:p w14:paraId="0AD9E93E" w14:textId="100398F1" w:rsidR="004A2223" w:rsidRDefault="00931AB8"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 change – legal text is considered sufficiently clear as it stands</w:t>
            </w:r>
          </w:p>
        </w:tc>
        <w:tc>
          <w:tcPr>
            <w:tcW w:w="2133" w:type="dxa"/>
            <w:shd w:val="clear" w:color="auto" w:fill="D9E2F3" w:themeFill="accent1" w:themeFillTint="33"/>
          </w:tcPr>
          <w:p w14:paraId="64D5A279" w14:textId="6EC2AB2A" w:rsidR="004A2223" w:rsidRDefault="006633D6"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 Action</w:t>
            </w:r>
          </w:p>
        </w:tc>
        <w:tc>
          <w:tcPr>
            <w:tcW w:w="2613" w:type="dxa"/>
            <w:shd w:val="clear" w:color="auto" w:fill="D9E2F3" w:themeFill="accent1" w:themeFillTint="33"/>
          </w:tcPr>
          <w:p w14:paraId="72C6E993" w14:textId="77777777" w:rsidR="004A2223" w:rsidRDefault="004A2223" w:rsidP="004A2223">
            <w:pPr>
              <w:spacing w:after="0" w:line="240" w:lineRule="auto"/>
              <w:rPr>
                <w:rFonts w:ascii="Calibri" w:eastAsia="Times New Roman" w:hAnsi="Calibri" w:cs="Calibri"/>
                <w:color w:val="000000"/>
                <w:lang w:eastAsia="en-GB"/>
              </w:rPr>
            </w:pPr>
          </w:p>
        </w:tc>
      </w:tr>
      <w:tr w:rsidR="004A2223" w:rsidRPr="00646EBF" w14:paraId="6410D812" w14:textId="77777777" w:rsidTr="000A563C">
        <w:trPr>
          <w:trHeight w:val="900"/>
        </w:trPr>
        <w:tc>
          <w:tcPr>
            <w:tcW w:w="463" w:type="dxa"/>
            <w:shd w:val="clear" w:color="auto" w:fill="D9E2F3" w:themeFill="accent1" w:themeFillTint="33"/>
          </w:tcPr>
          <w:p w14:paraId="779B3954" w14:textId="494616BB" w:rsidR="004A2223" w:rsidRDefault="004A2223" w:rsidP="004A222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17</w:t>
            </w:r>
          </w:p>
        </w:tc>
        <w:tc>
          <w:tcPr>
            <w:tcW w:w="0" w:type="auto"/>
            <w:shd w:val="clear" w:color="auto" w:fill="D9E2F3" w:themeFill="accent1" w:themeFillTint="33"/>
          </w:tcPr>
          <w:p w14:paraId="18F33DDC" w14:textId="01F4350A" w:rsidR="004A2223"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18 paragraph 17.1, 17.2</w:t>
            </w:r>
          </w:p>
        </w:tc>
        <w:tc>
          <w:tcPr>
            <w:tcW w:w="1452" w:type="dxa"/>
            <w:shd w:val="clear" w:color="auto" w:fill="D9E2F3" w:themeFill="accent1" w:themeFillTint="33"/>
          </w:tcPr>
          <w:p w14:paraId="4698DB97" w14:textId="3E262F09" w:rsidR="004A2223"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Fixed charge calculation</w:t>
            </w:r>
          </w:p>
        </w:tc>
        <w:tc>
          <w:tcPr>
            <w:tcW w:w="1375" w:type="dxa"/>
            <w:shd w:val="clear" w:color="auto" w:fill="D9E2F3" w:themeFill="accent1" w:themeFillTint="33"/>
          </w:tcPr>
          <w:p w14:paraId="712D124F" w14:textId="3CCB3336" w:rsidR="004A2223" w:rsidRDefault="0090310B"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Fixed</w:t>
            </w:r>
          </w:p>
        </w:tc>
        <w:tc>
          <w:tcPr>
            <w:tcW w:w="2502" w:type="dxa"/>
            <w:shd w:val="clear" w:color="auto" w:fill="D9E2F3" w:themeFill="accent1" w:themeFillTint="33"/>
          </w:tcPr>
          <w:p w14:paraId="69245476" w14:textId="12B0C777" w:rsidR="004A2223" w:rsidRDefault="000F0BD6"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The model assumes that the formulae in Schedule 18 paragraph 17.2 can supersede the one for import charges in 17.1, as when the capitalised O&amp;M percentage is </w:t>
            </w:r>
            <w:proofErr w:type="gramStart"/>
            <w:r>
              <w:rPr>
                <w:rFonts w:ascii="Calibri" w:eastAsia="Times New Roman" w:hAnsi="Calibri" w:cs="Calibri"/>
                <w:color w:val="000000"/>
                <w:lang w:eastAsia="en-GB"/>
              </w:rPr>
              <w:t>0%</w:t>
            </w:r>
            <w:proofErr w:type="gramEnd"/>
            <w:r>
              <w:rPr>
                <w:rFonts w:ascii="Calibri" w:eastAsia="Times New Roman" w:hAnsi="Calibri" w:cs="Calibri"/>
                <w:color w:val="000000"/>
                <w:lang w:eastAsia="en-GB"/>
              </w:rPr>
              <w:t xml:space="preserve"> they are equal.</w:t>
            </w:r>
          </w:p>
        </w:tc>
        <w:tc>
          <w:tcPr>
            <w:tcW w:w="0" w:type="auto"/>
            <w:shd w:val="clear" w:color="auto" w:fill="000000" w:themeFill="text1"/>
            <w:noWrap/>
          </w:tcPr>
          <w:p w14:paraId="31C92522" w14:textId="77777777" w:rsidR="004A2223" w:rsidRPr="00646EBF" w:rsidRDefault="004A2223" w:rsidP="004A2223">
            <w:pPr>
              <w:spacing w:after="0" w:line="240" w:lineRule="auto"/>
              <w:rPr>
                <w:rFonts w:ascii="Calibri" w:eastAsia="Times New Roman" w:hAnsi="Calibri" w:cs="Calibri"/>
                <w:color w:val="000000"/>
                <w:lang w:eastAsia="en-GB"/>
              </w:rPr>
            </w:pPr>
          </w:p>
        </w:tc>
        <w:tc>
          <w:tcPr>
            <w:tcW w:w="653" w:type="dxa"/>
            <w:shd w:val="clear" w:color="auto" w:fill="D9E2F3" w:themeFill="accent1" w:themeFillTint="33"/>
          </w:tcPr>
          <w:p w14:paraId="0CA26345" w14:textId="4514477A" w:rsidR="004A2223" w:rsidRDefault="00A12FA1"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1471" w:type="dxa"/>
            <w:shd w:val="clear" w:color="auto" w:fill="D9E2F3" w:themeFill="accent1" w:themeFillTint="33"/>
          </w:tcPr>
          <w:p w14:paraId="4CC70058" w14:textId="3D16F229" w:rsidR="004A2223" w:rsidRDefault="00931AB8"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 change – the legal text states at the end of the first section of para 17.2 ‘the calculation for the import fixed charge in paragraph 17.1 will not apply’, so this is considered explicit in legal text and not a modelling assumption.</w:t>
            </w:r>
          </w:p>
        </w:tc>
        <w:tc>
          <w:tcPr>
            <w:tcW w:w="2133" w:type="dxa"/>
            <w:shd w:val="clear" w:color="auto" w:fill="D9E2F3" w:themeFill="accent1" w:themeFillTint="33"/>
          </w:tcPr>
          <w:p w14:paraId="0965053E" w14:textId="20DD37F3" w:rsidR="004A2223" w:rsidRDefault="006633D6"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 Action</w:t>
            </w:r>
          </w:p>
        </w:tc>
        <w:tc>
          <w:tcPr>
            <w:tcW w:w="2613" w:type="dxa"/>
            <w:shd w:val="clear" w:color="auto" w:fill="D9E2F3" w:themeFill="accent1" w:themeFillTint="33"/>
          </w:tcPr>
          <w:p w14:paraId="0386C3C4" w14:textId="77777777" w:rsidR="004A2223" w:rsidRDefault="004A2223" w:rsidP="004A2223">
            <w:pPr>
              <w:spacing w:after="0" w:line="240" w:lineRule="auto"/>
              <w:rPr>
                <w:rFonts w:ascii="Calibri" w:eastAsia="Times New Roman" w:hAnsi="Calibri" w:cs="Calibri"/>
                <w:color w:val="000000"/>
                <w:lang w:eastAsia="en-GB"/>
              </w:rPr>
            </w:pPr>
          </w:p>
        </w:tc>
      </w:tr>
      <w:tr w:rsidR="004A2223" w:rsidRPr="00646EBF" w14:paraId="68FB0989" w14:textId="77777777" w:rsidTr="000A563C">
        <w:trPr>
          <w:trHeight w:val="900"/>
        </w:trPr>
        <w:tc>
          <w:tcPr>
            <w:tcW w:w="463" w:type="dxa"/>
            <w:shd w:val="clear" w:color="auto" w:fill="D9E2F3" w:themeFill="accent1" w:themeFillTint="33"/>
          </w:tcPr>
          <w:p w14:paraId="753E0845" w14:textId="381B40DB" w:rsidR="004A2223" w:rsidRDefault="004A2223" w:rsidP="004A222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18</w:t>
            </w:r>
          </w:p>
        </w:tc>
        <w:tc>
          <w:tcPr>
            <w:tcW w:w="0" w:type="auto"/>
            <w:shd w:val="clear" w:color="auto" w:fill="D9E2F3" w:themeFill="accent1" w:themeFillTint="33"/>
          </w:tcPr>
          <w:p w14:paraId="67D0482F" w14:textId="3FC9B89E" w:rsidR="004A2223"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18 paragraph 18.4 – 18.8</w:t>
            </w:r>
          </w:p>
        </w:tc>
        <w:tc>
          <w:tcPr>
            <w:tcW w:w="1452" w:type="dxa"/>
            <w:shd w:val="clear" w:color="auto" w:fill="D9E2F3" w:themeFill="accent1" w:themeFillTint="33"/>
          </w:tcPr>
          <w:p w14:paraId="3C6E1C80" w14:textId="1F6CBF21" w:rsidR="004A2223"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Network use factor cap and collar</w:t>
            </w:r>
          </w:p>
        </w:tc>
        <w:tc>
          <w:tcPr>
            <w:tcW w:w="1375" w:type="dxa"/>
            <w:shd w:val="clear" w:color="auto" w:fill="D9E2F3" w:themeFill="accent1" w:themeFillTint="33"/>
          </w:tcPr>
          <w:p w14:paraId="674823C7" w14:textId="0FAF8D20" w:rsidR="004A2223" w:rsidRDefault="0090310B"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General inputs</w:t>
            </w:r>
          </w:p>
        </w:tc>
        <w:tc>
          <w:tcPr>
            <w:tcW w:w="2502" w:type="dxa"/>
            <w:shd w:val="clear" w:color="auto" w:fill="D9E2F3" w:themeFill="accent1" w:themeFillTint="33"/>
          </w:tcPr>
          <w:p w14:paraId="55917BDB" w14:textId="21F21711" w:rsidR="004A2223" w:rsidRDefault="000F0BD6"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The model assumes that this is calculated elsewhere and entered as an input. </w:t>
            </w:r>
          </w:p>
        </w:tc>
        <w:tc>
          <w:tcPr>
            <w:tcW w:w="0" w:type="auto"/>
            <w:shd w:val="clear" w:color="auto" w:fill="000000" w:themeFill="text1"/>
            <w:noWrap/>
          </w:tcPr>
          <w:p w14:paraId="49497658" w14:textId="77777777" w:rsidR="004A2223" w:rsidRPr="00646EBF" w:rsidRDefault="004A2223" w:rsidP="004A2223">
            <w:pPr>
              <w:spacing w:after="0" w:line="240" w:lineRule="auto"/>
              <w:rPr>
                <w:rFonts w:ascii="Calibri" w:eastAsia="Times New Roman" w:hAnsi="Calibri" w:cs="Calibri"/>
                <w:color w:val="000000"/>
                <w:lang w:eastAsia="en-GB"/>
              </w:rPr>
            </w:pPr>
          </w:p>
        </w:tc>
        <w:tc>
          <w:tcPr>
            <w:tcW w:w="653" w:type="dxa"/>
            <w:shd w:val="clear" w:color="auto" w:fill="D9E2F3" w:themeFill="accent1" w:themeFillTint="33"/>
          </w:tcPr>
          <w:p w14:paraId="224DFC7D" w14:textId="40855064" w:rsidR="004A2223" w:rsidRDefault="00A12FA1"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1471" w:type="dxa"/>
            <w:shd w:val="clear" w:color="auto" w:fill="D9E2F3" w:themeFill="accent1" w:themeFillTint="33"/>
          </w:tcPr>
          <w:p w14:paraId="24DC1E2E" w14:textId="3D1CC115" w:rsidR="004A2223" w:rsidRDefault="00931AB8"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 change – point of interface into model is not a matter for the methodology</w:t>
            </w:r>
          </w:p>
        </w:tc>
        <w:tc>
          <w:tcPr>
            <w:tcW w:w="2133" w:type="dxa"/>
            <w:shd w:val="clear" w:color="auto" w:fill="D9E2F3" w:themeFill="accent1" w:themeFillTint="33"/>
          </w:tcPr>
          <w:p w14:paraId="2B7E8B3A" w14:textId="79EDE80B" w:rsidR="004A2223" w:rsidRDefault="006633D6"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 Action</w:t>
            </w:r>
          </w:p>
        </w:tc>
        <w:tc>
          <w:tcPr>
            <w:tcW w:w="2613" w:type="dxa"/>
            <w:shd w:val="clear" w:color="auto" w:fill="D9E2F3" w:themeFill="accent1" w:themeFillTint="33"/>
          </w:tcPr>
          <w:p w14:paraId="30AFF29C" w14:textId="77777777" w:rsidR="004A2223" w:rsidRDefault="004A2223" w:rsidP="004A2223">
            <w:pPr>
              <w:spacing w:after="0" w:line="240" w:lineRule="auto"/>
              <w:rPr>
                <w:rFonts w:ascii="Calibri" w:eastAsia="Times New Roman" w:hAnsi="Calibri" w:cs="Calibri"/>
                <w:color w:val="000000"/>
                <w:lang w:eastAsia="en-GB"/>
              </w:rPr>
            </w:pPr>
          </w:p>
        </w:tc>
      </w:tr>
      <w:tr w:rsidR="004A2223" w:rsidRPr="00646EBF" w14:paraId="7714A24D" w14:textId="77777777" w:rsidTr="000A563C">
        <w:trPr>
          <w:trHeight w:val="900"/>
        </w:trPr>
        <w:tc>
          <w:tcPr>
            <w:tcW w:w="463" w:type="dxa"/>
            <w:shd w:val="clear" w:color="auto" w:fill="D9E2F3" w:themeFill="accent1" w:themeFillTint="33"/>
          </w:tcPr>
          <w:p w14:paraId="01A9B5D3" w14:textId="03BD9F4E" w:rsidR="004A2223" w:rsidRDefault="004A2223" w:rsidP="004A222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19</w:t>
            </w:r>
          </w:p>
        </w:tc>
        <w:tc>
          <w:tcPr>
            <w:tcW w:w="0" w:type="auto"/>
            <w:shd w:val="clear" w:color="auto" w:fill="D9E2F3" w:themeFill="accent1" w:themeFillTint="33"/>
          </w:tcPr>
          <w:p w14:paraId="66B10617" w14:textId="56EF97E6" w:rsidR="004A2223"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18 paragraph 18.16</w:t>
            </w:r>
          </w:p>
        </w:tc>
        <w:tc>
          <w:tcPr>
            <w:tcW w:w="1452" w:type="dxa"/>
            <w:shd w:val="clear" w:color="auto" w:fill="D9E2F3" w:themeFill="accent1" w:themeFillTint="33"/>
          </w:tcPr>
          <w:p w14:paraId="3043812A" w14:textId="07654190" w:rsidR="004A2223"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Charging rate for indirect costs</w:t>
            </w:r>
          </w:p>
        </w:tc>
        <w:tc>
          <w:tcPr>
            <w:tcW w:w="1375" w:type="dxa"/>
            <w:shd w:val="clear" w:color="auto" w:fill="D9E2F3" w:themeFill="accent1" w:themeFillTint="33"/>
          </w:tcPr>
          <w:p w14:paraId="28BF0146" w14:textId="42399DE3" w:rsidR="004A2223" w:rsidRDefault="0090310B"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Import capacity</w:t>
            </w:r>
          </w:p>
        </w:tc>
        <w:tc>
          <w:tcPr>
            <w:tcW w:w="2502" w:type="dxa"/>
            <w:shd w:val="clear" w:color="auto" w:fill="D9E2F3" w:themeFill="accent1" w:themeFillTint="33"/>
          </w:tcPr>
          <w:p w14:paraId="42A0AC2D" w14:textId="062A7100" w:rsidR="004A2223" w:rsidRDefault="000F0BD6"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The model assumes that the reference to “for each </w:t>
            </w:r>
            <w:proofErr w:type="spellStart"/>
            <w:r>
              <w:rPr>
                <w:rFonts w:ascii="Calibri" w:eastAsia="Times New Roman" w:hAnsi="Calibri" w:cs="Calibri"/>
                <w:color w:val="000000"/>
                <w:lang w:eastAsia="en-GB"/>
              </w:rPr>
              <w:t>connectee</w:t>
            </w:r>
            <w:proofErr w:type="spellEnd"/>
            <w:r>
              <w:rPr>
                <w:rFonts w:ascii="Calibri" w:eastAsia="Times New Roman" w:hAnsi="Calibri" w:cs="Calibri"/>
                <w:color w:val="000000"/>
                <w:lang w:eastAsia="en-GB"/>
              </w:rPr>
              <w:t>” is incorrect and that this is fact is a single rate across all connectees.</w:t>
            </w:r>
          </w:p>
        </w:tc>
        <w:tc>
          <w:tcPr>
            <w:tcW w:w="0" w:type="auto"/>
            <w:shd w:val="clear" w:color="auto" w:fill="000000" w:themeFill="text1"/>
            <w:noWrap/>
          </w:tcPr>
          <w:p w14:paraId="28FA1AB5" w14:textId="77777777" w:rsidR="004A2223" w:rsidRPr="00646EBF" w:rsidRDefault="004A2223" w:rsidP="004A2223">
            <w:pPr>
              <w:spacing w:after="0" w:line="240" w:lineRule="auto"/>
              <w:rPr>
                <w:rFonts w:ascii="Calibri" w:eastAsia="Times New Roman" w:hAnsi="Calibri" w:cs="Calibri"/>
                <w:color w:val="000000"/>
                <w:lang w:eastAsia="en-GB"/>
              </w:rPr>
            </w:pPr>
          </w:p>
        </w:tc>
        <w:tc>
          <w:tcPr>
            <w:tcW w:w="653" w:type="dxa"/>
            <w:shd w:val="clear" w:color="auto" w:fill="D9E2F3" w:themeFill="accent1" w:themeFillTint="33"/>
          </w:tcPr>
          <w:p w14:paraId="1DDF5BDC" w14:textId="200A1D3B" w:rsidR="004A2223" w:rsidRDefault="00A12FA1"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1</w:t>
            </w:r>
          </w:p>
        </w:tc>
        <w:tc>
          <w:tcPr>
            <w:tcW w:w="1471" w:type="dxa"/>
            <w:shd w:val="clear" w:color="auto" w:fill="D9E2F3" w:themeFill="accent1" w:themeFillTint="33"/>
          </w:tcPr>
          <w:p w14:paraId="1CD3D30D" w14:textId="3190D1DE" w:rsidR="004A2223" w:rsidRDefault="00931AB8"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The model has historically been inconsistent with the legal text. So arguably part two in that we are just aligning legal text to model. But </w:t>
            </w:r>
            <w:proofErr w:type="gramStart"/>
            <w:r>
              <w:rPr>
                <w:rFonts w:ascii="Calibri" w:eastAsia="Times New Roman" w:hAnsi="Calibri" w:cs="Calibri"/>
                <w:color w:val="000000"/>
                <w:lang w:eastAsia="en-GB"/>
              </w:rPr>
              <w:t>also</w:t>
            </w:r>
            <w:proofErr w:type="gramEnd"/>
            <w:r>
              <w:rPr>
                <w:rFonts w:ascii="Calibri" w:eastAsia="Times New Roman" w:hAnsi="Calibri" w:cs="Calibri"/>
                <w:color w:val="000000"/>
                <w:lang w:eastAsia="en-GB"/>
              </w:rPr>
              <w:t xml:space="preserve"> arguable part one as, if the model were aligned to the legal text previously, this would have an impact on charges. </w:t>
            </w:r>
          </w:p>
        </w:tc>
        <w:tc>
          <w:tcPr>
            <w:tcW w:w="2133" w:type="dxa"/>
            <w:shd w:val="clear" w:color="auto" w:fill="D9E2F3" w:themeFill="accent1" w:themeFillTint="33"/>
          </w:tcPr>
          <w:p w14:paraId="0554622F" w14:textId="6D556890" w:rsidR="004A2223" w:rsidRDefault="006633D6"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and FCP) – Legal text and model mis-aligned</w:t>
            </w:r>
          </w:p>
        </w:tc>
        <w:tc>
          <w:tcPr>
            <w:tcW w:w="2613" w:type="dxa"/>
            <w:shd w:val="clear" w:color="auto" w:fill="D9E2F3" w:themeFill="accent1" w:themeFillTint="33"/>
          </w:tcPr>
          <w:p w14:paraId="7035D077" w14:textId="77777777" w:rsidR="004A2223" w:rsidRDefault="00807DAB"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Amend para 18.16:</w:t>
            </w:r>
          </w:p>
          <w:p w14:paraId="11474AFE" w14:textId="2E3AA4B7" w:rsidR="00807DAB" w:rsidRPr="00807DAB" w:rsidRDefault="00807DAB"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‘A p/kVA/day charging rate for indirect costs </w:t>
            </w:r>
            <w:r>
              <w:rPr>
                <w:rFonts w:ascii="Calibri" w:eastAsia="Times New Roman" w:hAnsi="Calibri" w:cs="Calibri"/>
                <w:i/>
                <w:iCs/>
                <w:color w:val="000000"/>
                <w:u w:val="single"/>
                <w:lang w:eastAsia="en-GB"/>
              </w:rPr>
              <w:t>[for each EDCM Connectee]</w:t>
            </w:r>
            <w:r>
              <w:rPr>
                <w:rFonts w:ascii="Calibri" w:eastAsia="Times New Roman" w:hAnsi="Calibri" w:cs="Calibri"/>
                <w:color w:val="000000"/>
                <w:lang w:eastAsia="en-GB"/>
              </w:rPr>
              <w:t xml:space="preserve"> is calculated on the basis of historical demand at the time of the DNO Party’s peak and 50 per cent of Maximum Import Capacity of </w:t>
            </w:r>
            <w:r>
              <w:rPr>
                <w:rFonts w:ascii="Calibri" w:eastAsia="Times New Roman" w:hAnsi="Calibri" w:cs="Calibri"/>
                <w:i/>
                <w:iCs/>
                <w:color w:val="000000"/>
                <w:u w:val="single"/>
                <w:lang w:eastAsia="en-GB"/>
              </w:rPr>
              <w:t xml:space="preserve">[that]each </w:t>
            </w:r>
            <w:r>
              <w:rPr>
                <w:rFonts w:ascii="Calibri" w:eastAsia="Times New Roman" w:hAnsi="Calibri" w:cs="Calibri"/>
                <w:color w:val="000000"/>
                <w:lang w:eastAsia="en-GB"/>
              </w:rPr>
              <w:t>Connectee’</w:t>
            </w:r>
          </w:p>
        </w:tc>
      </w:tr>
      <w:tr w:rsidR="004A2223" w:rsidRPr="00646EBF" w14:paraId="1B74D14F" w14:textId="77777777" w:rsidTr="00840C3D">
        <w:trPr>
          <w:trHeight w:val="900"/>
        </w:trPr>
        <w:tc>
          <w:tcPr>
            <w:tcW w:w="463" w:type="dxa"/>
            <w:shd w:val="clear" w:color="auto" w:fill="D9E2F3" w:themeFill="accent1" w:themeFillTint="33"/>
          </w:tcPr>
          <w:p w14:paraId="6DA34E5E" w14:textId="228E5943" w:rsidR="004A2223" w:rsidRDefault="004A2223" w:rsidP="004A222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20</w:t>
            </w:r>
          </w:p>
        </w:tc>
        <w:tc>
          <w:tcPr>
            <w:tcW w:w="0" w:type="auto"/>
            <w:shd w:val="clear" w:color="auto" w:fill="D9E2F3" w:themeFill="accent1" w:themeFillTint="33"/>
          </w:tcPr>
          <w:p w14:paraId="2D0269A8" w14:textId="1A7A6866" w:rsidR="004A2223"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18 paragraph 18.17</w:t>
            </w:r>
          </w:p>
        </w:tc>
        <w:tc>
          <w:tcPr>
            <w:tcW w:w="1452" w:type="dxa"/>
            <w:shd w:val="clear" w:color="auto" w:fill="D9E2F3" w:themeFill="accent1" w:themeFillTint="33"/>
          </w:tcPr>
          <w:p w14:paraId="509C0F19" w14:textId="7884C96A" w:rsidR="004A2223"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Multiplication by LDNO factor</w:t>
            </w:r>
          </w:p>
        </w:tc>
        <w:tc>
          <w:tcPr>
            <w:tcW w:w="1375" w:type="dxa"/>
            <w:shd w:val="clear" w:color="auto" w:fill="D9E2F3" w:themeFill="accent1" w:themeFillTint="33"/>
          </w:tcPr>
          <w:p w14:paraId="0DFC0D59" w14:textId="65ABAF3A" w:rsidR="004A2223" w:rsidRDefault="0090310B"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EDCM LRIC; Import Capacity </w:t>
            </w:r>
          </w:p>
        </w:tc>
        <w:tc>
          <w:tcPr>
            <w:tcW w:w="2502" w:type="dxa"/>
            <w:shd w:val="clear" w:color="auto" w:fill="D9E2F3" w:themeFill="accent1" w:themeFillTint="33"/>
          </w:tcPr>
          <w:p w14:paraId="1998CBF4" w14:textId="510D7586" w:rsidR="004A2223" w:rsidRDefault="000F0BD6"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the multiplication by the LDNO factor is the same as the scaling down by 50% as described in Schedule 18 paragraph 26.11. Therefore, this multiplication is conditional on whether or not residual revenue is negative.</w:t>
            </w:r>
          </w:p>
        </w:tc>
        <w:tc>
          <w:tcPr>
            <w:tcW w:w="0" w:type="auto"/>
            <w:shd w:val="clear" w:color="auto" w:fill="000000" w:themeFill="text1"/>
            <w:noWrap/>
          </w:tcPr>
          <w:p w14:paraId="15D50119" w14:textId="77777777" w:rsidR="004A2223" w:rsidRPr="00646EBF" w:rsidRDefault="004A2223" w:rsidP="004A2223">
            <w:pPr>
              <w:spacing w:after="0" w:line="240" w:lineRule="auto"/>
              <w:rPr>
                <w:rFonts w:ascii="Calibri" w:eastAsia="Times New Roman" w:hAnsi="Calibri" w:cs="Calibri"/>
                <w:color w:val="000000"/>
                <w:lang w:eastAsia="en-GB"/>
              </w:rPr>
            </w:pPr>
          </w:p>
        </w:tc>
        <w:tc>
          <w:tcPr>
            <w:tcW w:w="653" w:type="dxa"/>
            <w:shd w:val="clear" w:color="auto" w:fill="D9E2F3" w:themeFill="accent1" w:themeFillTint="33"/>
          </w:tcPr>
          <w:p w14:paraId="2797CB10" w14:textId="4A715EC1" w:rsidR="004A2223" w:rsidRDefault="00A12FA1"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1</w:t>
            </w:r>
          </w:p>
        </w:tc>
        <w:tc>
          <w:tcPr>
            <w:tcW w:w="1471" w:type="dxa"/>
            <w:shd w:val="clear" w:color="auto" w:fill="D9E2F3" w:themeFill="accent1" w:themeFillTint="33"/>
          </w:tcPr>
          <w:p w14:paraId="0555FA62" w14:textId="295BD879" w:rsidR="004A2223" w:rsidRDefault="00931AB8"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legal text has historically been both internally inconsistent between paragraph 26.11 (which should only apply if residual is negative) contradicts paragraph 18.17 (which applies the 0.5 reduction regardless of residual) and 18.21 (which does not apply the 0.5 reduction at all). The model has been aligned with 26.11 but not 18.17 and 18.21</w:t>
            </w:r>
          </w:p>
        </w:tc>
        <w:tc>
          <w:tcPr>
            <w:tcW w:w="2133" w:type="dxa"/>
            <w:shd w:val="clear" w:color="auto" w:fill="D9E2F3" w:themeFill="accent1" w:themeFillTint="33"/>
          </w:tcPr>
          <w:p w14:paraId="4E7345B6" w14:textId="1CC324F8" w:rsidR="004A2223" w:rsidRDefault="006633D6"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and FCP) – Legal text and model mis-aligned</w:t>
            </w:r>
          </w:p>
        </w:tc>
        <w:tc>
          <w:tcPr>
            <w:tcW w:w="2613" w:type="dxa"/>
            <w:shd w:val="clear" w:color="auto" w:fill="D9E2F3" w:themeFill="accent1" w:themeFillTint="33"/>
          </w:tcPr>
          <w:p w14:paraId="6A691573" w14:textId="77777777" w:rsidR="004A2223" w:rsidRDefault="00672FF4" w:rsidP="004A2223">
            <w:pPr>
              <w:spacing w:after="0" w:line="240" w:lineRule="auto"/>
              <w:rPr>
                <w:rFonts w:ascii="Calibri" w:eastAsia="Times New Roman" w:hAnsi="Calibri" w:cs="Calibri"/>
                <w:color w:val="000000"/>
                <w:lang w:eastAsia="en-GB"/>
              </w:rPr>
            </w:pPr>
            <w:r>
              <w:rPr>
                <w:rFonts w:ascii="Calibri" w:eastAsia="Times New Roman" w:hAnsi="Calibri" w:cs="Calibri"/>
                <w:b/>
                <w:bCs/>
                <w:color w:val="000000"/>
                <w:lang w:eastAsia="en-GB"/>
              </w:rPr>
              <w:t>Quick fix:</w:t>
            </w:r>
          </w:p>
          <w:p w14:paraId="28674994" w14:textId="77777777" w:rsidR="00672FF4" w:rsidRDefault="00672FF4"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Amend definitions under para 18.16 to maintain existing assumption: </w:t>
            </w:r>
          </w:p>
          <w:p w14:paraId="2268FEED" w14:textId="77777777" w:rsidR="00672FF4" w:rsidRDefault="00672FF4"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LDNO factor takes the value 0.5 if the EDCM Connectee is connected to an IDNO Party’s network </w:t>
            </w:r>
            <w:r>
              <w:rPr>
                <w:rFonts w:ascii="Calibri" w:eastAsia="Times New Roman" w:hAnsi="Calibri" w:cs="Calibri"/>
                <w:i/>
                <w:iCs/>
                <w:color w:val="000000"/>
                <w:u w:val="single"/>
                <w:lang w:eastAsia="en-GB"/>
              </w:rPr>
              <w:t xml:space="preserve">and residual revenue contribution rate as defined in paragraph 16.6 is positive, </w:t>
            </w:r>
            <w:r>
              <w:rPr>
                <w:rFonts w:ascii="Calibri" w:eastAsia="Times New Roman" w:hAnsi="Calibri" w:cs="Calibri"/>
                <w:color w:val="000000"/>
                <w:lang w:eastAsia="en-GB"/>
              </w:rPr>
              <w:t>and 1 otherwise.</w:t>
            </w:r>
          </w:p>
          <w:p w14:paraId="2E582646" w14:textId="77777777" w:rsidR="00672FF4" w:rsidRDefault="00672FF4"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Amend definitions under para 18.17 to maintain existing assumption:</w:t>
            </w:r>
          </w:p>
          <w:p w14:paraId="56A171C6" w14:textId="77777777" w:rsidR="00672FF4" w:rsidRDefault="00F46BA7"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LDNO factor takes the value 0.5 if the EDCM Connectee is connected to an IDNO Party’s network </w:t>
            </w:r>
            <w:r>
              <w:rPr>
                <w:rFonts w:ascii="Calibri" w:eastAsia="Times New Roman" w:hAnsi="Calibri" w:cs="Calibri"/>
                <w:i/>
                <w:iCs/>
                <w:color w:val="000000"/>
                <w:u w:val="single"/>
                <w:lang w:eastAsia="en-GB"/>
              </w:rPr>
              <w:t xml:space="preserve">and residual revenue contribution rate as defined in paragraph 16.6 is positive, </w:t>
            </w:r>
            <w:r>
              <w:rPr>
                <w:rFonts w:ascii="Calibri" w:eastAsia="Times New Roman" w:hAnsi="Calibri" w:cs="Calibri"/>
                <w:color w:val="000000"/>
                <w:lang w:eastAsia="en-GB"/>
              </w:rPr>
              <w:t>and 1 otherwise.</w:t>
            </w:r>
          </w:p>
          <w:p w14:paraId="3C579BF9" w14:textId="77777777" w:rsidR="00F46BA7" w:rsidRDefault="00F46BA7"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Amend definitions under para 18.20:</w:t>
            </w:r>
          </w:p>
          <w:p w14:paraId="0593F24D" w14:textId="77777777" w:rsidR="00F46BA7" w:rsidRDefault="00F46BA7"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Volume for scaling is calculated as the sum of (0.5 + coincidence </w:t>
            </w:r>
            <w:proofErr w:type="gramStart"/>
            <w:r>
              <w:rPr>
                <w:rFonts w:ascii="Calibri" w:eastAsia="Times New Roman" w:hAnsi="Calibri" w:cs="Calibri"/>
                <w:color w:val="000000"/>
                <w:lang w:eastAsia="en-GB"/>
              </w:rPr>
              <w:t>factor)*</w:t>
            </w:r>
            <w:proofErr w:type="gramEnd"/>
            <w:r>
              <w:rPr>
                <w:rFonts w:ascii="Calibri" w:eastAsia="Times New Roman" w:hAnsi="Calibri" w:cs="Calibri"/>
                <w:color w:val="000000"/>
                <w:lang w:eastAsia="en-GB"/>
              </w:rPr>
              <w:t>import capacity</w:t>
            </w:r>
            <w:r>
              <w:rPr>
                <w:rFonts w:ascii="Calibri" w:eastAsia="Times New Roman" w:hAnsi="Calibri" w:cs="Calibri"/>
                <w:i/>
                <w:iCs/>
                <w:color w:val="000000"/>
                <w:u w:val="single"/>
                <w:lang w:eastAsia="en-GB"/>
              </w:rPr>
              <w:t xml:space="preserve">*LDNO Factor LDNO factor takes the </w:t>
            </w:r>
            <w:r>
              <w:rPr>
                <w:rFonts w:ascii="Calibri" w:eastAsia="Times New Roman" w:hAnsi="Calibri" w:cs="Calibri"/>
                <w:i/>
                <w:iCs/>
                <w:color w:val="000000"/>
                <w:u w:val="single"/>
                <w:lang w:eastAsia="en-GB"/>
              </w:rPr>
              <w:lastRenderedPageBreak/>
              <w:t>value</w:t>
            </w:r>
            <w:r w:rsidR="000424CC">
              <w:rPr>
                <w:rFonts w:ascii="Calibri" w:eastAsia="Times New Roman" w:hAnsi="Calibri" w:cs="Calibri"/>
                <w:i/>
                <w:iCs/>
                <w:color w:val="000000"/>
                <w:u w:val="single"/>
                <w:lang w:eastAsia="en-GB"/>
              </w:rPr>
              <w:t xml:space="preserve"> 0.5 if the EDCM Connectee is connected to an IDNO Party’s network and residual revenue contribution rate as defined in paragraph 16.6 is positive, and 1 otherwise.</w:t>
            </w:r>
          </w:p>
          <w:p w14:paraId="5EA25692" w14:textId="77777777" w:rsidR="000424CC" w:rsidRDefault="000424CC"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Amend formulae and add definition to 18.21:</w:t>
            </w:r>
          </w:p>
          <w:p w14:paraId="18747262" w14:textId="77777777" w:rsidR="000424CC" w:rsidRDefault="000424CC" w:rsidP="004A2223">
            <w:pPr>
              <w:spacing w:after="0" w:line="240" w:lineRule="auto"/>
              <w:rPr>
                <w:rFonts w:ascii="Calibri" w:eastAsia="Times New Roman" w:hAnsi="Calibri" w:cs="Calibri"/>
                <w:i/>
                <w:iCs/>
                <w:color w:val="000000"/>
                <w:u w:val="single"/>
                <w:lang w:eastAsia="en-GB"/>
              </w:rPr>
            </w:pPr>
            <w:r>
              <w:rPr>
                <w:rFonts w:ascii="Calibri" w:eastAsia="Times New Roman" w:hAnsi="Calibri" w:cs="Calibri"/>
                <w:color w:val="000000"/>
                <w:lang w:eastAsia="en-GB"/>
              </w:rPr>
              <w:t xml:space="preserve">Import capacity based fixed adder in p/kVA/day = Fixed adder*(0.5+coincidence factor) </w:t>
            </w:r>
            <w:r>
              <w:rPr>
                <w:rFonts w:ascii="Calibri" w:eastAsia="Times New Roman" w:hAnsi="Calibri" w:cs="Calibri"/>
                <w:i/>
                <w:iCs/>
                <w:color w:val="000000"/>
                <w:u w:val="single"/>
                <w:lang w:eastAsia="en-GB"/>
              </w:rPr>
              <w:t xml:space="preserve">*LDNO Factor </w:t>
            </w:r>
          </w:p>
          <w:p w14:paraId="1C08204D" w14:textId="77777777" w:rsidR="000424CC" w:rsidRDefault="000424CC" w:rsidP="004A2223">
            <w:pPr>
              <w:spacing w:after="0" w:line="240" w:lineRule="auto"/>
              <w:rPr>
                <w:rFonts w:ascii="Calibri" w:eastAsia="Times New Roman" w:hAnsi="Calibri" w:cs="Calibri"/>
                <w:i/>
                <w:iCs/>
                <w:color w:val="000000"/>
                <w:u w:val="single"/>
                <w:lang w:eastAsia="en-GB"/>
              </w:rPr>
            </w:pPr>
            <w:r>
              <w:rPr>
                <w:rFonts w:ascii="Calibri" w:eastAsia="Times New Roman" w:hAnsi="Calibri" w:cs="Calibri"/>
                <w:i/>
                <w:iCs/>
                <w:color w:val="000000"/>
                <w:u w:val="single"/>
                <w:lang w:eastAsia="en-GB"/>
              </w:rPr>
              <w:t>LDNO Factor takes the value 0.5 if the EDCM Connectee is connected to an IDNO Party’s network and residual revenue contributed rate as defined in paragraph 16.6 is positive, and 1 otherwise.</w:t>
            </w:r>
          </w:p>
          <w:p w14:paraId="74EC123A" w14:textId="77777777" w:rsidR="000424CC" w:rsidRDefault="000424CC"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Amend paragraph 26.11:</w:t>
            </w:r>
          </w:p>
          <w:p w14:paraId="5E92457F" w14:textId="77777777" w:rsidR="000424CC" w:rsidRPr="00840C3D" w:rsidRDefault="000424CC" w:rsidP="004A2223">
            <w:pPr>
              <w:spacing w:after="0" w:line="240" w:lineRule="auto"/>
              <w:rPr>
                <w:rFonts w:ascii="Calibri" w:eastAsia="Times New Roman" w:hAnsi="Calibri" w:cs="Calibri"/>
                <w:i/>
                <w:iCs/>
                <w:color w:val="000000"/>
                <w:u w:val="single"/>
                <w:lang w:eastAsia="en-GB"/>
              </w:rPr>
            </w:pPr>
            <w:r>
              <w:rPr>
                <w:rFonts w:ascii="Calibri" w:eastAsia="Times New Roman" w:hAnsi="Calibri" w:cs="Calibri"/>
                <w:color w:val="000000"/>
                <w:lang w:eastAsia="en-GB"/>
              </w:rPr>
              <w:t>‘</w:t>
            </w:r>
            <w:r>
              <w:rPr>
                <w:rFonts w:ascii="Calibri" w:eastAsia="Times New Roman" w:hAnsi="Calibri" w:cs="Calibri"/>
                <w:i/>
                <w:iCs/>
                <w:color w:val="000000"/>
                <w:u w:val="single"/>
                <w:lang w:eastAsia="en-GB"/>
              </w:rPr>
              <w:t xml:space="preserve">…would be scaled down by a factor of 50 per cent, however, the scaling </w:t>
            </w:r>
            <w:r w:rsidRPr="00840C3D">
              <w:rPr>
                <w:rFonts w:ascii="Calibri" w:eastAsia="Times New Roman" w:hAnsi="Calibri" w:cs="Calibri"/>
                <w:i/>
                <w:iCs/>
                <w:color w:val="000000"/>
                <w:u w:val="single"/>
                <w:lang w:eastAsia="en-GB"/>
              </w:rPr>
              <w:t xml:space="preserve">[down will not apply where the residual revenue is negative] will only apply where the residual revenue </w:t>
            </w:r>
            <w:r w:rsidRPr="00840C3D">
              <w:rPr>
                <w:rFonts w:ascii="Calibri" w:eastAsia="Times New Roman" w:hAnsi="Calibri" w:cs="Calibri"/>
                <w:i/>
                <w:iCs/>
                <w:color w:val="000000"/>
                <w:u w:val="single"/>
                <w:lang w:eastAsia="en-GB"/>
              </w:rPr>
              <w:lastRenderedPageBreak/>
              <w:t>contribution rate as defined in paragraph 16.6 is positive.</w:t>
            </w:r>
          </w:p>
          <w:p w14:paraId="14EC6CFB" w14:textId="77777777" w:rsidR="000424CC" w:rsidRDefault="000424CC" w:rsidP="004A2223">
            <w:pPr>
              <w:spacing w:after="0" w:line="240" w:lineRule="auto"/>
              <w:rPr>
                <w:rFonts w:ascii="Calibri" w:eastAsia="Times New Roman" w:hAnsi="Calibri" w:cs="Calibri"/>
                <w:b/>
                <w:bCs/>
                <w:color w:val="000000"/>
                <w:lang w:eastAsia="en-GB"/>
              </w:rPr>
            </w:pPr>
            <w:commentRangeStart w:id="0"/>
            <w:r>
              <w:rPr>
                <w:rFonts w:ascii="Calibri" w:eastAsia="Times New Roman" w:hAnsi="Calibri" w:cs="Calibri"/>
                <w:b/>
                <w:bCs/>
                <w:color w:val="000000"/>
                <w:lang w:eastAsia="en-GB"/>
              </w:rPr>
              <w:t>For discussion:</w:t>
            </w:r>
          </w:p>
          <w:p w14:paraId="3746353A" w14:textId="48D880E7" w:rsidR="000424CC" w:rsidRPr="000424CC" w:rsidRDefault="000424CC"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Is this the correct approach? It is logical that the residual charging application is not scaled down by 0.5 when the residual is negative (as this would result in an LDNO </w:t>
            </w:r>
            <w:proofErr w:type="spellStart"/>
            <w:r>
              <w:rPr>
                <w:rFonts w:ascii="Calibri" w:eastAsia="Times New Roman" w:hAnsi="Calibri" w:cs="Calibri"/>
                <w:color w:val="000000"/>
                <w:lang w:eastAsia="en-GB"/>
              </w:rPr>
              <w:t>connectee</w:t>
            </w:r>
            <w:proofErr w:type="spellEnd"/>
            <w:r>
              <w:rPr>
                <w:rFonts w:ascii="Calibri" w:eastAsia="Times New Roman" w:hAnsi="Calibri" w:cs="Calibri"/>
                <w:color w:val="000000"/>
                <w:lang w:eastAsia="en-GB"/>
              </w:rPr>
              <w:t xml:space="preserve"> paying more than an equivalent DNO </w:t>
            </w:r>
            <w:proofErr w:type="spellStart"/>
            <w:r>
              <w:rPr>
                <w:rFonts w:ascii="Calibri" w:eastAsia="Times New Roman" w:hAnsi="Calibri" w:cs="Calibri"/>
                <w:color w:val="000000"/>
                <w:lang w:eastAsia="en-GB"/>
              </w:rPr>
              <w:t>connectee</w:t>
            </w:r>
            <w:proofErr w:type="spellEnd"/>
            <w:r>
              <w:rPr>
                <w:rFonts w:ascii="Calibri" w:eastAsia="Times New Roman" w:hAnsi="Calibri" w:cs="Calibri"/>
                <w:color w:val="000000"/>
                <w:lang w:eastAsia="en-GB"/>
              </w:rPr>
              <w:t xml:space="preserve">. But residual revenue being negative should not impact an LDNO </w:t>
            </w:r>
            <w:proofErr w:type="spellStart"/>
            <w:r>
              <w:rPr>
                <w:rFonts w:ascii="Calibri" w:eastAsia="Times New Roman" w:hAnsi="Calibri" w:cs="Calibri"/>
                <w:color w:val="000000"/>
                <w:lang w:eastAsia="en-GB"/>
              </w:rPr>
              <w:t>connectee’s</w:t>
            </w:r>
            <w:proofErr w:type="spellEnd"/>
            <w:r>
              <w:rPr>
                <w:rFonts w:ascii="Calibri" w:eastAsia="Times New Roman" w:hAnsi="Calibri" w:cs="Calibri"/>
                <w:color w:val="000000"/>
                <w:lang w:eastAsia="en-GB"/>
              </w:rPr>
              <w:t xml:space="preserve"> contribution to indirect costs, and only does so because…</w:t>
            </w:r>
            <w:commentRangeEnd w:id="0"/>
            <w:r>
              <w:rPr>
                <w:rStyle w:val="CommentReference"/>
              </w:rPr>
              <w:commentReference w:id="0"/>
            </w:r>
          </w:p>
        </w:tc>
      </w:tr>
      <w:tr w:rsidR="004A2223" w:rsidRPr="00646EBF" w14:paraId="2DBC1BDF" w14:textId="77777777" w:rsidTr="00544C61">
        <w:trPr>
          <w:trHeight w:val="900"/>
        </w:trPr>
        <w:tc>
          <w:tcPr>
            <w:tcW w:w="463" w:type="dxa"/>
            <w:shd w:val="clear" w:color="auto" w:fill="D9E2F3" w:themeFill="accent1" w:themeFillTint="33"/>
          </w:tcPr>
          <w:p w14:paraId="6B8E7201" w14:textId="734909D8" w:rsidR="004A2223" w:rsidRDefault="004A2223" w:rsidP="004A222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21</w:t>
            </w:r>
          </w:p>
        </w:tc>
        <w:tc>
          <w:tcPr>
            <w:tcW w:w="0" w:type="auto"/>
            <w:shd w:val="clear" w:color="auto" w:fill="D9E2F3" w:themeFill="accent1" w:themeFillTint="33"/>
          </w:tcPr>
          <w:p w14:paraId="52B873F1" w14:textId="35F9F184" w:rsidR="004A2223"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18 paragraph 18.20</w:t>
            </w:r>
          </w:p>
        </w:tc>
        <w:tc>
          <w:tcPr>
            <w:tcW w:w="1452" w:type="dxa"/>
            <w:shd w:val="clear" w:color="auto" w:fill="D9E2F3" w:themeFill="accent1" w:themeFillTint="33"/>
          </w:tcPr>
          <w:p w14:paraId="0944CDD4" w14:textId="744B47D2" w:rsidR="004A2223"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Reference to Annex 3</w:t>
            </w:r>
          </w:p>
        </w:tc>
        <w:tc>
          <w:tcPr>
            <w:tcW w:w="1375" w:type="dxa"/>
            <w:shd w:val="clear" w:color="auto" w:fill="D9E2F3" w:themeFill="accent1" w:themeFillTint="33"/>
          </w:tcPr>
          <w:p w14:paraId="2F98F95C" w14:textId="29E35154" w:rsidR="004A2223" w:rsidRDefault="0090310B"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N/A</w:t>
            </w:r>
          </w:p>
        </w:tc>
        <w:tc>
          <w:tcPr>
            <w:tcW w:w="2502" w:type="dxa"/>
            <w:shd w:val="clear" w:color="auto" w:fill="D9E2F3" w:themeFill="accent1" w:themeFillTint="33"/>
          </w:tcPr>
          <w:p w14:paraId="1AA312DE" w14:textId="4F0217E1" w:rsidR="004A2223" w:rsidRDefault="000F0BD6"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the reference to Annex 3 is a typo or legacy reference from a previous version.</w:t>
            </w:r>
          </w:p>
        </w:tc>
        <w:tc>
          <w:tcPr>
            <w:tcW w:w="0" w:type="auto"/>
            <w:shd w:val="clear" w:color="auto" w:fill="000000" w:themeFill="text1"/>
            <w:noWrap/>
          </w:tcPr>
          <w:p w14:paraId="7D179D52" w14:textId="77777777" w:rsidR="004A2223" w:rsidRPr="00646EBF" w:rsidRDefault="004A2223" w:rsidP="004A2223">
            <w:pPr>
              <w:spacing w:after="0" w:line="240" w:lineRule="auto"/>
              <w:rPr>
                <w:rFonts w:ascii="Calibri" w:eastAsia="Times New Roman" w:hAnsi="Calibri" w:cs="Calibri"/>
                <w:color w:val="000000"/>
                <w:lang w:eastAsia="en-GB"/>
              </w:rPr>
            </w:pPr>
          </w:p>
        </w:tc>
        <w:tc>
          <w:tcPr>
            <w:tcW w:w="653" w:type="dxa"/>
            <w:shd w:val="clear" w:color="auto" w:fill="D9E2F3" w:themeFill="accent1" w:themeFillTint="33"/>
          </w:tcPr>
          <w:p w14:paraId="0DFB485B" w14:textId="7A4CF5D7" w:rsidR="004A2223" w:rsidRDefault="00A12FA1"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2</w:t>
            </w:r>
          </w:p>
        </w:tc>
        <w:tc>
          <w:tcPr>
            <w:tcW w:w="1471" w:type="dxa"/>
            <w:shd w:val="clear" w:color="auto" w:fill="D9E2F3" w:themeFill="accent1" w:themeFillTint="33"/>
          </w:tcPr>
          <w:p w14:paraId="7C137E62" w14:textId="7C30F757" w:rsidR="004A2223" w:rsidRDefault="00931AB8"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Housekeeping corr</w:t>
            </w:r>
            <w:bookmarkStart w:id="1" w:name="_GoBack"/>
            <w:bookmarkEnd w:id="1"/>
            <w:r>
              <w:rPr>
                <w:rFonts w:ascii="Calibri" w:eastAsia="Times New Roman" w:hAnsi="Calibri" w:cs="Calibri"/>
                <w:color w:val="000000"/>
                <w:lang w:eastAsia="en-GB"/>
              </w:rPr>
              <w:t>ection</w:t>
            </w:r>
          </w:p>
        </w:tc>
        <w:tc>
          <w:tcPr>
            <w:tcW w:w="2133" w:type="dxa"/>
            <w:shd w:val="clear" w:color="auto" w:fill="D9E2F3" w:themeFill="accent1" w:themeFillTint="33"/>
          </w:tcPr>
          <w:p w14:paraId="12E45FB4" w14:textId="397C92B6" w:rsidR="004A2223" w:rsidRDefault="006633D6"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and FCP) – Housekeeping (minor)</w:t>
            </w:r>
          </w:p>
        </w:tc>
        <w:tc>
          <w:tcPr>
            <w:tcW w:w="2613" w:type="dxa"/>
            <w:shd w:val="clear" w:color="auto" w:fill="D9E2F3" w:themeFill="accent1" w:themeFillTint="33"/>
          </w:tcPr>
          <w:p w14:paraId="76A8A5D0" w14:textId="77777777" w:rsidR="004A2223" w:rsidRDefault="000424CC"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Amend definitions under para 18.20:</w:t>
            </w:r>
          </w:p>
          <w:p w14:paraId="5E3837A8" w14:textId="1EB31322" w:rsidR="000424CC" w:rsidRPr="00815CA4" w:rsidRDefault="000424CC"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‘EDCM NR and DOC capacity contribution is the sum of the import capacity based direct costs contribution from each EDCM Connectee </w:t>
            </w:r>
            <w:r w:rsidR="00815CA4">
              <w:rPr>
                <w:rFonts w:ascii="Calibri" w:eastAsia="Times New Roman" w:hAnsi="Calibri" w:cs="Calibri"/>
                <w:i/>
                <w:iCs/>
                <w:color w:val="000000"/>
                <w:u w:val="single"/>
                <w:lang w:eastAsia="en-GB"/>
              </w:rPr>
              <w:t>[(from annex 3)]</w:t>
            </w:r>
            <w:r w:rsidR="00815CA4">
              <w:rPr>
                <w:rFonts w:ascii="Calibri" w:eastAsia="Times New Roman" w:hAnsi="Calibri" w:cs="Calibri"/>
                <w:color w:val="000000"/>
                <w:lang w:eastAsia="en-GB"/>
              </w:rPr>
              <w:t>.’</w:t>
            </w:r>
          </w:p>
        </w:tc>
      </w:tr>
      <w:tr w:rsidR="004A2223" w:rsidRPr="00646EBF" w14:paraId="570EBD0F" w14:textId="77777777" w:rsidTr="009B4C33">
        <w:trPr>
          <w:trHeight w:val="900"/>
        </w:trPr>
        <w:tc>
          <w:tcPr>
            <w:tcW w:w="463" w:type="dxa"/>
            <w:shd w:val="clear" w:color="auto" w:fill="FFF2CC" w:themeFill="accent4" w:themeFillTint="33"/>
          </w:tcPr>
          <w:p w14:paraId="24860CCF" w14:textId="5CD7F7B6" w:rsidR="004A2223" w:rsidRDefault="004A2223" w:rsidP="004A222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22</w:t>
            </w:r>
          </w:p>
        </w:tc>
        <w:tc>
          <w:tcPr>
            <w:tcW w:w="0" w:type="auto"/>
            <w:shd w:val="clear" w:color="auto" w:fill="FFF2CC" w:themeFill="accent4" w:themeFillTint="33"/>
          </w:tcPr>
          <w:p w14:paraId="45A63006" w14:textId="7AA7954A" w:rsidR="004A2223"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18 paragraph 18.20</w:t>
            </w:r>
          </w:p>
        </w:tc>
        <w:tc>
          <w:tcPr>
            <w:tcW w:w="1452" w:type="dxa"/>
            <w:shd w:val="clear" w:color="auto" w:fill="FFF2CC" w:themeFill="accent4" w:themeFillTint="33"/>
          </w:tcPr>
          <w:p w14:paraId="138D3352" w14:textId="3CB05E31" w:rsidR="004A2223"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Reference to Annex 1</w:t>
            </w:r>
          </w:p>
        </w:tc>
        <w:tc>
          <w:tcPr>
            <w:tcW w:w="1375" w:type="dxa"/>
            <w:shd w:val="clear" w:color="auto" w:fill="FFF2CC" w:themeFill="accent4" w:themeFillTint="33"/>
          </w:tcPr>
          <w:p w14:paraId="2AF67BCD" w14:textId="29F418B0" w:rsidR="004A2223" w:rsidRDefault="0090310B"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N/A</w:t>
            </w:r>
          </w:p>
        </w:tc>
        <w:tc>
          <w:tcPr>
            <w:tcW w:w="2502" w:type="dxa"/>
            <w:shd w:val="clear" w:color="auto" w:fill="FFF2CC" w:themeFill="accent4" w:themeFillTint="33"/>
          </w:tcPr>
          <w:p w14:paraId="4CF824FD" w14:textId="589521FD" w:rsidR="004A2223" w:rsidRDefault="000F0BD6"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The model assumes that the volume for scaling parameter is calculated incorrectly in this </w:t>
            </w:r>
            <w:r>
              <w:rPr>
                <w:rFonts w:ascii="Calibri" w:eastAsia="Times New Roman" w:hAnsi="Calibri" w:cs="Calibri"/>
                <w:color w:val="000000"/>
                <w:lang w:eastAsia="en-GB"/>
              </w:rPr>
              <w:lastRenderedPageBreak/>
              <w:t>paragraph, and that this should in fact be equal to the volume for scaling as calculated in Schedule 18 paragraph 18.17</w:t>
            </w:r>
          </w:p>
        </w:tc>
        <w:tc>
          <w:tcPr>
            <w:tcW w:w="0" w:type="auto"/>
            <w:shd w:val="clear" w:color="auto" w:fill="000000" w:themeFill="text1"/>
            <w:noWrap/>
          </w:tcPr>
          <w:p w14:paraId="66AFDC9E" w14:textId="77777777" w:rsidR="004A2223" w:rsidRPr="00646EBF" w:rsidRDefault="004A2223" w:rsidP="004A2223">
            <w:pPr>
              <w:spacing w:after="0" w:line="240" w:lineRule="auto"/>
              <w:rPr>
                <w:rFonts w:ascii="Calibri" w:eastAsia="Times New Roman" w:hAnsi="Calibri" w:cs="Calibri"/>
                <w:color w:val="000000"/>
                <w:lang w:eastAsia="en-GB"/>
              </w:rPr>
            </w:pPr>
          </w:p>
        </w:tc>
        <w:tc>
          <w:tcPr>
            <w:tcW w:w="653" w:type="dxa"/>
            <w:shd w:val="clear" w:color="auto" w:fill="FFF2CC" w:themeFill="accent4" w:themeFillTint="33"/>
          </w:tcPr>
          <w:p w14:paraId="03AF8A05" w14:textId="6F7F91F2" w:rsidR="004A2223" w:rsidRDefault="00A12FA1"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1</w:t>
            </w:r>
          </w:p>
        </w:tc>
        <w:tc>
          <w:tcPr>
            <w:tcW w:w="1471" w:type="dxa"/>
            <w:shd w:val="clear" w:color="auto" w:fill="FFF2CC" w:themeFill="accent4" w:themeFillTint="33"/>
          </w:tcPr>
          <w:p w14:paraId="004E9585" w14:textId="0A318258" w:rsidR="004A2223" w:rsidRDefault="00931AB8"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The model has historically been </w:t>
            </w:r>
            <w:r>
              <w:rPr>
                <w:rFonts w:ascii="Calibri" w:eastAsia="Times New Roman" w:hAnsi="Calibri" w:cs="Calibri"/>
                <w:color w:val="000000"/>
                <w:lang w:eastAsia="en-GB"/>
              </w:rPr>
              <w:lastRenderedPageBreak/>
              <w:t xml:space="preserve">inconsistent with the legal text. So arguable part two in that we are just aligning legal text to model. But </w:t>
            </w:r>
            <w:proofErr w:type="gramStart"/>
            <w:r>
              <w:rPr>
                <w:rFonts w:ascii="Calibri" w:eastAsia="Times New Roman" w:hAnsi="Calibri" w:cs="Calibri"/>
                <w:color w:val="000000"/>
                <w:lang w:eastAsia="en-GB"/>
              </w:rPr>
              <w:t>also</w:t>
            </w:r>
            <w:proofErr w:type="gramEnd"/>
            <w:r>
              <w:rPr>
                <w:rFonts w:ascii="Calibri" w:eastAsia="Times New Roman" w:hAnsi="Calibri" w:cs="Calibri"/>
                <w:color w:val="000000"/>
                <w:lang w:eastAsia="en-GB"/>
              </w:rPr>
              <w:t xml:space="preserve"> arguable part one as, if the model were aligned to the legal text previously, this would have an impact on charges.</w:t>
            </w:r>
          </w:p>
        </w:tc>
        <w:tc>
          <w:tcPr>
            <w:tcW w:w="2133" w:type="dxa"/>
            <w:shd w:val="clear" w:color="auto" w:fill="FFF2CC" w:themeFill="accent4" w:themeFillTint="33"/>
          </w:tcPr>
          <w:p w14:paraId="61CACF87" w14:textId="462E30BE" w:rsidR="004A2223" w:rsidRDefault="006633D6"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lastRenderedPageBreak/>
              <w:t>EDCM (LRIC and FCP) – Legal text and model mis-aligned</w:t>
            </w:r>
          </w:p>
        </w:tc>
        <w:tc>
          <w:tcPr>
            <w:tcW w:w="2613" w:type="dxa"/>
            <w:shd w:val="clear" w:color="auto" w:fill="FFF2CC" w:themeFill="accent4" w:themeFillTint="33"/>
          </w:tcPr>
          <w:p w14:paraId="3C88616F" w14:textId="5AC98FE8" w:rsidR="004A2223" w:rsidRDefault="00815CA4"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Al</w:t>
            </w:r>
            <w:r w:rsidR="00840C3D">
              <w:rPr>
                <w:rFonts w:ascii="Calibri" w:eastAsia="Times New Roman" w:hAnsi="Calibri" w:cs="Calibri"/>
                <w:color w:val="000000"/>
                <w:lang w:eastAsia="en-GB"/>
              </w:rPr>
              <w:t>ig</w:t>
            </w:r>
            <w:r>
              <w:rPr>
                <w:rFonts w:ascii="Calibri" w:eastAsia="Times New Roman" w:hAnsi="Calibri" w:cs="Calibri"/>
                <w:color w:val="000000"/>
                <w:lang w:eastAsia="en-GB"/>
              </w:rPr>
              <w:t>n definition of volume for scaling across para 18.20 and 18.17.</w:t>
            </w:r>
          </w:p>
        </w:tc>
      </w:tr>
      <w:tr w:rsidR="004A2223" w:rsidRPr="00646EBF" w14:paraId="030A0303" w14:textId="77777777" w:rsidTr="00544C61">
        <w:trPr>
          <w:trHeight w:val="900"/>
        </w:trPr>
        <w:tc>
          <w:tcPr>
            <w:tcW w:w="463" w:type="dxa"/>
            <w:shd w:val="clear" w:color="auto" w:fill="D9E2F3" w:themeFill="accent1" w:themeFillTint="33"/>
          </w:tcPr>
          <w:p w14:paraId="6B77CB34" w14:textId="0F364490" w:rsidR="004A2223" w:rsidRDefault="004A2223" w:rsidP="004A222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23</w:t>
            </w:r>
          </w:p>
        </w:tc>
        <w:tc>
          <w:tcPr>
            <w:tcW w:w="0" w:type="auto"/>
            <w:shd w:val="clear" w:color="auto" w:fill="D9E2F3" w:themeFill="accent1" w:themeFillTint="33"/>
          </w:tcPr>
          <w:p w14:paraId="6DBB732A" w14:textId="5BD33ADA" w:rsidR="004A2223"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18 paragraph 18.20</w:t>
            </w:r>
          </w:p>
        </w:tc>
        <w:tc>
          <w:tcPr>
            <w:tcW w:w="1452" w:type="dxa"/>
            <w:shd w:val="clear" w:color="auto" w:fill="D9E2F3" w:themeFill="accent1" w:themeFillTint="33"/>
          </w:tcPr>
          <w:p w14:paraId="4B3DF40A" w14:textId="039E7874" w:rsidR="004A2223"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LRIC revenue estimate</w:t>
            </w:r>
          </w:p>
        </w:tc>
        <w:tc>
          <w:tcPr>
            <w:tcW w:w="1375" w:type="dxa"/>
            <w:shd w:val="clear" w:color="auto" w:fill="D9E2F3" w:themeFill="accent1" w:themeFillTint="33"/>
          </w:tcPr>
          <w:p w14:paraId="22C7FF1F" w14:textId="734C002C" w:rsidR="004A2223" w:rsidRDefault="0090310B"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Import super-red</w:t>
            </w:r>
          </w:p>
        </w:tc>
        <w:tc>
          <w:tcPr>
            <w:tcW w:w="2502" w:type="dxa"/>
            <w:shd w:val="clear" w:color="auto" w:fill="D9E2F3" w:themeFill="accent1" w:themeFillTint="33"/>
          </w:tcPr>
          <w:p w14:paraId="6D9319C8" w14:textId="4D0760B5" w:rsidR="004A2223" w:rsidRDefault="000F0BD6"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the estimate of LRIC recovery is made based on the super-red charge before it is adjusted as per Schedule 18 paragraph 19.7, in order to remove the change of a circular reference error.</w:t>
            </w:r>
          </w:p>
        </w:tc>
        <w:tc>
          <w:tcPr>
            <w:tcW w:w="0" w:type="auto"/>
            <w:shd w:val="clear" w:color="auto" w:fill="000000" w:themeFill="text1"/>
            <w:noWrap/>
          </w:tcPr>
          <w:p w14:paraId="3F50FF79" w14:textId="77777777" w:rsidR="004A2223" w:rsidRPr="00646EBF" w:rsidRDefault="004A2223" w:rsidP="004A2223">
            <w:pPr>
              <w:spacing w:after="0" w:line="240" w:lineRule="auto"/>
              <w:rPr>
                <w:rFonts w:ascii="Calibri" w:eastAsia="Times New Roman" w:hAnsi="Calibri" w:cs="Calibri"/>
                <w:color w:val="000000"/>
                <w:lang w:eastAsia="en-GB"/>
              </w:rPr>
            </w:pPr>
          </w:p>
        </w:tc>
        <w:tc>
          <w:tcPr>
            <w:tcW w:w="653" w:type="dxa"/>
            <w:shd w:val="clear" w:color="auto" w:fill="D9E2F3" w:themeFill="accent1" w:themeFillTint="33"/>
          </w:tcPr>
          <w:p w14:paraId="21659B80" w14:textId="0C0EDD44" w:rsidR="004A2223" w:rsidRDefault="00A12FA1"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2</w:t>
            </w:r>
          </w:p>
        </w:tc>
        <w:tc>
          <w:tcPr>
            <w:tcW w:w="1471" w:type="dxa"/>
            <w:shd w:val="clear" w:color="auto" w:fill="D9E2F3" w:themeFill="accent1" w:themeFillTint="33"/>
          </w:tcPr>
          <w:p w14:paraId="520B4F79" w14:textId="38E3B7F8" w:rsidR="004A2223" w:rsidRDefault="00931AB8"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Clarification only</w:t>
            </w:r>
          </w:p>
        </w:tc>
        <w:tc>
          <w:tcPr>
            <w:tcW w:w="2133" w:type="dxa"/>
            <w:shd w:val="clear" w:color="auto" w:fill="D9E2F3" w:themeFill="accent1" w:themeFillTint="33"/>
          </w:tcPr>
          <w:p w14:paraId="16F4A3DC" w14:textId="1D60B6AD" w:rsidR="004A2223" w:rsidRDefault="006633D6"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and FCP) – Housekeeping (minor)</w:t>
            </w:r>
          </w:p>
        </w:tc>
        <w:tc>
          <w:tcPr>
            <w:tcW w:w="2613" w:type="dxa"/>
            <w:shd w:val="clear" w:color="auto" w:fill="D9E2F3" w:themeFill="accent1" w:themeFillTint="33"/>
          </w:tcPr>
          <w:p w14:paraId="35C87FE8" w14:textId="77777777" w:rsidR="004A2223" w:rsidRDefault="00815CA4"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Amend definitions in para 18.20:</w:t>
            </w:r>
          </w:p>
          <w:p w14:paraId="0ADC9724" w14:textId="77777777" w:rsidR="00815CA4" w:rsidRDefault="00815CA4"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‘Aggregate indirect cost contribution is the sum of the import capacity based and import sole use asset based indirect cost contribution </w:t>
            </w:r>
            <w:r>
              <w:rPr>
                <w:rFonts w:ascii="Calibri" w:eastAsia="Times New Roman" w:hAnsi="Calibri" w:cs="Calibri"/>
                <w:i/>
                <w:iCs/>
                <w:color w:val="000000"/>
                <w:u w:val="single"/>
                <w:lang w:eastAsia="en-GB"/>
              </w:rPr>
              <w:t>(before any adjustments under clauses 19.7 and 19.8)</w:t>
            </w:r>
            <w:r>
              <w:rPr>
                <w:rFonts w:ascii="Calibri" w:eastAsia="Times New Roman" w:hAnsi="Calibri" w:cs="Calibri"/>
                <w:color w:val="000000"/>
                <w:lang w:eastAsia="en-GB"/>
              </w:rPr>
              <w:t xml:space="preserve"> from each EDCM Connectee.</w:t>
            </w:r>
          </w:p>
          <w:p w14:paraId="71E986F3" w14:textId="77777777" w:rsidR="00815CA4" w:rsidRDefault="00815CA4"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SU recovery is the forecast notional recovery from </w:t>
            </w:r>
            <w:r>
              <w:rPr>
                <w:rFonts w:ascii="Calibri" w:eastAsia="Times New Roman" w:hAnsi="Calibri" w:cs="Calibri"/>
                <w:color w:val="000000"/>
                <w:lang w:eastAsia="en-GB"/>
              </w:rPr>
              <w:lastRenderedPageBreak/>
              <w:t xml:space="preserve">the application of import fixed charges (before any rounding </w:t>
            </w:r>
            <w:r>
              <w:rPr>
                <w:rFonts w:ascii="Calibri" w:eastAsia="Times New Roman" w:hAnsi="Calibri" w:cs="Calibri"/>
                <w:i/>
                <w:iCs/>
                <w:color w:val="000000"/>
                <w:u w:val="single"/>
                <w:lang w:eastAsia="en-GB"/>
              </w:rPr>
              <w:t>or any adjustments under clauses 19.7 and 19.8)</w:t>
            </w:r>
            <w:r>
              <w:rPr>
                <w:rFonts w:ascii="Calibri" w:eastAsia="Times New Roman" w:hAnsi="Calibri" w:cs="Calibri"/>
                <w:color w:val="000000"/>
                <w:lang w:eastAsia="en-GB"/>
              </w:rPr>
              <w:t xml:space="preserve"> for sole use assets relating to EDCM Connectees.</w:t>
            </w:r>
          </w:p>
          <w:p w14:paraId="423EECAA" w14:textId="293A273D" w:rsidR="00815CA4" w:rsidRPr="00815CA4" w:rsidRDefault="00815CA4"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LRIC recovery is the forecast notional recovery from the application of LRIC charges (before any rounding </w:t>
            </w:r>
            <w:r>
              <w:rPr>
                <w:rFonts w:ascii="Calibri" w:eastAsia="Times New Roman" w:hAnsi="Calibri" w:cs="Calibri"/>
                <w:i/>
                <w:iCs/>
                <w:color w:val="000000"/>
                <w:u w:val="single"/>
                <w:lang w:eastAsia="en-GB"/>
              </w:rPr>
              <w:t>or any adjustments under clauses 19.7 and 19.8)</w:t>
            </w:r>
            <w:r>
              <w:rPr>
                <w:rFonts w:ascii="Calibri" w:eastAsia="Times New Roman" w:hAnsi="Calibri" w:cs="Calibri"/>
                <w:color w:val="000000"/>
                <w:lang w:eastAsia="en-GB"/>
              </w:rPr>
              <w:t xml:space="preserve"> to all EDCM Connectees only.</w:t>
            </w:r>
          </w:p>
        </w:tc>
      </w:tr>
      <w:tr w:rsidR="004A2223" w:rsidRPr="00646EBF" w14:paraId="22801619" w14:textId="77777777" w:rsidTr="00544C61">
        <w:trPr>
          <w:trHeight w:val="900"/>
        </w:trPr>
        <w:tc>
          <w:tcPr>
            <w:tcW w:w="463" w:type="dxa"/>
            <w:shd w:val="clear" w:color="auto" w:fill="D9E2F3" w:themeFill="accent1" w:themeFillTint="33"/>
          </w:tcPr>
          <w:p w14:paraId="322247FB" w14:textId="4E877D0F" w:rsidR="004A2223" w:rsidRDefault="004A2223" w:rsidP="004A222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24</w:t>
            </w:r>
          </w:p>
        </w:tc>
        <w:tc>
          <w:tcPr>
            <w:tcW w:w="0" w:type="auto"/>
            <w:shd w:val="clear" w:color="auto" w:fill="D9E2F3" w:themeFill="accent1" w:themeFillTint="33"/>
          </w:tcPr>
          <w:p w14:paraId="6830435F" w14:textId="4E3F88D9" w:rsidR="004A2223"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18 paragraph 19.5</w:t>
            </w:r>
          </w:p>
        </w:tc>
        <w:tc>
          <w:tcPr>
            <w:tcW w:w="1452" w:type="dxa"/>
            <w:shd w:val="clear" w:color="auto" w:fill="D9E2F3" w:themeFill="accent1" w:themeFillTint="33"/>
          </w:tcPr>
          <w:p w14:paraId="1E958687" w14:textId="708110DD" w:rsidR="004A2223"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Rounding</w:t>
            </w:r>
          </w:p>
        </w:tc>
        <w:tc>
          <w:tcPr>
            <w:tcW w:w="1375" w:type="dxa"/>
            <w:shd w:val="clear" w:color="auto" w:fill="D9E2F3" w:themeFill="accent1" w:themeFillTint="33"/>
          </w:tcPr>
          <w:p w14:paraId="6956BBE9" w14:textId="20AEB8EF" w:rsidR="004A2223" w:rsidRDefault="0090310B"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Import capacity</w:t>
            </w:r>
          </w:p>
        </w:tc>
        <w:tc>
          <w:tcPr>
            <w:tcW w:w="2502" w:type="dxa"/>
            <w:shd w:val="clear" w:color="auto" w:fill="D9E2F3" w:themeFill="accent1" w:themeFillTint="33"/>
          </w:tcPr>
          <w:p w14:paraId="3F73D5CD" w14:textId="0A15452F" w:rsidR="004A2223" w:rsidRDefault="000F0BD6"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this calculation is carried out before rounding.</w:t>
            </w:r>
          </w:p>
        </w:tc>
        <w:tc>
          <w:tcPr>
            <w:tcW w:w="0" w:type="auto"/>
            <w:shd w:val="clear" w:color="auto" w:fill="000000" w:themeFill="text1"/>
            <w:noWrap/>
          </w:tcPr>
          <w:p w14:paraId="59DDF27C" w14:textId="77777777" w:rsidR="004A2223" w:rsidRPr="00646EBF" w:rsidRDefault="004A2223" w:rsidP="004A2223">
            <w:pPr>
              <w:spacing w:after="0" w:line="240" w:lineRule="auto"/>
              <w:rPr>
                <w:rFonts w:ascii="Calibri" w:eastAsia="Times New Roman" w:hAnsi="Calibri" w:cs="Calibri"/>
                <w:color w:val="000000"/>
                <w:lang w:eastAsia="en-GB"/>
              </w:rPr>
            </w:pPr>
          </w:p>
        </w:tc>
        <w:tc>
          <w:tcPr>
            <w:tcW w:w="653" w:type="dxa"/>
            <w:shd w:val="clear" w:color="auto" w:fill="D9E2F3" w:themeFill="accent1" w:themeFillTint="33"/>
          </w:tcPr>
          <w:p w14:paraId="32AC7728" w14:textId="314B1FFE" w:rsidR="004A2223" w:rsidRDefault="00A12FA1"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2</w:t>
            </w:r>
          </w:p>
        </w:tc>
        <w:tc>
          <w:tcPr>
            <w:tcW w:w="1471" w:type="dxa"/>
            <w:shd w:val="clear" w:color="auto" w:fill="D9E2F3" w:themeFill="accent1" w:themeFillTint="33"/>
          </w:tcPr>
          <w:p w14:paraId="1D6419E4" w14:textId="72BF13D7" w:rsidR="004A2223" w:rsidRDefault="00931AB8"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Clarification only</w:t>
            </w:r>
          </w:p>
        </w:tc>
        <w:tc>
          <w:tcPr>
            <w:tcW w:w="2133" w:type="dxa"/>
            <w:shd w:val="clear" w:color="auto" w:fill="D9E2F3" w:themeFill="accent1" w:themeFillTint="33"/>
          </w:tcPr>
          <w:p w14:paraId="244209EF" w14:textId="195D6671" w:rsidR="004A2223" w:rsidRDefault="006E3F3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and FCP) – Housekeeping (minor)</w:t>
            </w:r>
          </w:p>
        </w:tc>
        <w:tc>
          <w:tcPr>
            <w:tcW w:w="2613" w:type="dxa"/>
            <w:shd w:val="clear" w:color="auto" w:fill="D9E2F3" w:themeFill="accent1" w:themeFillTint="33"/>
          </w:tcPr>
          <w:p w14:paraId="51FAF299" w14:textId="77777777" w:rsidR="004A2223" w:rsidRDefault="00815CA4"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Amend para 19.1:</w:t>
            </w:r>
          </w:p>
          <w:p w14:paraId="1483E1F4" w14:textId="77F85965" w:rsidR="00815CA4" w:rsidRPr="00815CA4" w:rsidRDefault="00815CA4"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‘The tariff application rules for the EDCM are the same as for the CDCM wherever possible. </w:t>
            </w:r>
            <w:r>
              <w:rPr>
                <w:rFonts w:ascii="Calibri" w:eastAsia="Times New Roman" w:hAnsi="Calibri" w:cs="Calibri"/>
                <w:i/>
                <w:iCs/>
                <w:color w:val="000000"/>
                <w:u w:val="single"/>
                <w:lang w:eastAsia="en-GB"/>
              </w:rPr>
              <w:t xml:space="preserve">Once all other calculations have been carried out, </w:t>
            </w:r>
            <w:r>
              <w:rPr>
                <w:rFonts w:ascii="Calibri" w:eastAsia="Times New Roman" w:hAnsi="Calibri" w:cs="Calibri"/>
                <w:color w:val="000000"/>
                <w:lang w:eastAsia="en-GB"/>
              </w:rPr>
              <w:t>each component of each tariff is rounded…’</w:t>
            </w:r>
          </w:p>
        </w:tc>
      </w:tr>
      <w:tr w:rsidR="004A2223" w:rsidRPr="00646EBF" w14:paraId="444607AD" w14:textId="77777777" w:rsidTr="00544C61">
        <w:trPr>
          <w:trHeight w:val="900"/>
        </w:trPr>
        <w:tc>
          <w:tcPr>
            <w:tcW w:w="463" w:type="dxa"/>
            <w:shd w:val="clear" w:color="auto" w:fill="D9E2F3" w:themeFill="accent1" w:themeFillTint="33"/>
          </w:tcPr>
          <w:p w14:paraId="26DC895C" w14:textId="1F9546D3" w:rsidR="004A2223" w:rsidRDefault="004A2223" w:rsidP="004A222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25</w:t>
            </w:r>
          </w:p>
        </w:tc>
        <w:tc>
          <w:tcPr>
            <w:tcW w:w="0" w:type="auto"/>
            <w:shd w:val="clear" w:color="auto" w:fill="D9E2F3" w:themeFill="accent1" w:themeFillTint="33"/>
          </w:tcPr>
          <w:p w14:paraId="758E64D0" w14:textId="0CE4DA15" w:rsidR="004A2223"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18 paragraph 19.7</w:t>
            </w:r>
          </w:p>
        </w:tc>
        <w:tc>
          <w:tcPr>
            <w:tcW w:w="1452" w:type="dxa"/>
            <w:shd w:val="clear" w:color="auto" w:fill="D9E2F3" w:themeFill="accent1" w:themeFillTint="33"/>
          </w:tcPr>
          <w:p w14:paraId="72BE69F5" w14:textId="4C795816" w:rsidR="004A2223"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Super-red adjustment</w:t>
            </w:r>
          </w:p>
        </w:tc>
        <w:tc>
          <w:tcPr>
            <w:tcW w:w="1375" w:type="dxa"/>
            <w:shd w:val="clear" w:color="auto" w:fill="D9E2F3" w:themeFill="accent1" w:themeFillTint="33"/>
          </w:tcPr>
          <w:p w14:paraId="0DF3D983" w14:textId="3C8BD488" w:rsidR="004A2223" w:rsidRDefault="0090310B"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Import super-red</w:t>
            </w:r>
          </w:p>
        </w:tc>
        <w:tc>
          <w:tcPr>
            <w:tcW w:w="2502" w:type="dxa"/>
            <w:shd w:val="clear" w:color="auto" w:fill="D9E2F3" w:themeFill="accent1" w:themeFillTint="33"/>
          </w:tcPr>
          <w:p w14:paraId="5EEC33A8" w14:textId="4A11FDC1" w:rsidR="004A2223" w:rsidRDefault="000F0BD6"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The model assumes </w:t>
            </w:r>
            <w:r w:rsidR="00A12FA1">
              <w:rPr>
                <w:rFonts w:ascii="Calibri" w:eastAsia="Times New Roman" w:hAnsi="Calibri" w:cs="Calibri"/>
                <w:color w:val="000000"/>
                <w:lang w:eastAsia="en-GB"/>
              </w:rPr>
              <w:t xml:space="preserve">that this calculation refers to the </w:t>
            </w:r>
            <w:proofErr w:type="spellStart"/>
            <w:r w:rsidR="00A12FA1">
              <w:rPr>
                <w:rFonts w:ascii="Calibri" w:eastAsia="Times New Roman" w:hAnsi="Calibri" w:cs="Calibri"/>
                <w:color w:val="000000"/>
                <w:lang w:eastAsia="en-GB"/>
              </w:rPr>
              <w:t>imprt</w:t>
            </w:r>
            <w:proofErr w:type="spellEnd"/>
            <w:r w:rsidR="00A12FA1">
              <w:rPr>
                <w:rFonts w:ascii="Calibri" w:eastAsia="Times New Roman" w:hAnsi="Calibri" w:cs="Calibri"/>
                <w:color w:val="000000"/>
                <w:lang w:eastAsia="en-GB"/>
              </w:rPr>
              <w:t xml:space="preserve"> capacity charge before bounding at zero, as otherwise it would never be negative.</w:t>
            </w:r>
          </w:p>
        </w:tc>
        <w:tc>
          <w:tcPr>
            <w:tcW w:w="0" w:type="auto"/>
            <w:shd w:val="clear" w:color="auto" w:fill="000000" w:themeFill="text1"/>
            <w:noWrap/>
          </w:tcPr>
          <w:p w14:paraId="26868F4C" w14:textId="77777777" w:rsidR="004A2223" w:rsidRPr="00646EBF" w:rsidRDefault="004A2223" w:rsidP="004A2223">
            <w:pPr>
              <w:spacing w:after="0" w:line="240" w:lineRule="auto"/>
              <w:rPr>
                <w:rFonts w:ascii="Calibri" w:eastAsia="Times New Roman" w:hAnsi="Calibri" w:cs="Calibri"/>
                <w:color w:val="000000"/>
                <w:lang w:eastAsia="en-GB"/>
              </w:rPr>
            </w:pPr>
          </w:p>
        </w:tc>
        <w:tc>
          <w:tcPr>
            <w:tcW w:w="653" w:type="dxa"/>
            <w:shd w:val="clear" w:color="auto" w:fill="D9E2F3" w:themeFill="accent1" w:themeFillTint="33"/>
          </w:tcPr>
          <w:p w14:paraId="1334133B" w14:textId="2863E9D0" w:rsidR="004A2223" w:rsidRDefault="00A12FA1"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1471" w:type="dxa"/>
            <w:shd w:val="clear" w:color="auto" w:fill="D9E2F3" w:themeFill="accent1" w:themeFillTint="33"/>
          </w:tcPr>
          <w:p w14:paraId="4FD26FE3" w14:textId="4C803CA8" w:rsidR="004A2223" w:rsidRDefault="00931AB8"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 change needed – methodology follows logical order, with the step to bound being after this step</w:t>
            </w:r>
          </w:p>
        </w:tc>
        <w:tc>
          <w:tcPr>
            <w:tcW w:w="2133" w:type="dxa"/>
            <w:shd w:val="clear" w:color="auto" w:fill="D9E2F3" w:themeFill="accent1" w:themeFillTint="33"/>
          </w:tcPr>
          <w:p w14:paraId="571B2CCF" w14:textId="2EB93860" w:rsidR="004A2223" w:rsidRDefault="006E3F3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 action</w:t>
            </w:r>
          </w:p>
        </w:tc>
        <w:tc>
          <w:tcPr>
            <w:tcW w:w="2613" w:type="dxa"/>
            <w:shd w:val="clear" w:color="auto" w:fill="D9E2F3" w:themeFill="accent1" w:themeFillTint="33"/>
          </w:tcPr>
          <w:p w14:paraId="4892D6C4" w14:textId="77777777" w:rsidR="004A2223" w:rsidRDefault="004A2223" w:rsidP="004A2223">
            <w:pPr>
              <w:spacing w:after="0" w:line="240" w:lineRule="auto"/>
              <w:rPr>
                <w:rFonts w:ascii="Calibri" w:eastAsia="Times New Roman" w:hAnsi="Calibri" w:cs="Calibri"/>
                <w:color w:val="000000"/>
                <w:lang w:eastAsia="en-GB"/>
              </w:rPr>
            </w:pPr>
          </w:p>
        </w:tc>
      </w:tr>
      <w:tr w:rsidR="004A2223" w:rsidRPr="00646EBF" w14:paraId="427458AD" w14:textId="77777777" w:rsidTr="00544C61">
        <w:trPr>
          <w:trHeight w:val="900"/>
        </w:trPr>
        <w:tc>
          <w:tcPr>
            <w:tcW w:w="463" w:type="dxa"/>
            <w:shd w:val="clear" w:color="auto" w:fill="D9E2F3" w:themeFill="accent1" w:themeFillTint="33"/>
          </w:tcPr>
          <w:p w14:paraId="4DA155F5" w14:textId="4C4A405B" w:rsidR="004A2223" w:rsidRDefault="004A2223" w:rsidP="004A222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26</w:t>
            </w:r>
          </w:p>
        </w:tc>
        <w:tc>
          <w:tcPr>
            <w:tcW w:w="0" w:type="auto"/>
            <w:shd w:val="clear" w:color="auto" w:fill="D9E2F3" w:themeFill="accent1" w:themeFillTint="33"/>
          </w:tcPr>
          <w:p w14:paraId="416B773D" w14:textId="0C084DB0" w:rsidR="004A2223"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18 paragraph 19.7</w:t>
            </w:r>
          </w:p>
        </w:tc>
        <w:tc>
          <w:tcPr>
            <w:tcW w:w="1452" w:type="dxa"/>
            <w:shd w:val="clear" w:color="auto" w:fill="D9E2F3" w:themeFill="accent1" w:themeFillTint="33"/>
          </w:tcPr>
          <w:p w14:paraId="52CA33D4" w14:textId="1F841A7C" w:rsidR="004A2223"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Part-year adjustment</w:t>
            </w:r>
          </w:p>
        </w:tc>
        <w:tc>
          <w:tcPr>
            <w:tcW w:w="1375" w:type="dxa"/>
            <w:shd w:val="clear" w:color="auto" w:fill="D9E2F3" w:themeFill="accent1" w:themeFillTint="33"/>
          </w:tcPr>
          <w:p w14:paraId="32332F99" w14:textId="4F8D5493" w:rsidR="004A2223" w:rsidRDefault="0090310B"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Import super-red</w:t>
            </w:r>
          </w:p>
        </w:tc>
        <w:tc>
          <w:tcPr>
            <w:tcW w:w="2502" w:type="dxa"/>
            <w:shd w:val="clear" w:color="auto" w:fill="D9E2F3" w:themeFill="accent1" w:themeFillTint="33"/>
          </w:tcPr>
          <w:p w14:paraId="70B5C36A" w14:textId="48CD95DF" w:rsidR="004A2223" w:rsidRDefault="00A12FA1"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the Average kW/kVA parameter referenced in this paragraph is the [Average kW/kVA] parameter without part year adjustment.</w:t>
            </w:r>
          </w:p>
        </w:tc>
        <w:tc>
          <w:tcPr>
            <w:tcW w:w="0" w:type="auto"/>
            <w:shd w:val="clear" w:color="auto" w:fill="000000" w:themeFill="text1"/>
            <w:noWrap/>
          </w:tcPr>
          <w:p w14:paraId="0816BA9D" w14:textId="77777777" w:rsidR="004A2223" w:rsidRPr="00646EBF" w:rsidRDefault="004A2223" w:rsidP="004A2223">
            <w:pPr>
              <w:spacing w:after="0" w:line="240" w:lineRule="auto"/>
              <w:rPr>
                <w:rFonts w:ascii="Calibri" w:eastAsia="Times New Roman" w:hAnsi="Calibri" w:cs="Calibri"/>
                <w:color w:val="000000"/>
                <w:lang w:eastAsia="en-GB"/>
              </w:rPr>
            </w:pPr>
          </w:p>
        </w:tc>
        <w:tc>
          <w:tcPr>
            <w:tcW w:w="653" w:type="dxa"/>
            <w:shd w:val="clear" w:color="auto" w:fill="D9E2F3" w:themeFill="accent1" w:themeFillTint="33"/>
          </w:tcPr>
          <w:p w14:paraId="6B01CB4F" w14:textId="1C0DA250" w:rsidR="004A2223" w:rsidRDefault="00A12FA1"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2</w:t>
            </w:r>
          </w:p>
        </w:tc>
        <w:tc>
          <w:tcPr>
            <w:tcW w:w="1471" w:type="dxa"/>
            <w:shd w:val="clear" w:color="auto" w:fill="D9E2F3" w:themeFill="accent1" w:themeFillTint="33"/>
          </w:tcPr>
          <w:p w14:paraId="3EE19155" w14:textId="401CAB88" w:rsidR="004A2223" w:rsidRDefault="00931AB8"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Clarification only</w:t>
            </w:r>
          </w:p>
        </w:tc>
        <w:tc>
          <w:tcPr>
            <w:tcW w:w="2133" w:type="dxa"/>
            <w:shd w:val="clear" w:color="auto" w:fill="D9E2F3" w:themeFill="accent1" w:themeFillTint="33"/>
          </w:tcPr>
          <w:p w14:paraId="6E9138A0" w14:textId="3D858B39" w:rsidR="004A2223" w:rsidRDefault="006E3F3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and FCP) – Housekeeping (minor)</w:t>
            </w:r>
          </w:p>
        </w:tc>
        <w:tc>
          <w:tcPr>
            <w:tcW w:w="2613" w:type="dxa"/>
            <w:shd w:val="clear" w:color="auto" w:fill="D9E2F3" w:themeFill="accent1" w:themeFillTint="33"/>
          </w:tcPr>
          <w:p w14:paraId="176005D5" w14:textId="77777777" w:rsidR="004A2223" w:rsidRDefault="00815CA4"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Amend para 19.7:</w:t>
            </w:r>
          </w:p>
          <w:p w14:paraId="54364EA8" w14:textId="0920351E" w:rsidR="00815CA4" w:rsidRPr="00815CA4" w:rsidRDefault="00815CA4"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‘If the EDCM import capacity charge (p/kVA/day) calculated above is negative and the </w:t>
            </w:r>
            <w:proofErr w:type="spellStart"/>
            <w:r>
              <w:rPr>
                <w:rFonts w:ascii="Calibri" w:eastAsia="Times New Roman" w:hAnsi="Calibri" w:cs="Calibri"/>
                <w:color w:val="000000"/>
                <w:lang w:eastAsia="en-GB"/>
              </w:rPr>
              <w:t>Connectee’s</w:t>
            </w:r>
            <w:proofErr w:type="spellEnd"/>
            <w:r>
              <w:rPr>
                <w:rFonts w:ascii="Calibri" w:eastAsia="Times New Roman" w:hAnsi="Calibri" w:cs="Calibri"/>
                <w:color w:val="000000"/>
                <w:lang w:eastAsia="en-GB"/>
              </w:rPr>
              <w:t xml:space="preserve"> average kW/kVA </w:t>
            </w:r>
            <w:r>
              <w:rPr>
                <w:rFonts w:ascii="Calibri" w:eastAsia="Times New Roman" w:hAnsi="Calibri" w:cs="Calibri"/>
                <w:i/>
                <w:iCs/>
                <w:color w:val="000000"/>
                <w:u w:val="single"/>
                <w:lang w:eastAsia="en-GB"/>
              </w:rPr>
              <w:t>[(adjusted for part year)]</w:t>
            </w:r>
            <w:r>
              <w:rPr>
                <w:rFonts w:ascii="Calibri" w:eastAsia="Times New Roman" w:hAnsi="Calibri" w:cs="Calibri"/>
                <w:color w:val="000000"/>
                <w:lang w:eastAsia="en-GB"/>
              </w:rPr>
              <w:t xml:space="preserve"> is not equal to zero, the final EDCM super-red unit rate is adjusted as follows.’</w:t>
            </w:r>
          </w:p>
        </w:tc>
      </w:tr>
      <w:tr w:rsidR="004A2223" w:rsidRPr="00646EBF" w14:paraId="023F7CB5" w14:textId="77777777" w:rsidTr="00544C61">
        <w:trPr>
          <w:trHeight w:val="900"/>
        </w:trPr>
        <w:tc>
          <w:tcPr>
            <w:tcW w:w="463" w:type="dxa"/>
            <w:shd w:val="clear" w:color="auto" w:fill="D9E2F3" w:themeFill="accent1" w:themeFillTint="33"/>
          </w:tcPr>
          <w:p w14:paraId="047AAFEE" w14:textId="57D14B99" w:rsidR="004A2223" w:rsidRDefault="004A2223" w:rsidP="004A222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27</w:t>
            </w:r>
          </w:p>
        </w:tc>
        <w:tc>
          <w:tcPr>
            <w:tcW w:w="0" w:type="auto"/>
            <w:shd w:val="clear" w:color="auto" w:fill="D9E2F3" w:themeFill="accent1" w:themeFillTint="33"/>
          </w:tcPr>
          <w:p w14:paraId="71BBF115" w14:textId="48076D4F" w:rsidR="004A2223"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18 paragraph 19.8</w:t>
            </w:r>
          </w:p>
        </w:tc>
        <w:tc>
          <w:tcPr>
            <w:tcW w:w="1452" w:type="dxa"/>
            <w:shd w:val="clear" w:color="auto" w:fill="D9E2F3" w:themeFill="accent1" w:themeFillTint="33"/>
          </w:tcPr>
          <w:p w14:paraId="521CB89A" w14:textId="05CE90F9" w:rsidR="004A2223"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Setting negative charges to zero</w:t>
            </w:r>
          </w:p>
        </w:tc>
        <w:tc>
          <w:tcPr>
            <w:tcW w:w="1375" w:type="dxa"/>
            <w:shd w:val="clear" w:color="auto" w:fill="D9E2F3" w:themeFill="accent1" w:themeFillTint="33"/>
          </w:tcPr>
          <w:p w14:paraId="32E2BD18" w14:textId="3A73D06F" w:rsidR="004A2223" w:rsidRDefault="0090310B"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Import capacity, Import super-red</w:t>
            </w:r>
          </w:p>
        </w:tc>
        <w:tc>
          <w:tcPr>
            <w:tcW w:w="2502" w:type="dxa"/>
            <w:shd w:val="clear" w:color="auto" w:fill="D9E2F3" w:themeFill="accent1" w:themeFillTint="33"/>
          </w:tcPr>
          <w:p w14:paraId="3F7D10B2" w14:textId="6A9AF07E" w:rsidR="004A2223" w:rsidRDefault="00A12FA1"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any negative import capacity charges or import super-red charges are set to zero before rounding.</w:t>
            </w:r>
          </w:p>
        </w:tc>
        <w:tc>
          <w:tcPr>
            <w:tcW w:w="0" w:type="auto"/>
            <w:shd w:val="clear" w:color="auto" w:fill="000000" w:themeFill="text1"/>
            <w:noWrap/>
          </w:tcPr>
          <w:p w14:paraId="3BF64160" w14:textId="77777777" w:rsidR="004A2223" w:rsidRPr="00646EBF" w:rsidRDefault="004A2223" w:rsidP="004A2223">
            <w:pPr>
              <w:spacing w:after="0" w:line="240" w:lineRule="auto"/>
              <w:rPr>
                <w:rFonts w:ascii="Calibri" w:eastAsia="Times New Roman" w:hAnsi="Calibri" w:cs="Calibri"/>
                <w:color w:val="000000"/>
                <w:lang w:eastAsia="en-GB"/>
              </w:rPr>
            </w:pPr>
          </w:p>
        </w:tc>
        <w:tc>
          <w:tcPr>
            <w:tcW w:w="653" w:type="dxa"/>
            <w:shd w:val="clear" w:color="auto" w:fill="D9E2F3" w:themeFill="accent1" w:themeFillTint="33"/>
          </w:tcPr>
          <w:p w14:paraId="7136C901" w14:textId="724531B6" w:rsidR="004A2223" w:rsidRDefault="00A12FA1"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1471" w:type="dxa"/>
            <w:shd w:val="clear" w:color="auto" w:fill="D9E2F3" w:themeFill="accent1" w:themeFillTint="33"/>
          </w:tcPr>
          <w:p w14:paraId="5DCA0FFE" w14:textId="619FCEE6" w:rsidR="004A2223" w:rsidRDefault="00931AB8"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Dealt with in solution to issue 72</w:t>
            </w:r>
          </w:p>
        </w:tc>
        <w:tc>
          <w:tcPr>
            <w:tcW w:w="2133" w:type="dxa"/>
            <w:shd w:val="clear" w:color="auto" w:fill="D9E2F3" w:themeFill="accent1" w:themeFillTint="33"/>
          </w:tcPr>
          <w:p w14:paraId="2BD45B04" w14:textId="7E68E97F" w:rsidR="004A2223" w:rsidRDefault="006E3F3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 action</w:t>
            </w:r>
          </w:p>
        </w:tc>
        <w:tc>
          <w:tcPr>
            <w:tcW w:w="2613" w:type="dxa"/>
            <w:shd w:val="clear" w:color="auto" w:fill="D9E2F3" w:themeFill="accent1" w:themeFillTint="33"/>
          </w:tcPr>
          <w:p w14:paraId="0CB476D5" w14:textId="77777777" w:rsidR="004A2223" w:rsidRDefault="004A2223" w:rsidP="004A2223">
            <w:pPr>
              <w:spacing w:after="0" w:line="240" w:lineRule="auto"/>
              <w:rPr>
                <w:rFonts w:ascii="Calibri" w:eastAsia="Times New Roman" w:hAnsi="Calibri" w:cs="Calibri"/>
                <w:color w:val="000000"/>
                <w:lang w:eastAsia="en-GB"/>
              </w:rPr>
            </w:pPr>
          </w:p>
        </w:tc>
      </w:tr>
      <w:tr w:rsidR="004A2223" w:rsidRPr="00646EBF" w14:paraId="2113C12D" w14:textId="77777777" w:rsidTr="00544C61">
        <w:trPr>
          <w:trHeight w:val="900"/>
        </w:trPr>
        <w:tc>
          <w:tcPr>
            <w:tcW w:w="463" w:type="dxa"/>
            <w:shd w:val="clear" w:color="auto" w:fill="D9E2F3" w:themeFill="accent1" w:themeFillTint="33"/>
          </w:tcPr>
          <w:p w14:paraId="589FEF7D" w14:textId="36A36904" w:rsidR="004A2223" w:rsidRDefault="004A2223" w:rsidP="004A222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28</w:t>
            </w:r>
          </w:p>
        </w:tc>
        <w:tc>
          <w:tcPr>
            <w:tcW w:w="0" w:type="auto"/>
            <w:shd w:val="clear" w:color="auto" w:fill="D9E2F3" w:themeFill="accent1" w:themeFillTint="33"/>
          </w:tcPr>
          <w:p w14:paraId="0AB3700C" w14:textId="48A8CEA7" w:rsidR="004A2223"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18 paragraph 19.9</w:t>
            </w:r>
          </w:p>
        </w:tc>
        <w:tc>
          <w:tcPr>
            <w:tcW w:w="1452" w:type="dxa"/>
            <w:shd w:val="clear" w:color="auto" w:fill="D9E2F3" w:themeFill="accent1" w:themeFillTint="33"/>
          </w:tcPr>
          <w:p w14:paraId="20DE3A7A" w14:textId="7C14EA2D" w:rsidR="004A2223"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Transmission credits</w:t>
            </w:r>
          </w:p>
        </w:tc>
        <w:tc>
          <w:tcPr>
            <w:tcW w:w="1375" w:type="dxa"/>
            <w:shd w:val="clear" w:color="auto" w:fill="D9E2F3" w:themeFill="accent1" w:themeFillTint="33"/>
          </w:tcPr>
          <w:p w14:paraId="0876240E" w14:textId="512C8B88" w:rsidR="004A2223" w:rsidRDefault="0090310B"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Tariff inputs</w:t>
            </w:r>
          </w:p>
        </w:tc>
        <w:tc>
          <w:tcPr>
            <w:tcW w:w="2502" w:type="dxa"/>
            <w:shd w:val="clear" w:color="auto" w:fill="D9E2F3" w:themeFill="accent1" w:themeFillTint="33"/>
          </w:tcPr>
          <w:p w14:paraId="3751D65F" w14:textId="217C7A94" w:rsidR="004A2223" w:rsidRDefault="00A12FA1"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“may include transmission credits” is wholly determined by the proportion eligible for credits, which is part of the input data.</w:t>
            </w:r>
          </w:p>
        </w:tc>
        <w:tc>
          <w:tcPr>
            <w:tcW w:w="0" w:type="auto"/>
            <w:shd w:val="clear" w:color="auto" w:fill="000000" w:themeFill="text1"/>
            <w:noWrap/>
          </w:tcPr>
          <w:p w14:paraId="5999D792" w14:textId="77777777" w:rsidR="004A2223" w:rsidRPr="00646EBF" w:rsidRDefault="004A2223" w:rsidP="004A2223">
            <w:pPr>
              <w:spacing w:after="0" w:line="240" w:lineRule="auto"/>
              <w:rPr>
                <w:rFonts w:ascii="Calibri" w:eastAsia="Times New Roman" w:hAnsi="Calibri" w:cs="Calibri"/>
                <w:color w:val="000000"/>
                <w:lang w:eastAsia="en-GB"/>
              </w:rPr>
            </w:pPr>
          </w:p>
        </w:tc>
        <w:tc>
          <w:tcPr>
            <w:tcW w:w="653" w:type="dxa"/>
            <w:shd w:val="clear" w:color="auto" w:fill="D9E2F3" w:themeFill="accent1" w:themeFillTint="33"/>
          </w:tcPr>
          <w:p w14:paraId="7DEFECCD" w14:textId="639101EF" w:rsidR="004A2223" w:rsidRDefault="00A12FA1"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2</w:t>
            </w:r>
          </w:p>
        </w:tc>
        <w:tc>
          <w:tcPr>
            <w:tcW w:w="1471" w:type="dxa"/>
            <w:shd w:val="clear" w:color="auto" w:fill="D9E2F3" w:themeFill="accent1" w:themeFillTint="33"/>
          </w:tcPr>
          <w:p w14:paraId="785C82D5" w14:textId="3DD2F8E2" w:rsidR="004A2223" w:rsidRDefault="00931AB8"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Clarification only</w:t>
            </w:r>
          </w:p>
        </w:tc>
        <w:tc>
          <w:tcPr>
            <w:tcW w:w="2133" w:type="dxa"/>
            <w:shd w:val="clear" w:color="auto" w:fill="D9E2F3" w:themeFill="accent1" w:themeFillTint="33"/>
          </w:tcPr>
          <w:p w14:paraId="10142A15" w14:textId="142F4C79" w:rsidR="004A2223" w:rsidRDefault="006E3F3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and FCP) – Housekeeping (minor)</w:t>
            </w:r>
          </w:p>
        </w:tc>
        <w:tc>
          <w:tcPr>
            <w:tcW w:w="2613" w:type="dxa"/>
            <w:shd w:val="clear" w:color="auto" w:fill="D9E2F3" w:themeFill="accent1" w:themeFillTint="33"/>
          </w:tcPr>
          <w:p w14:paraId="466D89FB" w14:textId="08F04D5A" w:rsidR="00815CA4" w:rsidRDefault="00815CA4" w:rsidP="00815CA4">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Amend para 19.</w:t>
            </w:r>
            <w:r w:rsidR="00DC665A">
              <w:rPr>
                <w:rFonts w:ascii="Calibri" w:eastAsia="Times New Roman" w:hAnsi="Calibri" w:cs="Calibri"/>
                <w:color w:val="000000"/>
                <w:lang w:eastAsia="en-GB"/>
              </w:rPr>
              <w:t>9</w:t>
            </w:r>
            <w:r>
              <w:rPr>
                <w:rFonts w:ascii="Calibri" w:eastAsia="Times New Roman" w:hAnsi="Calibri" w:cs="Calibri"/>
                <w:color w:val="000000"/>
                <w:lang w:eastAsia="en-GB"/>
              </w:rPr>
              <w:t>:</w:t>
            </w:r>
          </w:p>
          <w:p w14:paraId="1A2A9CF3" w14:textId="77777777" w:rsidR="00815CA4" w:rsidRDefault="00815CA4" w:rsidP="00815CA4">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‘Final EDCM export charges will have:</w:t>
            </w:r>
          </w:p>
          <w:p w14:paraId="0CF68214" w14:textId="77777777" w:rsidR="00815CA4" w:rsidRDefault="00815CA4" w:rsidP="00815CA4">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1. An export fixed charge on sole use assets (in p/day)</w:t>
            </w:r>
          </w:p>
          <w:p w14:paraId="3AC0F5E9" w14:textId="77777777" w:rsidR="00815CA4" w:rsidRDefault="00815CA4" w:rsidP="00815CA4">
            <w:pPr>
              <w:spacing w:after="0" w:line="240" w:lineRule="auto"/>
              <w:rPr>
                <w:rFonts w:ascii="Calibri" w:eastAsia="Times New Roman" w:hAnsi="Calibri" w:cs="Calibri"/>
                <w:i/>
                <w:iCs/>
                <w:color w:val="000000"/>
                <w:u w:val="single"/>
                <w:lang w:eastAsia="en-GB"/>
              </w:rPr>
            </w:pPr>
            <w:r>
              <w:rPr>
                <w:rFonts w:ascii="Calibri" w:eastAsia="Times New Roman" w:hAnsi="Calibri" w:cs="Calibri"/>
                <w:color w:val="000000"/>
                <w:lang w:eastAsia="en-GB"/>
              </w:rPr>
              <w:t xml:space="preserve">2. An export capacity charge (in p/kVA/day) </w:t>
            </w:r>
            <w:r>
              <w:rPr>
                <w:rFonts w:ascii="Calibri" w:eastAsia="Times New Roman" w:hAnsi="Calibri" w:cs="Calibri"/>
                <w:i/>
                <w:iCs/>
                <w:color w:val="000000"/>
                <w:u w:val="single"/>
                <w:lang w:eastAsia="en-GB"/>
              </w:rPr>
              <w:t>[, which might include transmission exit credits to qualifying generators.]</w:t>
            </w:r>
          </w:p>
          <w:p w14:paraId="53D3C39A" w14:textId="77777777" w:rsidR="00815CA4" w:rsidRDefault="00815CA4" w:rsidP="00815CA4">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3. An export super-red unit rate (in p/kWh)</w:t>
            </w:r>
          </w:p>
          <w:p w14:paraId="709F0F1D" w14:textId="3D6F6D65" w:rsidR="00815CA4" w:rsidRPr="00815CA4" w:rsidRDefault="00815CA4" w:rsidP="00815CA4">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4. An exceeded export capacity charge (in p/kVA/day)’</w:t>
            </w:r>
          </w:p>
        </w:tc>
      </w:tr>
      <w:tr w:rsidR="004A2223" w:rsidRPr="00646EBF" w14:paraId="228224F2" w14:textId="77777777" w:rsidTr="00544C61">
        <w:trPr>
          <w:trHeight w:val="900"/>
        </w:trPr>
        <w:tc>
          <w:tcPr>
            <w:tcW w:w="463" w:type="dxa"/>
            <w:shd w:val="clear" w:color="auto" w:fill="D9E2F3" w:themeFill="accent1" w:themeFillTint="33"/>
          </w:tcPr>
          <w:p w14:paraId="0DE695B8" w14:textId="2FC1CA94" w:rsidR="004A2223" w:rsidRDefault="004A2223" w:rsidP="004A222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29</w:t>
            </w:r>
          </w:p>
        </w:tc>
        <w:tc>
          <w:tcPr>
            <w:tcW w:w="0" w:type="auto"/>
            <w:shd w:val="clear" w:color="auto" w:fill="D9E2F3" w:themeFill="accent1" w:themeFillTint="33"/>
          </w:tcPr>
          <w:p w14:paraId="620A7A6D" w14:textId="2CFE076A" w:rsidR="004A2223"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18 paragraph 20.6</w:t>
            </w:r>
          </w:p>
        </w:tc>
        <w:tc>
          <w:tcPr>
            <w:tcW w:w="1452" w:type="dxa"/>
            <w:shd w:val="clear" w:color="auto" w:fill="D9E2F3" w:themeFill="accent1" w:themeFillTint="33"/>
          </w:tcPr>
          <w:p w14:paraId="4707857C" w14:textId="01E0B92D" w:rsidR="004A2223"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Exceeded export capacity charge</w:t>
            </w:r>
          </w:p>
        </w:tc>
        <w:tc>
          <w:tcPr>
            <w:tcW w:w="1375" w:type="dxa"/>
            <w:shd w:val="clear" w:color="auto" w:fill="D9E2F3" w:themeFill="accent1" w:themeFillTint="33"/>
          </w:tcPr>
          <w:p w14:paraId="0698B061" w14:textId="6A804A66" w:rsidR="004A2223" w:rsidRDefault="0090310B"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Exceeded export</w:t>
            </w:r>
          </w:p>
        </w:tc>
        <w:tc>
          <w:tcPr>
            <w:tcW w:w="2502" w:type="dxa"/>
            <w:shd w:val="clear" w:color="auto" w:fill="D9E2F3" w:themeFill="accent1" w:themeFillTint="33"/>
          </w:tcPr>
          <w:p w14:paraId="2AB333E9" w14:textId="78281C28" w:rsidR="004A2223" w:rsidRDefault="00A12FA1"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no specific calculation is required for connectees with agreements with the DNO.</w:t>
            </w:r>
          </w:p>
        </w:tc>
        <w:tc>
          <w:tcPr>
            <w:tcW w:w="0" w:type="auto"/>
            <w:shd w:val="clear" w:color="auto" w:fill="000000" w:themeFill="text1"/>
            <w:noWrap/>
          </w:tcPr>
          <w:p w14:paraId="37DB2DBD" w14:textId="77777777" w:rsidR="004A2223" w:rsidRPr="00646EBF" w:rsidRDefault="004A2223" w:rsidP="004A2223">
            <w:pPr>
              <w:spacing w:after="0" w:line="240" w:lineRule="auto"/>
              <w:rPr>
                <w:rFonts w:ascii="Calibri" w:eastAsia="Times New Roman" w:hAnsi="Calibri" w:cs="Calibri"/>
                <w:color w:val="000000"/>
                <w:lang w:eastAsia="en-GB"/>
              </w:rPr>
            </w:pPr>
          </w:p>
        </w:tc>
        <w:tc>
          <w:tcPr>
            <w:tcW w:w="653" w:type="dxa"/>
            <w:shd w:val="clear" w:color="auto" w:fill="D9E2F3" w:themeFill="accent1" w:themeFillTint="33"/>
          </w:tcPr>
          <w:p w14:paraId="6E76790F" w14:textId="3F2DB28F" w:rsidR="004A2223" w:rsidRDefault="00A12FA1"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2</w:t>
            </w:r>
          </w:p>
        </w:tc>
        <w:tc>
          <w:tcPr>
            <w:tcW w:w="1471" w:type="dxa"/>
            <w:shd w:val="clear" w:color="auto" w:fill="D9E2F3" w:themeFill="accent1" w:themeFillTint="33"/>
          </w:tcPr>
          <w:p w14:paraId="520F26A4" w14:textId="547BA45C" w:rsidR="004A2223" w:rsidRDefault="00931AB8"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Clarification only</w:t>
            </w:r>
          </w:p>
        </w:tc>
        <w:tc>
          <w:tcPr>
            <w:tcW w:w="2133" w:type="dxa"/>
            <w:shd w:val="clear" w:color="auto" w:fill="D9E2F3" w:themeFill="accent1" w:themeFillTint="33"/>
          </w:tcPr>
          <w:p w14:paraId="2A4A3487" w14:textId="0150A48F" w:rsidR="004A2223" w:rsidRDefault="006E3F3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and FCP) – Housekeeping (minor)</w:t>
            </w:r>
          </w:p>
        </w:tc>
        <w:tc>
          <w:tcPr>
            <w:tcW w:w="2613" w:type="dxa"/>
            <w:shd w:val="clear" w:color="auto" w:fill="D9E2F3" w:themeFill="accent1" w:themeFillTint="33"/>
          </w:tcPr>
          <w:p w14:paraId="3870DAAB" w14:textId="77777777" w:rsidR="004A2223" w:rsidRDefault="00815CA4"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Amend para 20.6:</w:t>
            </w:r>
          </w:p>
          <w:p w14:paraId="70F6D2B1" w14:textId="77777777" w:rsidR="00815CA4" w:rsidRDefault="00815CA4"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‘(i) For Connectees other than those that have an agreement with the DNO, the terms of which require them, for the purposes </w:t>
            </w:r>
            <w:r w:rsidR="00C5054C">
              <w:rPr>
                <w:rFonts w:ascii="Calibri" w:eastAsia="Times New Roman" w:hAnsi="Calibri" w:cs="Calibri"/>
                <w:color w:val="000000"/>
                <w:lang w:eastAsia="en-GB"/>
              </w:rPr>
              <w:t xml:space="preserve">of P2/6 compliance, to export power during </w:t>
            </w:r>
            <w:proofErr w:type="spellStart"/>
            <w:r w:rsidR="00C5054C">
              <w:rPr>
                <w:rFonts w:ascii="Calibri" w:eastAsia="Times New Roman" w:hAnsi="Calibri" w:cs="Calibri"/>
                <w:color w:val="000000"/>
                <w:lang w:eastAsia="en-GB"/>
              </w:rPr>
              <w:t>supergrid</w:t>
            </w:r>
            <w:proofErr w:type="spellEnd"/>
            <w:r w:rsidR="00C5054C">
              <w:rPr>
                <w:rFonts w:ascii="Calibri" w:eastAsia="Times New Roman" w:hAnsi="Calibri" w:cs="Calibri"/>
                <w:color w:val="000000"/>
                <w:lang w:eastAsia="en-GB"/>
              </w:rPr>
              <w:t xml:space="preserve"> transformer (SGT) outage conditions, the exceeded portion of the export capacity is charged at the same rate as the capacity that is within the Maximum Export Capacity. </w:t>
            </w:r>
          </w:p>
          <w:p w14:paraId="6785054E" w14:textId="77777777" w:rsidR="00C5054C" w:rsidRDefault="00C5054C" w:rsidP="004A2223">
            <w:pPr>
              <w:spacing w:after="0" w:line="240" w:lineRule="auto"/>
              <w:rPr>
                <w:rFonts w:ascii="Calibri" w:eastAsia="Times New Roman" w:hAnsi="Calibri" w:cs="Calibri"/>
                <w:color w:val="000000"/>
                <w:lang w:eastAsia="en-GB"/>
              </w:rPr>
            </w:pPr>
            <w:r>
              <w:rPr>
                <w:rFonts w:ascii="Calibri" w:eastAsia="Times New Roman" w:hAnsi="Calibri" w:cs="Calibri"/>
                <w:i/>
                <w:iCs/>
                <w:color w:val="000000"/>
                <w:u w:val="single"/>
                <w:lang w:eastAsia="en-GB"/>
              </w:rPr>
              <w:t xml:space="preserve">(ii) For Connectees which have an agreement with the DNO, the terms of which require them, for the purposed of P2/6 compliance, to export power during </w:t>
            </w:r>
            <w:proofErr w:type="spellStart"/>
            <w:r>
              <w:rPr>
                <w:rFonts w:ascii="Calibri" w:eastAsia="Times New Roman" w:hAnsi="Calibri" w:cs="Calibri"/>
                <w:i/>
                <w:iCs/>
                <w:color w:val="000000"/>
                <w:u w:val="single"/>
                <w:lang w:eastAsia="en-GB"/>
              </w:rPr>
              <w:t>supergrid</w:t>
            </w:r>
            <w:proofErr w:type="spellEnd"/>
            <w:r>
              <w:rPr>
                <w:rFonts w:ascii="Calibri" w:eastAsia="Times New Roman" w:hAnsi="Calibri" w:cs="Calibri"/>
                <w:i/>
                <w:iCs/>
                <w:color w:val="000000"/>
                <w:u w:val="single"/>
                <w:lang w:eastAsia="en-GB"/>
              </w:rPr>
              <w:t xml:space="preserve"> transformer (SGT) outage conditions, the exceeded portion of the export capacity is charged at the capacity rate before the adjustment specified in clause 10.3 is applied.</w:t>
            </w:r>
          </w:p>
          <w:p w14:paraId="7BCDD570" w14:textId="61DF22EA" w:rsidR="00C5054C" w:rsidRPr="00C5054C" w:rsidRDefault="00C5054C"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lastRenderedPageBreak/>
              <w:t>This is charged for the duration of the month in which the breach occurs.’</w:t>
            </w:r>
          </w:p>
        </w:tc>
      </w:tr>
      <w:tr w:rsidR="004A2223" w:rsidRPr="00646EBF" w14:paraId="278DEFAE" w14:textId="77777777" w:rsidTr="00544C61">
        <w:trPr>
          <w:trHeight w:val="900"/>
        </w:trPr>
        <w:tc>
          <w:tcPr>
            <w:tcW w:w="463" w:type="dxa"/>
            <w:shd w:val="clear" w:color="auto" w:fill="D9E2F3" w:themeFill="accent1" w:themeFillTint="33"/>
          </w:tcPr>
          <w:p w14:paraId="75D02A1C" w14:textId="6E42FE3C" w:rsidR="004A2223" w:rsidRDefault="004A2223" w:rsidP="004A222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30</w:t>
            </w:r>
          </w:p>
        </w:tc>
        <w:tc>
          <w:tcPr>
            <w:tcW w:w="0" w:type="auto"/>
            <w:shd w:val="clear" w:color="auto" w:fill="D9E2F3" w:themeFill="accent1" w:themeFillTint="33"/>
          </w:tcPr>
          <w:p w14:paraId="4DEC57FA" w14:textId="000AD43B" w:rsidR="004A2223"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18 paragraph 20.9</w:t>
            </w:r>
          </w:p>
        </w:tc>
        <w:tc>
          <w:tcPr>
            <w:tcW w:w="1452" w:type="dxa"/>
            <w:shd w:val="clear" w:color="auto" w:fill="D9E2F3" w:themeFill="accent1" w:themeFillTint="33"/>
          </w:tcPr>
          <w:p w14:paraId="7EF7E98F" w14:textId="4EF0F149" w:rsidR="004A2223"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Exceeded import capacity charge</w:t>
            </w:r>
          </w:p>
        </w:tc>
        <w:tc>
          <w:tcPr>
            <w:tcW w:w="1375" w:type="dxa"/>
            <w:shd w:val="clear" w:color="auto" w:fill="D9E2F3" w:themeFill="accent1" w:themeFillTint="33"/>
          </w:tcPr>
          <w:p w14:paraId="07C807B1" w14:textId="2F4606EC" w:rsidR="004A2223" w:rsidRDefault="0090310B"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Exceeded import</w:t>
            </w:r>
          </w:p>
        </w:tc>
        <w:tc>
          <w:tcPr>
            <w:tcW w:w="2502" w:type="dxa"/>
            <w:shd w:val="clear" w:color="auto" w:fill="D9E2F3" w:themeFill="accent1" w:themeFillTint="33"/>
          </w:tcPr>
          <w:p w14:paraId="1FDBC4C7" w14:textId="7419F18B" w:rsidR="004A2223" w:rsidRDefault="00A12FA1"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this uses the import capacity charge before it is rounded but after it is bounded at zero to remove negative values.</w:t>
            </w:r>
          </w:p>
        </w:tc>
        <w:tc>
          <w:tcPr>
            <w:tcW w:w="0" w:type="auto"/>
            <w:shd w:val="clear" w:color="auto" w:fill="000000" w:themeFill="text1"/>
            <w:noWrap/>
          </w:tcPr>
          <w:p w14:paraId="4D18D7F7" w14:textId="77777777" w:rsidR="004A2223" w:rsidRPr="00646EBF" w:rsidRDefault="004A2223" w:rsidP="004A2223">
            <w:pPr>
              <w:spacing w:after="0" w:line="240" w:lineRule="auto"/>
              <w:rPr>
                <w:rFonts w:ascii="Calibri" w:eastAsia="Times New Roman" w:hAnsi="Calibri" w:cs="Calibri"/>
                <w:color w:val="000000"/>
                <w:lang w:eastAsia="en-GB"/>
              </w:rPr>
            </w:pPr>
          </w:p>
        </w:tc>
        <w:tc>
          <w:tcPr>
            <w:tcW w:w="653" w:type="dxa"/>
            <w:shd w:val="clear" w:color="auto" w:fill="D9E2F3" w:themeFill="accent1" w:themeFillTint="33"/>
          </w:tcPr>
          <w:p w14:paraId="4D21F81F" w14:textId="00DF31DB" w:rsidR="004A2223" w:rsidRDefault="00A12FA1"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1471" w:type="dxa"/>
            <w:shd w:val="clear" w:color="auto" w:fill="D9E2F3" w:themeFill="accent1" w:themeFillTint="33"/>
          </w:tcPr>
          <w:p w14:paraId="2B388B7D" w14:textId="37C80C17" w:rsidR="004A2223" w:rsidRDefault="00931AB8"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Dealt with in solution to issue 72</w:t>
            </w:r>
          </w:p>
        </w:tc>
        <w:tc>
          <w:tcPr>
            <w:tcW w:w="2133" w:type="dxa"/>
            <w:shd w:val="clear" w:color="auto" w:fill="D9E2F3" w:themeFill="accent1" w:themeFillTint="33"/>
          </w:tcPr>
          <w:p w14:paraId="334C062A" w14:textId="264B148C" w:rsidR="004A2223" w:rsidRDefault="006E3F3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 action</w:t>
            </w:r>
          </w:p>
        </w:tc>
        <w:tc>
          <w:tcPr>
            <w:tcW w:w="2613" w:type="dxa"/>
            <w:shd w:val="clear" w:color="auto" w:fill="D9E2F3" w:themeFill="accent1" w:themeFillTint="33"/>
          </w:tcPr>
          <w:p w14:paraId="0695453D" w14:textId="77777777" w:rsidR="004A2223" w:rsidRDefault="004A2223" w:rsidP="004A2223">
            <w:pPr>
              <w:spacing w:after="0" w:line="240" w:lineRule="auto"/>
              <w:rPr>
                <w:rFonts w:ascii="Calibri" w:eastAsia="Times New Roman" w:hAnsi="Calibri" w:cs="Calibri"/>
                <w:color w:val="000000"/>
                <w:lang w:eastAsia="en-GB"/>
              </w:rPr>
            </w:pPr>
          </w:p>
        </w:tc>
      </w:tr>
      <w:tr w:rsidR="004A2223" w:rsidRPr="00646EBF" w14:paraId="2D68B7BC" w14:textId="77777777" w:rsidTr="00544C61">
        <w:trPr>
          <w:trHeight w:val="900"/>
        </w:trPr>
        <w:tc>
          <w:tcPr>
            <w:tcW w:w="463" w:type="dxa"/>
            <w:shd w:val="clear" w:color="auto" w:fill="D9E2F3" w:themeFill="accent1" w:themeFillTint="33"/>
          </w:tcPr>
          <w:p w14:paraId="0B30BABC" w14:textId="3C768CDC" w:rsidR="004A2223" w:rsidRDefault="004A2223" w:rsidP="004A222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31</w:t>
            </w:r>
          </w:p>
        </w:tc>
        <w:tc>
          <w:tcPr>
            <w:tcW w:w="0" w:type="auto"/>
            <w:shd w:val="clear" w:color="auto" w:fill="D9E2F3" w:themeFill="accent1" w:themeFillTint="33"/>
          </w:tcPr>
          <w:p w14:paraId="67786D93" w14:textId="213E9B77" w:rsidR="004A2223"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18 paragraph 20.9</w:t>
            </w:r>
          </w:p>
        </w:tc>
        <w:tc>
          <w:tcPr>
            <w:tcW w:w="1452" w:type="dxa"/>
            <w:shd w:val="clear" w:color="auto" w:fill="D9E2F3" w:themeFill="accent1" w:themeFillTint="33"/>
          </w:tcPr>
          <w:p w14:paraId="121091D9" w14:textId="52C078D4" w:rsidR="004A2223"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Super-red hours</w:t>
            </w:r>
          </w:p>
        </w:tc>
        <w:tc>
          <w:tcPr>
            <w:tcW w:w="1375" w:type="dxa"/>
            <w:shd w:val="clear" w:color="auto" w:fill="D9E2F3" w:themeFill="accent1" w:themeFillTint="33"/>
          </w:tcPr>
          <w:p w14:paraId="20B7E576" w14:textId="2CA75153" w:rsidR="004A2223" w:rsidRDefault="0090310B"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Exceeded import</w:t>
            </w:r>
          </w:p>
        </w:tc>
        <w:tc>
          <w:tcPr>
            <w:tcW w:w="2502" w:type="dxa"/>
            <w:shd w:val="clear" w:color="auto" w:fill="D9E2F3" w:themeFill="accent1" w:themeFillTint="33"/>
          </w:tcPr>
          <w:p w14:paraId="49EA991D" w14:textId="0B54FF11" w:rsidR="004A2223" w:rsidRDefault="00A12FA1"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“super-red hours” in this calculation refers to the number of super-red hours for which the customer is connected, as in Schedule 17 paragraph 20.9</w:t>
            </w:r>
          </w:p>
        </w:tc>
        <w:tc>
          <w:tcPr>
            <w:tcW w:w="0" w:type="auto"/>
            <w:shd w:val="clear" w:color="auto" w:fill="000000" w:themeFill="text1"/>
            <w:noWrap/>
          </w:tcPr>
          <w:p w14:paraId="4800BEAF" w14:textId="77777777" w:rsidR="004A2223" w:rsidRPr="00646EBF" w:rsidRDefault="004A2223" w:rsidP="004A2223">
            <w:pPr>
              <w:spacing w:after="0" w:line="240" w:lineRule="auto"/>
              <w:rPr>
                <w:rFonts w:ascii="Calibri" w:eastAsia="Times New Roman" w:hAnsi="Calibri" w:cs="Calibri"/>
                <w:color w:val="000000"/>
                <w:lang w:eastAsia="en-GB"/>
              </w:rPr>
            </w:pPr>
          </w:p>
        </w:tc>
        <w:tc>
          <w:tcPr>
            <w:tcW w:w="653" w:type="dxa"/>
            <w:shd w:val="clear" w:color="auto" w:fill="D9E2F3" w:themeFill="accent1" w:themeFillTint="33"/>
          </w:tcPr>
          <w:p w14:paraId="5FA00E8C" w14:textId="728B44FE" w:rsidR="004A2223" w:rsidRDefault="00A12FA1"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2</w:t>
            </w:r>
          </w:p>
        </w:tc>
        <w:tc>
          <w:tcPr>
            <w:tcW w:w="1471" w:type="dxa"/>
            <w:shd w:val="clear" w:color="auto" w:fill="D9E2F3" w:themeFill="accent1" w:themeFillTint="33"/>
          </w:tcPr>
          <w:p w14:paraId="1A5AFBEF" w14:textId="72E33C54" w:rsidR="004A2223" w:rsidRDefault="00931AB8"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Clarification only</w:t>
            </w:r>
          </w:p>
        </w:tc>
        <w:tc>
          <w:tcPr>
            <w:tcW w:w="2133" w:type="dxa"/>
            <w:shd w:val="clear" w:color="auto" w:fill="D9E2F3" w:themeFill="accent1" w:themeFillTint="33"/>
          </w:tcPr>
          <w:p w14:paraId="2F7FC8F5" w14:textId="05008BDC" w:rsidR="004A2223" w:rsidRDefault="006E3F3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and FCP) – Housekeeping (minor)</w:t>
            </w:r>
          </w:p>
        </w:tc>
        <w:tc>
          <w:tcPr>
            <w:tcW w:w="2613" w:type="dxa"/>
            <w:shd w:val="clear" w:color="auto" w:fill="D9E2F3" w:themeFill="accent1" w:themeFillTint="33"/>
          </w:tcPr>
          <w:p w14:paraId="1659BDD4" w14:textId="77777777" w:rsidR="004A2223" w:rsidRDefault="00C5054C"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Amend 20.9:</w:t>
            </w:r>
          </w:p>
          <w:p w14:paraId="544D1D45" w14:textId="0654A90C" w:rsidR="00C5054C" w:rsidRPr="00C5054C" w:rsidRDefault="00C5054C"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‘[Exceeded capacity charge in p/kVA/day] = [Import capacity charge p/kVA/day] + (([LRIC capacity charge p/kVA/day + ([LRIC super-red rate p/kWh] * [Average kW/kVA adjusted for part year] * [</w:t>
            </w:r>
            <w:r>
              <w:rPr>
                <w:rFonts w:ascii="Calibri" w:eastAsia="Times New Roman" w:hAnsi="Calibri" w:cs="Calibri"/>
                <w:i/>
                <w:iCs/>
                <w:color w:val="000000"/>
                <w:u w:val="single"/>
                <w:lang w:eastAsia="en-GB"/>
              </w:rPr>
              <w:t xml:space="preserve">number of </w:t>
            </w:r>
            <w:r>
              <w:rPr>
                <w:rFonts w:ascii="Calibri" w:eastAsia="Times New Roman" w:hAnsi="Calibri" w:cs="Calibri"/>
                <w:color w:val="000000"/>
                <w:lang w:eastAsia="en-GB"/>
              </w:rPr>
              <w:t xml:space="preserve">super-red hours </w:t>
            </w:r>
            <w:r>
              <w:rPr>
                <w:rFonts w:ascii="Calibri" w:eastAsia="Times New Roman" w:hAnsi="Calibri" w:cs="Calibri"/>
                <w:i/>
                <w:iCs/>
                <w:color w:val="000000"/>
                <w:u w:val="single"/>
                <w:lang w:eastAsia="en-GB"/>
              </w:rPr>
              <w:t>connected</w:t>
            </w:r>
            <w:r>
              <w:rPr>
                <w:rFonts w:ascii="Calibri" w:eastAsia="Times New Roman" w:hAnsi="Calibri" w:cs="Calibri"/>
                <w:color w:val="000000"/>
                <w:lang w:eastAsia="en-GB"/>
              </w:rPr>
              <w:t>] / ([days in Charging Year] – [Days for which not a customer]))) * (1 –([chargeable capacity]/[Maximum Import Capacity]))’</w:t>
            </w:r>
          </w:p>
        </w:tc>
      </w:tr>
      <w:tr w:rsidR="004A2223" w:rsidRPr="00646EBF" w14:paraId="7A29DAD9" w14:textId="77777777" w:rsidTr="00544C61">
        <w:trPr>
          <w:trHeight w:val="900"/>
        </w:trPr>
        <w:tc>
          <w:tcPr>
            <w:tcW w:w="463" w:type="dxa"/>
            <w:shd w:val="clear" w:color="auto" w:fill="D9E2F3" w:themeFill="accent1" w:themeFillTint="33"/>
          </w:tcPr>
          <w:p w14:paraId="255D6EB5" w14:textId="379BA22A" w:rsidR="004A2223" w:rsidRDefault="004A2223" w:rsidP="004A222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32</w:t>
            </w:r>
          </w:p>
        </w:tc>
        <w:tc>
          <w:tcPr>
            <w:tcW w:w="0" w:type="auto"/>
            <w:shd w:val="clear" w:color="auto" w:fill="D9E2F3" w:themeFill="accent1" w:themeFillTint="33"/>
          </w:tcPr>
          <w:p w14:paraId="0C6CCD34" w14:textId="5D4F49CE" w:rsidR="004A2223"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18 paragraph 25.2</w:t>
            </w:r>
          </w:p>
        </w:tc>
        <w:tc>
          <w:tcPr>
            <w:tcW w:w="1452" w:type="dxa"/>
            <w:shd w:val="clear" w:color="auto" w:fill="D9E2F3" w:themeFill="accent1" w:themeFillTint="33"/>
          </w:tcPr>
          <w:p w14:paraId="45090740" w14:textId="2A9FDE6E" w:rsidR="004A2223"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LDNO discount calculation </w:t>
            </w:r>
          </w:p>
        </w:tc>
        <w:tc>
          <w:tcPr>
            <w:tcW w:w="1375" w:type="dxa"/>
            <w:shd w:val="clear" w:color="auto" w:fill="D9E2F3" w:themeFill="accent1" w:themeFillTint="33"/>
          </w:tcPr>
          <w:p w14:paraId="06680768" w14:textId="1B378068" w:rsidR="004A2223" w:rsidRDefault="0090310B"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LDNO calculations</w:t>
            </w:r>
          </w:p>
        </w:tc>
        <w:tc>
          <w:tcPr>
            <w:tcW w:w="2502" w:type="dxa"/>
            <w:shd w:val="clear" w:color="auto" w:fill="D9E2F3" w:themeFill="accent1" w:themeFillTint="33"/>
          </w:tcPr>
          <w:p w14:paraId="5FF0DC7F" w14:textId="605595D0" w:rsidR="004A2223" w:rsidRDefault="00A12FA1"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The model assumes that, when calculating LDNO discounts, generation tariffs can have discounts other than 0% or 100% </w:t>
            </w:r>
            <w:r>
              <w:rPr>
                <w:rFonts w:ascii="Calibri" w:eastAsia="Times New Roman" w:hAnsi="Calibri" w:cs="Calibri"/>
                <w:color w:val="000000"/>
                <w:lang w:eastAsia="en-GB"/>
              </w:rPr>
              <w:lastRenderedPageBreak/>
              <w:t>(as they do in the CDCM).</w:t>
            </w:r>
          </w:p>
        </w:tc>
        <w:tc>
          <w:tcPr>
            <w:tcW w:w="0" w:type="auto"/>
            <w:shd w:val="clear" w:color="auto" w:fill="000000" w:themeFill="text1"/>
            <w:noWrap/>
          </w:tcPr>
          <w:p w14:paraId="3647EB6C" w14:textId="77777777" w:rsidR="004A2223" w:rsidRPr="00646EBF" w:rsidRDefault="004A2223" w:rsidP="004A2223">
            <w:pPr>
              <w:spacing w:after="0" w:line="240" w:lineRule="auto"/>
              <w:rPr>
                <w:rFonts w:ascii="Calibri" w:eastAsia="Times New Roman" w:hAnsi="Calibri" w:cs="Calibri"/>
                <w:color w:val="000000"/>
                <w:lang w:eastAsia="en-GB"/>
              </w:rPr>
            </w:pPr>
          </w:p>
        </w:tc>
        <w:tc>
          <w:tcPr>
            <w:tcW w:w="653" w:type="dxa"/>
            <w:shd w:val="clear" w:color="auto" w:fill="D9E2F3" w:themeFill="accent1" w:themeFillTint="33"/>
          </w:tcPr>
          <w:p w14:paraId="001F6EAC" w14:textId="77CD55C8" w:rsidR="004A2223" w:rsidRDefault="00A12FA1"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2</w:t>
            </w:r>
          </w:p>
        </w:tc>
        <w:tc>
          <w:tcPr>
            <w:tcW w:w="1471" w:type="dxa"/>
            <w:shd w:val="clear" w:color="auto" w:fill="D9E2F3" w:themeFill="accent1" w:themeFillTint="33"/>
          </w:tcPr>
          <w:p w14:paraId="50E56731" w14:textId="5ABDD82F" w:rsidR="004A2223" w:rsidRDefault="00931AB8"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Clarification only</w:t>
            </w:r>
          </w:p>
        </w:tc>
        <w:tc>
          <w:tcPr>
            <w:tcW w:w="2133" w:type="dxa"/>
            <w:shd w:val="clear" w:color="auto" w:fill="D9E2F3" w:themeFill="accent1" w:themeFillTint="33"/>
          </w:tcPr>
          <w:p w14:paraId="0BB4B12D" w14:textId="229EFD63" w:rsidR="004A2223" w:rsidRDefault="006E3F3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and FCP) – Housekeeping (minor)</w:t>
            </w:r>
          </w:p>
        </w:tc>
        <w:tc>
          <w:tcPr>
            <w:tcW w:w="2613" w:type="dxa"/>
            <w:shd w:val="clear" w:color="auto" w:fill="D9E2F3" w:themeFill="accent1" w:themeFillTint="33"/>
          </w:tcPr>
          <w:p w14:paraId="1C8BC2C4" w14:textId="77777777" w:rsidR="004A2223" w:rsidRDefault="00C5054C"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Amend para 25.2:</w:t>
            </w:r>
          </w:p>
          <w:p w14:paraId="2DFDBC34" w14:textId="561FF4AD" w:rsidR="00C5054C" w:rsidRPr="00C5054C" w:rsidRDefault="00C5054C"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‘In each case, the discount applied to all CDCM tariff components. Discount percentages are capped </w:t>
            </w:r>
            <w:r>
              <w:rPr>
                <w:rFonts w:ascii="Calibri" w:eastAsia="Times New Roman" w:hAnsi="Calibri" w:cs="Calibri"/>
                <w:i/>
                <w:iCs/>
                <w:color w:val="000000"/>
                <w:u w:val="single"/>
                <w:lang w:eastAsia="en-GB"/>
              </w:rPr>
              <w:t xml:space="preserve">[to] </w:t>
            </w:r>
            <w:proofErr w:type="gramStart"/>
            <w:r>
              <w:rPr>
                <w:rFonts w:ascii="Calibri" w:eastAsia="Times New Roman" w:hAnsi="Calibri" w:cs="Calibri"/>
                <w:i/>
                <w:iCs/>
                <w:color w:val="000000"/>
                <w:u w:val="single"/>
                <w:lang w:eastAsia="en-GB"/>
              </w:rPr>
              <w:t xml:space="preserve">at </w:t>
            </w:r>
            <w:r>
              <w:rPr>
                <w:rFonts w:ascii="Calibri" w:eastAsia="Times New Roman" w:hAnsi="Calibri" w:cs="Calibri"/>
                <w:color w:val="000000"/>
                <w:lang w:eastAsia="en-GB"/>
              </w:rPr>
              <w:t xml:space="preserve"> 100</w:t>
            </w:r>
            <w:proofErr w:type="gramEnd"/>
            <w:r>
              <w:rPr>
                <w:rFonts w:ascii="Calibri" w:eastAsia="Times New Roman" w:hAnsi="Calibri" w:cs="Calibri"/>
                <w:color w:val="000000"/>
                <w:lang w:eastAsia="en-GB"/>
              </w:rPr>
              <w:t xml:space="preserve"> per cent.’</w:t>
            </w:r>
          </w:p>
        </w:tc>
      </w:tr>
      <w:tr w:rsidR="004A2223" w:rsidRPr="00646EBF" w14:paraId="6AF9482A" w14:textId="77777777" w:rsidTr="009B4C33">
        <w:trPr>
          <w:trHeight w:val="900"/>
        </w:trPr>
        <w:tc>
          <w:tcPr>
            <w:tcW w:w="463" w:type="dxa"/>
            <w:shd w:val="clear" w:color="auto" w:fill="FFF2CC" w:themeFill="accent4" w:themeFillTint="33"/>
          </w:tcPr>
          <w:p w14:paraId="32BDAD5F" w14:textId="3321B85B" w:rsidR="004A2223" w:rsidRDefault="004A2223" w:rsidP="004A222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33</w:t>
            </w:r>
          </w:p>
        </w:tc>
        <w:tc>
          <w:tcPr>
            <w:tcW w:w="0" w:type="auto"/>
            <w:shd w:val="clear" w:color="auto" w:fill="FFF2CC" w:themeFill="accent4" w:themeFillTint="33"/>
          </w:tcPr>
          <w:p w14:paraId="31B0D6C7" w14:textId="31EC32A0" w:rsidR="004A2223"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18 paragraph 25.2</w:t>
            </w:r>
          </w:p>
        </w:tc>
        <w:tc>
          <w:tcPr>
            <w:tcW w:w="1452" w:type="dxa"/>
            <w:shd w:val="clear" w:color="auto" w:fill="FFF2CC" w:themeFill="accent4" w:themeFillTint="33"/>
          </w:tcPr>
          <w:p w14:paraId="682C4BC9" w14:textId="65A8226D" w:rsidR="004A2223"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LDNO discounts for generators with no reactive power charge</w:t>
            </w:r>
          </w:p>
        </w:tc>
        <w:tc>
          <w:tcPr>
            <w:tcW w:w="1375" w:type="dxa"/>
            <w:shd w:val="clear" w:color="auto" w:fill="FFF2CC" w:themeFill="accent4" w:themeFillTint="33"/>
          </w:tcPr>
          <w:p w14:paraId="06644067" w14:textId="3511DDF5" w:rsidR="004A2223" w:rsidRDefault="0090310B"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LDNO calculations</w:t>
            </w:r>
          </w:p>
        </w:tc>
        <w:tc>
          <w:tcPr>
            <w:tcW w:w="2502" w:type="dxa"/>
            <w:shd w:val="clear" w:color="auto" w:fill="FFF2CC" w:themeFill="accent4" w:themeFillTint="33"/>
          </w:tcPr>
          <w:p w14:paraId="4F0775DA" w14:textId="215387EC" w:rsidR="004A2223" w:rsidRDefault="00A12FA1"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LDNO discounts do not need to be calculated for the variants of the CDCM generation tariffs which do not have a reactive power charge</w:t>
            </w:r>
          </w:p>
        </w:tc>
        <w:tc>
          <w:tcPr>
            <w:tcW w:w="0" w:type="auto"/>
            <w:shd w:val="clear" w:color="auto" w:fill="000000" w:themeFill="text1"/>
            <w:noWrap/>
          </w:tcPr>
          <w:p w14:paraId="6C40FC24" w14:textId="77777777" w:rsidR="004A2223" w:rsidRPr="00646EBF" w:rsidRDefault="004A2223" w:rsidP="004A2223">
            <w:pPr>
              <w:spacing w:after="0" w:line="240" w:lineRule="auto"/>
              <w:rPr>
                <w:rFonts w:ascii="Calibri" w:eastAsia="Times New Roman" w:hAnsi="Calibri" w:cs="Calibri"/>
                <w:color w:val="000000"/>
                <w:lang w:eastAsia="en-GB"/>
              </w:rPr>
            </w:pPr>
          </w:p>
        </w:tc>
        <w:tc>
          <w:tcPr>
            <w:tcW w:w="653" w:type="dxa"/>
            <w:shd w:val="clear" w:color="auto" w:fill="FFF2CC" w:themeFill="accent4" w:themeFillTint="33"/>
          </w:tcPr>
          <w:p w14:paraId="1415EA04" w14:textId="5D52BDEC" w:rsidR="004A2223" w:rsidRDefault="00A12FA1"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2</w:t>
            </w:r>
          </w:p>
        </w:tc>
        <w:tc>
          <w:tcPr>
            <w:tcW w:w="1471" w:type="dxa"/>
            <w:shd w:val="clear" w:color="auto" w:fill="FFF2CC" w:themeFill="accent4" w:themeFillTint="33"/>
          </w:tcPr>
          <w:p w14:paraId="27BF5586" w14:textId="2602DD0D" w:rsidR="004A2223" w:rsidRDefault="00931AB8"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Clarification only</w:t>
            </w:r>
          </w:p>
        </w:tc>
        <w:tc>
          <w:tcPr>
            <w:tcW w:w="2133" w:type="dxa"/>
            <w:shd w:val="clear" w:color="auto" w:fill="FFF2CC" w:themeFill="accent4" w:themeFillTint="33"/>
          </w:tcPr>
          <w:p w14:paraId="7240C6C0" w14:textId="23458977" w:rsidR="004A2223" w:rsidRDefault="006E3F3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and FCP) – Housekeeping (minor)</w:t>
            </w:r>
          </w:p>
        </w:tc>
        <w:tc>
          <w:tcPr>
            <w:tcW w:w="2613" w:type="dxa"/>
            <w:shd w:val="clear" w:color="auto" w:fill="FFF2CC" w:themeFill="accent4" w:themeFillTint="33"/>
          </w:tcPr>
          <w:p w14:paraId="3A15A21F" w14:textId="4DC7E3D8" w:rsidR="004A2223" w:rsidRPr="000177B5" w:rsidRDefault="00C5054C"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Replicate clause 147 of Schedule 16 (which lists tariffs for discounts) at clause 25.3 of Schedule 18</w:t>
            </w:r>
          </w:p>
        </w:tc>
      </w:tr>
      <w:tr w:rsidR="004A2223" w:rsidRPr="00646EBF" w14:paraId="3D26E5A0" w14:textId="77777777" w:rsidTr="00544C61">
        <w:trPr>
          <w:trHeight w:val="900"/>
        </w:trPr>
        <w:tc>
          <w:tcPr>
            <w:tcW w:w="463" w:type="dxa"/>
            <w:shd w:val="clear" w:color="auto" w:fill="D9E2F3" w:themeFill="accent1" w:themeFillTint="33"/>
          </w:tcPr>
          <w:p w14:paraId="1C80574D" w14:textId="310415B5" w:rsidR="004A2223" w:rsidRDefault="004A2223" w:rsidP="004A2223">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34</w:t>
            </w:r>
          </w:p>
        </w:tc>
        <w:tc>
          <w:tcPr>
            <w:tcW w:w="0" w:type="auto"/>
            <w:shd w:val="clear" w:color="auto" w:fill="D9E2F3" w:themeFill="accent1" w:themeFillTint="33"/>
          </w:tcPr>
          <w:p w14:paraId="02A1E68A" w14:textId="5FAC2B53" w:rsidR="004A2223"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18 paragraph 26.11</w:t>
            </w:r>
          </w:p>
        </w:tc>
        <w:tc>
          <w:tcPr>
            <w:tcW w:w="1452" w:type="dxa"/>
            <w:shd w:val="clear" w:color="auto" w:fill="D9E2F3" w:themeFill="accent1" w:themeFillTint="33"/>
          </w:tcPr>
          <w:p w14:paraId="1815ED24" w14:textId="0BFAA43A" w:rsidR="004A2223" w:rsidRDefault="004A222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LDNO scaling by 50%</w:t>
            </w:r>
          </w:p>
        </w:tc>
        <w:tc>
          <w:tcPr>
            <w:tcW w:w="1375" w:type="dxa"/>
            <w:shd w:val="clear" w:color="auto" w:fill="D9E2F3" w:themeFill="accent1" w:themeFillTint="33"/>
          </w:tcPr>
          <w:p w14:paraId="1C37299E" w14:textId="74510C4C" w:rsidR="004A2223" w:rsidRDefault="0090310B"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Import capacity</w:t>
            </w:r>
          </w:p>
        </w:tc>
        <w:tc>
          <w:tcPr>
            <w:tcW w:w="2502" w:type="dxa"/>
            <w:shd w:val="clear" w:color="auto" w:fill="D9E2F3" w:themeFill="accent1" w:themeFillTint="33"/>
          </w:tcPr>
          <w:p w14:paraId="0B444AF9" w14:textId="5F045DF6" w:rsidR="004A2223" w:rsidRDefault="00A12FA1"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this refers to residual revenue as calculated in Schedule 18 paragraph 18.18 and Schedule 18 paragraph 18.20</w:t>
            </w:r>
          </w:p>
        </w:tc>
        <w:tc>
          <w:tcPr>
            <w:tcW w:w="0" w:type="auto"/>
            <w:shd w:val="clear" w:color="auto" w:fill="000000" w:themeFill="text1"/>
            <w:noWrap/>
          </w:tcPr>
          <w:p w14:paraId="55FCEB40" w14:textId="77777777" w:rsidR="004A2223" w:rsidRPr="00646EBF" w:rsidRDefault="004A2223" w:rsidP="004A2223">
            <w:pPr>
              <w:spacing w:after="0" w:line="240" w:lineRule="auto"/>
              <w:rPr>
                <w:rFonts w:ascii="Calibri" w:eastAsia="Times New Roman" w:hAnsi="Calibri" w:cs="Calibri"/>
                <w:color w:val="000000"/>
                <w:lang w:eastAsia="en-GB"/>
              </w:rPr>
            </w:pPr>
          </w:p>
        </w:tc>
        <w:tc>
          <w:tcPr>
            <w:tcW w:w="653" w:type="dxa"/>
            <w:shd w:val="clear" w:color="auto" w:fill="D9E2F3" w:themeFill="accent1" w:themeFillTint="33"/>
          </w:tcPr>
          <w:p w14:paraId="62D9EA50" w14:textId="4A4CF0AF" w:rsidR="004A2223" w:rsidRDefault="00A12FA1"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2</w:t>
            </w:r>
          </w:p>
        </w:tc>
        <w:tc>
          <w:tcPr>
            <w:tcW w:w="1471" w:type="dxa"/>
            <w:shd w:val="clear" w:color="auto" w:fill="D9E2F3" w:themeFill="accent1" w:themeFillTint="33"/>
          </w:tcPr>
          <w:p w14:paraId="5CFEE6C3" w14:textId="5AE1D6F9" w:rsidR="004A2223" w:rsidRDefault="00931AB8"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Clarification only</w:t>
            </w:r>
          </w:p>
        </w:tc>
        <w:tc>
          <w:tcPr>
            <w:tcW w:w="2133" w:type="dxa"/>
            <w:shd w:val="clear" w:color="auto" w:fill="D9E2F3" w:themeFill="accent1" w:themeFillTint="33"/>
          </w:tcPr>
          <w:p w14:paraId="39E7AFAA" w14:textId="1166E3AF" w:rsidR="004A2223" w:rsidRDefault="006E3F33"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and FCP) – Housekeeping (minor)</w:t>
            </w:r>
          </w:p>
        </w:tc>
        <w:tc>
          <w:tcPr>
            <w:tcW w:w="2613" w:type="dxa"/>
            <w:shd w:val="clear" w:color="auto" w:fill="D9E2F3" w:themeFill="accent1" w:themeFillTint="33"/>
          </w:tcPr>
          <w:p w14:paraId="6539A8B8" w14:textId="77777777" w:rsidR="004A2223" w:rsidRDefault="00C5054C"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Amend clause 26.11:</w:t>
            </w:r>
          </w:p>
          <w:p w14:paraId="084AEB05" w14:textId="409C00FF" w:rsidR="00C5054C" w:rsidRPr="00C5054C" w:rsidRDefault="00C5054C" w:rsidP="004A2223">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‘For EDCM Connectees connected to the IDNO Party’s network, the capacity-based charge for the DNO Party’s indirect costs </w:t>
            </w:r>
            <w:r>
              <w:rPr>
                <w:rFonts w:ascii="Calibri" w:eastAsia="Times New Roman" w:hAnsi="Calibri" w:cs="Calibri"/>
                <w:i/>
                <w:iCs/>
                <w:color w:val="000000"/>
                <w:u w:val="single"/>
                <w:lang w:eastAsia="en-GB"/>
              </w:rPr>
              <w:t>(as per clause 18.18)</w:t>
            </w:r>
            <w:r>
              <w:rPr>
                <w:rFonts w:ascii="Calibri" w:eastAsia="Times New Roman" w:hAnsi="Calibri" w:cs="Calibri"/>
                <w:color w:val="000000"/>
                <w:lang w:eastAsia="en-GB"/>
              </w:rPr>
              <w:t xml:space="preserve"> and the 20% share of residual revenue </w:t>
            </w:r>
            <w:r>
              <w:rPr>
                <w:rFonts w:ascii="Calibri" w:eastAsia="Times New Roman" w:hAnsi="Calibri" w:cs="Calibri"/>
                <w:i/>
                <w:iCs/>
                <w:color w:val="000000"/>
                <w:u w:val="single"/>
                <w:lang w:eastAsia="en-GB"/>
              </w:rPr>
              <w:t>(as per clause 18.20)</w:t>
            </w:r>
            <w:r>
              <w:rPr>
                <w:rFonts w:ascii="Calibri" w:eastAsia="Times New Roman" w:hAnsi="Calibri" w:cs="Calibri"/>
                <w:color w:val="000000"/>
                <w:lang w:eastAsia="en-GB"/>
              </w:rPr>
              <w:t xml:space="preserve"> that is applied as a fixed adder, would be scaled down by a factor of 50 per cent, however, the scaling </w:t>
            </w:r>
            <w:r w:rsidR="002D0300">
              <w:rPr>
                <w:rFonts w:ascii="Calibri" w:eastAsia="Times New Roman" w:hAnsi="Calibri" w:cs="Calibri"/>
                <w:color w:val="000000"/>
                <w:lang w:eastAsia="en-GB"/>
              </w:rPr>
              <w:t>down will not apply where the residual revenue is negative.’</w:t>
            </w:r>
          </w:p>
        </w:tc>
      </w:tr>
    </w:tbl>
    <w:p w14:paraId="78526957" w14:textId="77777777" w:rsidR="000F0BD6" w:rsidRDefault="000F0BD6"/>
    <w:sectPr w:rsidR="000F0BD6" w:rsidSect="006577F4">
      <w:pgSz w:w="16838" w:h="11906" w:orient="landscape"/>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Hollie Nicholls" w:date="2020-01-06T16:08:00Z" w:initials="HN">
    <w:p w14:paraId="34D5EF97" w14:textId="2849DF7B" w:rsidR="000424CC" w:rsidRDefault="000424CC">
      <w:pPr>
        <w:pStyle w:val="CommentText"/>
      </w:pPr>
      <w:r>
        <w:rPr>
          <w:rStyle w:val="CommentReference"/>
        </w:rPr>
        <w:annotationRef/>
      </w:r>
      <w:r>
        <w:t xml:space="preserve">Part of solution missing from assumptions log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4D5EF9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D5EF97" w16cid:durableId="21BDDA1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2A2812"/>
    <w:multiLevelType w:val="hybridMultilevel"/>
    <w:tmpl w:val="F1A62A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E6F19EF"/>
    <w:multiLevelType w:val="hybridMultilevel"/>
    <w:tmpl w:val="8308469E"/>
    <w:lvl w:ilvl="0" w:tplc="45E283E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926D03"/>
    <w:multiLevelType w:val="hybridMultilevel"/>
    <w:tmpl w:val="6C38FC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ollie Nicholls">
    <w15:presenceInfo w15:providerId="AD" w15:userId="S::Hollie.Nicholls@electralink.co.uk::5170487c-a9d3-4d2d-866e-8f99d059ba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7F4"/>
    <w:rsid w:val="000424CC"/>
    <w:rsid w:val="000A563C"/>
    <w:rsid w:val="000F0BD6"/>
    <w:rsid w:val="0016280D"/>
    <w:rsid w:val="002D0300"/>
    <w:rsid w:val="004A2223"/>
    <w:rsid w:val="00544C61"/>
    <w:rsid w:val="005A778C"/>
    <w:rsid w:val="005B2923"/>
    <w:rsid w:val="006577F4"/>
    <w:rsid w:val="006633D6"/>
    <w:rsid w:val="00672FF4"/>
    <w:rsid w:val="00674008"/>
    <w:rsid w:val="006E3F33"/>
    <w:rsid w:val="007E61C4"/>
    <w:rsid w:val="00807DAB"/>
    <w:rsid w:val="00812355"/>
    <w:rsid w:val="00815CA4"/>
    <w:rsid w:val="00840C3D"/>
    <w:rsid w:val="00885A02"/>
    <w:rsid w:val="00897861"/>
    <w:rsid w:val="0090310B"/>
    <w:rsid w:val="00931AB8"/>
    <w:rsid w:val="00964B90"/>
    <w:rsid w:val="009B4C33"/>
    <w:rsid w:val="00A12FA1"/>
    <w:rsid w:val="00A429B1"/>
    <w:rsid w:val="00BD6F0C"/>
    <w:rsid w:val="00C5054C"/>
    <w:rsid w:val="00C90779"/>
    <w:rsid w:val="00CA65A1"/>
    <w:rsid w:val="00D45A36"/>
    <w:rsid w:val="00DC665A"/>
    <w:rsid w:val="00E42768"/>
    <w:rsid w:val="00E632F1"/>
    <w:rsid w:val="00F46B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930BD"/>
  <w15:chartTrackingRefBased/>
  <w15:docId w15:val="{38429D40-2965-4151-A762-1756D6A52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77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77F4"/>
    <w:pPr>
      <w:ind w:left="720"/>
      <w:contextualSpacing/>
    </w:pPr>
  </w:style>
  <w:style w:type="character" w:styleId="CommentReference">
    <w:name w:val="annotation reference"/>
    <w:basedOn w:val="DefaultParagraphFont"/>
    <w:uiPriority w:val="99"/>
    <w:semiHidden/>
    <w:unhideWhenUsed/>
    <w:rsid w:val="006577F4"/>
    <w:rPr>
      <w:sz w:val="16"/>
      <w:szCs w:val="16"/>
    </w:rPr>
  </w:style>
  <w:style w:type="paragraph" w:styleId="CommentText">
    <w:name w:val="annotation text"/>
    <w:basedOn w:val="Normal"/>
    <w:link w:val="CommentTextChar"/>
    <w:uiPriority w:val="99"/>
    <w:semiHidden/>
    <w:unhideWhenUsed/>
    <w:rsid w:val="006577F4"/>
    <w:pPr>
      <w:spacing w:line="240" w:lineRule="auto"/>
    </w:pPr>
    <w:rPr>
      <w:sz w:val="20"/>
      <w:szCs w:val="20"/>
    </w:rPr>
  </w:style>
  <w:style w:type="character" w:customStyle="1" w:styleId="CommentTextChar">
    <w:name w:val="Comment Text Char"/>
    <w:basedOn w:val="DefaultParagraphFont"/>
    <w:link w:val="CommentText"/>
    <w:uiPriority w:val="99"/>
    <w:semiHidden/>
    <w:rsid w:val="006577F4"/>
    <w:rPr>
      <w:sz w:val="20"/>
      <w:szCs w:val="20"/>
    </w:rPr>
  </w:style>
  <w:style w:type="paragraph" w:styleId="BalloonText">
    <w:name w:val="Balloon Text"/>
    <w:basedOn w:val="Normal"/>
    <w:link w:val="BalloonTextChar"/>
    <w:uiPriority w:val="99"/>
    <w:semiHidden/>
    <w:unhideWhenUsed/>
    <w:rsid w:val="006577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77F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424CC"/>
    <w:rPr>
      <w:b/>
      <w:bCs/>
    </w:rPr>
  </w:style>
  <w:style w:type="character" w:customStyle="1" w:styleId="CommentSubjectChar">
    <w:name w:val="Comment Subject Char"/>
    <w:basedOn w:val="CommentTextChar"/>
    <w:link w:val="CommentSubject"/>
    <w:uiPriority w:val="99"/>
    <w:semiHidden/>
    <w:rsid w:val="000424C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396</TotalTime>
  <Pages>20</Pages>
  <Words>3551</Words>
  <Characters>20245</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Nicholls</dc:creator>
  <cp:keywords/>
  <dc:description/>
  <cp:lastModifiedBy>Hollie Nicholls</cp:lastModifiedBy>
  <cp:revision>7</cp:revision>
  <dcterms:created xsi:type="dcterms:W3CDTF">2020-01-06T10:22:00Z</dcterms:created>
  <dcterms:modified xsi:type="dcterms:W3CDTF">2020-01-06T17:28:00Z</dcterms:modified>
</cp:coreProperties>
</file>