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page" w:tblpX="775" w:tblpY="1474"/>
        <w:tblW w:w="10134" w:type="dxa"/>
        <w:shd w:val="clear" w:color="auto" w:fill="CCE0DA"/>
        <w:tblLayout w:type="fixed"/>
        <w:tblCellMar>
          <w:left w:w="0" w:type="dxa"/>
          <w:right w:w="0" w:type="dxa"/>
        </w:tblCellMar>
        <w:tblLook w:val="01E0" w:firstRow="1" w:lastRow="1" w:firstColumn="1" w:lastColumn="1" w:noHBand="0" w:noVBand="0"/>
      </w:tblPr>
      <w:tblGrid>
        <w:gridCol w:w="913"/>
        <w:gridCol w:w="7060"/>
        <w:gridCol w:w="2161"/>
      </w:tblGrid>
      <w:tr w:rsidR="006F19E3" w:rsidRPr="00EB32BB" w14:paraId="555A880A" w14:textId="77777777" w:rsidTr="00B23506">
        <w:trPr>
          <w:trHeight w:val="826"/>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9A4D9E"/>
          </w:tcPr>
          <w:p w14:paraId="63766975" w14:textId="77777777" w:rsidR="006F19E3" w:rsidRPr="00370EB1" w:rsidRDefault="007F41DB" w:rsidP="0045172D">
            <w:pPr>
              <w:tabs>
                <w:tab w:val="left" w:pos="2901"/>
              </w:tabs>
              <w:spacing w:before="240" w:after="240"/>
              <w:ind w:left="113"/>
              <w:rPr>
                <w:rFonts w:cs="Arial"/>
                <w:b/>
                <w:color w:val="FFFFFF"/>
                <w:sz w:val="40"/>
                <w:szCs w:val="40"/>
              </w:rPr>
            </w:pPr>
            <w:r w:rsidRPr="00370EB1">
              <w:rPr>
                <w:rFonts w:cs="Arial"/>
                <w:b/>
                <w:color w:val="FFFFFF"/>
                <w:sz w:val="40"/>
                <w:szCs w:val="40"/>
              </w:rPr>
              <w:t>DCUSA</w:t>
            </w:r>
            <w:r w:rsidR="00B23506" w:rsidRPr="00370EB1">
              <w:rPr>
                <w:rFonts w:cs="Arial"/>
                <w:b/>
                <w:color w:val="FFFFFF"/>
                <w:sz w:val="40"/>
                <w:szCs w:val="40"/>
              </w:rPr>
              <w:t xml:space="preserve"> </w:t>
            </w:r>
            <w:r w:rsidR="00277121" w:rsidRPr="00370EB1">
              <w:rPr>
                <w:rFonts w:cs="Arial"/>
                <w:b/>
                <w:color w:val="FFFFFF"/>
                <w:sz w:val="40"/>
                <w:szCs w:val="40"/>
              </w:rPr>
              <w:t xml:space="preserve">Change </w:t>
            </w:r>
            <w:r w:rsidR="00B23506" w:rsidRPr="00370EB1">
              <w:rPr>
                <w:rFonts w:cs="Arial"/>
                <w:b/>
                <w:color w:val="FFFFFF"/>
                <w:sz w:val="40"/>
                <w:szCs w:val="40"/>
              </w:rPr>
              <w:t>Report</w:t>
            </w:r>
            <w:r w:rsidR="006F19E3" w:rsidRPr="00370EB1">
              <w:rPr>
                <w:rFonts w:cs="Arial"/>
                <w:b/>
                <w:color w:val="FFFFFF"/>
                <w:sz w:val="40"/>
                <w:szCs w:val="40"/>
              </w:rPr>
              <w:tab/>
            </w:r>
          </w:p>
        </w:tc>
        <w:tc>
          <w:tcPr>
            <w:tcW w:w="2161" w:type="dxa"/>
            <w:tcBorders>
              <w:top w:val="single" w:sz="4" w:space="0" w:color="4A8958"/>
              <w:left w:val="single" w:sz="4" w:space="0" w:color="4A8958"/>
              <w:bottom w:val="single" w:sz="4" w:space="0" w:color="4A8958"/>
              <w:right w:val="single" w:sz="4" w:space="0" w:color="4A8958"/>
            </w:tcBorders>
            <w:shd w:val="clear" w:color="auto" w:fill="9A4D9E"/>
          </w:tcPr>
          <w:p w14:paraId="50B89C8C" w14:textId="77777777" w:rsidR="006F19E3" w:rsidRPr="00EB32BB" w:rsidRDefault="006F19E3" w:rsidP="006F19E3">
            <w:pPr>
              <w:pStyle w:val="BlockText"/>
              <w:spacing w:line="240" w:lineRule="auto"/>
              <w:ind w:left="57" w:right="-57"/>
              <w:rPr>
                <w:rFonts w:cs="Arial"/>
                <w:sz w:val="20"/>
                <w:szCs w:val="20"/>
              </w:rPr>
            </w:pPr>
            <w:r w:rsidRPr="00EB32BB">
              <w:rPr>
                <w:rFonts w:cs="Arial"/>
                <w:sz w:val="20"/>
                <w:szCs w:val="20"/>
              </w:rPr>
              <w:t>At what stage is this document in the process?</w:t>
            </w:r>
          </w:p>
        </w:tc>
      </w:tr>
      <w:tr w:rsidR="006F19E3" w:rsidRPr="00EB32BB" w14:paraId="0BC494D0" w14:textId="77777777" w:rsidTr="006F19E3">
        <w:trPr>
          <w:trHeight w:val="2725"/>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auto"/>
          </w:tcPr>
          <w:p w14:paraId="0D21D807" w14:textId="0939F3EF" w:rsidR="00A77FCF" w:rsidRPr="009456EB" w:rsidRDefault="00A77FCF" w:rsidP="00A77FCF">
            <w:pPr>
              <w:ind w:left="113" w:right="113"/>
              <w:rPr>
                <w:rFonts w:cs="Arial"/>
                <w:b/>
                <w:i/>
                <w:color w:val="00B274"/>
                <w:sz w:val="24"/>
              </w:rPr>
            </w:pPr>
            <w:r w:rsidRPr="009456EB">
              <w:rPr>
                <w:rFonts w:cs="Arial"/>
                <w:b/>
                <w:color w:val="008576"/>
                <w:sz w:val="80"/>
                <w:szCs w:val="80"/>
              </w:rPr>
              <w:t xml:space="preserve">DCP </w:t>
            </w:r>
            <w:r w:rsidR="006E7CA8">
              <w:rPr>
                <w:rFonts w:cs="Arial"/>
                <w:b/>
                <w:color w:val="008576"/>
                <w:sz w:val="80"/>
                <w:szCs w:val="80"/>
              </w:rPr>
              <w:t>409</w:t>
            </w:r>
          </w:p>
          <w:p w14:paraId="666949B3" w14:textId="6EE6F7B2" w:rsidR="00D853AA" w:rsidRPr="00D853AA" w:rsidRDefault="00A77FCF" w:rsidP="00D853AA">
            <w:pPr>
              <w:ind w:left="113" w:right="113"/>
              <w:rPr>
                <w:rFonts w:cs="Arial"/>
                <w:b/>
                <w:i/>
                <w:color w:val="008000"/>
                <w:sz w:val="48"/>
                <w:szCs w:val="48"/>
              </w:rPr>
            </w:pPr>
            <w:r w:rsidRPr="009456EB">
              <w:rPr>
                <w:rFonts w:cs="Arial"/>
                <w:b/>
                <w:color w:val="008000"/>
                <w:sz w:val="48"/>
                <w:szCs w:val="48"/>
              </w:rPr>
              <w:t>DCP Title</w:t>
            </w:r>
            <w:r w:rsidR="001B6C3E" w:rsidRPr="009456EB">
              <w:rPr>
                <w:rFonts w:cs="Arial"/>
                <w:b/>
                <w:color w:val="008000"/>
                <w:sz w:val="48"/>
                <w:szCs w:val="48"/>
              </w:rPr>
              <w:t>:</w:t>
            </w:r>
            <w:bookmarkStart w:id="0" w:name="_Hlk26361710"/>
            <w:r w:rsidR="00D853AA">
              <w:rPr>
                <w:rFonts w:cs="Arial"/>
                <w:b/>
                <w:color w:val="008000"/>
                <w:sz w:val="48"/>
                <w:szCs w:val="48"/>
              </w:rPr>
              <w:t xml:space="preserve"> </w:t>
            </w:r>
            <w:r w:rsidR="006E7CA8" w:rsidRPr="006E7CA8">
              <w:rPr>
                <w:rFonts w:cs="Arial"/>
                <w:b/>
                <w:color w:val="008000"/>
                <w:sz w:val="48"/>
                <w:szCs w:val="48"/>
              </w:rPr>
              <w:t>Change to Credit cover calculations to include Last Resort Supply Payment</w:t>
            </w:r>
            <w:r w:rsidR="006E7CA8">
              <w:rPr>
                <w:rFonts w:cs="Arial"/>
                <w:b/>
                <w:color w:val="008000"/>
                <w:sz w:val="48"/>
                <w:szCs w:val="48"/>
              </w:rPr>
              <w:t>.</w:t>
            </w:r>
          </w:p>
          <w:bookmarkEnd w:id="0"/>
          <w:p w14:paraId="703D4AF7" w14:textId="77777777" w:rsidR="00D853AA" w:rsidRDefault="00D853AA" w:rsidP="009456EB">
            <w:pPr>
              <w:ind w:left="113" w:right="113"/>
              <w:rPr>
                <w:rFonts w:cs="Arial"/>
                <w:i/>
                <w:color w:val="00B274"/>
                <w:sz w:val="24"/>
              </w:rPr>
            </w:pPr>
          </w:p>
          <w:p w14:paraId="7A71D7FE" w14:textId="1E7D5A25" w:rsidR="006F19E3" w:rsidRPr="008667CC" w:rsidRDefault="00D853AA" w:rsidP="009456EB">
            <w:pPr>
              <w:ind w:left="113" w:right="113"/>
              <w:rPr>
                <w:rFonts w:cs="Arial"/>
                <w:i/>
                <w:color w:val="00B274"/>
                <w:sz w:val="24"/>
              </w:rPr>
            </w:pPr>
            <w:r w:rsidRPr="004155E5">
              <w:rPr>
                <w:rFonts w:cs="Arial"/>
                <w:i/>
                <w:color w:val="00B274"/>
                <w:sz w:val="24"/>
              </w:rPr>
              <w:t xml:space="preserve">Raised on the </w:t>
            </w:r>
            <w:r w:rsidR="00411E73">
              <w:rPr>
                <w:rFonts w:cs="Arial"/>
                <w:i/>
                <w:color w:val="00B274"/>
                <w:sz w:val="24"/>
              </w:rPr>
              <w:t>18</w:t>
            </w:r>
            <w:r w:rsidRPr="004155E5">
              <w:rPr>
                <w:rFonts w:cs="Arial"/>
                <w:i/>
                <w:color w:val="00B274"/>
                <w:sz w:val="24"/>
              </w:rPr>
              <w:t xml:space="preserve"> </w:t>
            </w:r>
            <w:r w:rsidR="00411E73">
              <w:rPr>
                <w:rFonts w:cs="Arial"/>
                <w:i/>
                <w:color w:val="00B274"/>
                <w:sz w:val="24"/>
              </w:rPr>
              <w:t>May</w:t>
            </w:r>
            <w:r w:rsidRPr="004155E5">
              <w:rPr>
                <w:rFonts w:cs="Arial"/>
                <w:i/>
                <w:color w:val="00B274"/>
                <w:sz w:val="24"/>
              </w:rPr>
              <w:t xml:space="preserve"> 202</w:t>
            </w:r>
            <w:r w:rsidR="006E7CA8">
              <w:rPr>
                <w:rFonts w:cs="Arial"/>
                <w:i/>
                <w:color w:val="00B274"/>
                <w:sz w:val="24"/>
              </w:rPr>
              <w:t>2</w:t>
            </w:r>
            <w:r w:rsidRPr="004155E5">
              <w:rPr>
                <w:rFonts w:cs="Arial"/>
                <w:i/>
                <w:color w:val="00B274"/>
                <w:sz w:val="24"/>
              </w:rPr>
              <w:t xml:space="preserve"> as a Standard Change</w:t>
            </w:r>
          </w:p>
        </w:tc>
        <w:tc>
          <w:tcPr>
            <w:tcW w:w="2161" w:type="dxa"/>
            <w:tcBorders>
              <w:top w:val="single" w:sz="4" w:space="0" w:color="4A8958"/>
              <w:left w:val="single" w:sz="4" w:space="0" w:color="FFFFFF"/>
              <w:bottom w:val="single" w:sz="4" w:space="0" w:color="4A8958"/>
              <w:right w:val="single" w:sz="4" w:space="0" w:color="4A8958"/>
            </w:tcBorders>
            <w:shd w:val="clear" w:color="auto" w:fill="auto"/>
          </w:tcPr>
          <w:tbl>
            <w:tblPr>
              <w:tblW w:w="207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5"/>
            </w:tblGrid>
            <w:tr w:rsidR="000E1892" w:rsidRPr="00881D23" w14:paraId="292E78CF" w14:textId="77777777" w:rsidTr="000E1892">
              <w:trPr>
                <w:trHeight w:val="820"/>
              </w:trPr>
              <w:tc>
                <w:tcPr>
                  <w:tcW w:w="2075" w:type="dxa"/>
                  <w:shd w:val="clear" w:color="auto" w:fill="auto"/>
                  <w:vAlign w:val="center"/>
                </w:tcPr>
                <w:p w14:paraId="7C782B9F" w14:textId="77777777" w:rsidR="000E1892" w:rsidRPr="000E1892" w:rsidRDefault="000E1892" w:rsidP="00A905FB">
                  <w:pPr>
                    <w:framePr w:hSpace="180" w:wrap="around" w:vAnchor="page" w:hAnchor="page" w:x="775" w:y="1474"/>
                    <w:spacing w:line="240" w:lineRule="auto"/>
                    <w:ind w:right="28"/>
                    <w:rPr>
                      <w:rFonts w:cs="Arial"/>
                      <w:b/>
                      <w:color w:val="00B274"/>
                      <w:szCs w:val="20"/>
                    </w:rPr>
                  </w:pPr>
                  <w:r w:rsidRPr="000E1892">
                    <w:rPr>
                      <w:rFonts w:cs="Arial"/>
                      <w:b/>
                      <w:color w:val="00B274"/>
                      <w:szCs w:val="20"/>
                    </w:rPr>
                    <w:t>01 – Change Proposal</w:t>
                  </w:r>
                </w:p>
              </w:tc>
            </w:tr>
            <w:tr w:rsidR="000E1892" w:rsidRPr="00881D23" w14:paraId="28ED4F27" w14:textId="77777777" w:rsidTr="001A1612">
              <w:trPr>
                <w:trHeight w:val="802"/>
              </w:trPr>
              <w:tc>
                <w:tcPr>
                  <w:tcW w:w="2075" w:type="dxa"/>
                  <w:shd w:val="clear" w:color="auto" w:fill="FFFFFF"/>
                  <w:vAlign w:val="center"/>
                </w:tcPr>
                <w:p w14:paraId="76DD7563" w14:textId="77777777" w:rsidR="000E1892" w:rsidRPr="00881D23" w:rsidRDefault="000E1892" w:rsidP="00A905FB">
                  <w:pPr>
                    <w:framePr w:hSpace="180" w:wrap="around" w:vAnchor="page" w:hAnchor="page" w:x="775" w:y="1474"/>
                    <w:spacing w:line="240" w:lineRule="auto"/>
                    <w:ind w:right="28"/>
                    <w:rPr>
                      <w:rFonts w:cs="Arial"/>
                      <w:b/>
                      <w:color w:val="0096D7"/>
                      <w:szCs w:val="20"/>
                    </w:rPr>
                  </w:pPr>
                  <w:r w:rsidRPr="00881D23">
                    <w:rPr>
                      <w:rFonts w:cs="Arial"/>
                      <w:b/>
                      <w:color w:val="0096D7"/>
                      <w:szCs w:val="20"/>
                    </w:rPr>
                    <w:t xml:space="preserve">02 – </w:t>
                  </w:r>
                  <w:r>
                    <w:rPr>
                      <w:rFonts w:cs="Arial"/>
                      <w:b/>
                      <w:color w:val="0096D7"/>
                      <w:szCs w:val="20"/>
                    </w:rPr>
                    <w:t>Consultation</w:t>
                  </w:r>
                  <w:r w:rsidRPr="00881D23">
                    <w:rPr>
                      <w:rFonts w:cs="Arial"/>
                      <w:b/>
                      <w:color w:val="0096D7"/>
                      <w:szCs w:val="20"/>
                    </w:rPr>
                    <w:t xml:space="preserve"> </w:t>
                  </w:r>
                </w:p>
              </w:tc>
            </w:tr>
            <w:tr w:rsidR="000E1892" w:rsidRPr="00881D23" w14:paraId="7A2F7A55" w14:textId="77777777" w:rsidTr="000E1892">
              <w:trPr>
                <w:trHeight w:val="800"/>
              </w:trPr>
              <w:tc>
                <w:tcPr>
                  <w:tcW w:w="2075" w:type="dxa"/>
                  <w:shd w:val="clear" w:color="auto" w:fill="9A4D9E"/>
                  <w:vAlign w:val="center"/>
                </w:tcPr>
                <w:p w14:paraId="33024C22" w14:textId="77777777" w:rsidR="000E1892" w:rsidRPr="001A1612" w:rsidRDefault="000E1892" w:rsidP="00A905FB">
                  <w:pPr>
                    <w:framePr w:hSpace="180" w:wrap="around" w:vAnchor="page" w:hAnchor="page" w:x="775" w:y="1474"/>
                    <w:spacing w:line="240" w:lineRule="auto"/>
                    <w:ind w:right="28"/>
                    <w:rPr>
                      <w:rFonts w:cs="Arial"/>
                      <w:b/>
                      <w:color w:val="FFFFFF"/>
                      <w:szCs w:val="20"/>
                    </w:rPr>
                  </w:pPr>
                  <w:r w:rsidRPr="001A1612">
                    <w:rPr>
                      <w:rFonts w:cs="Arial"/>
                      <w:b/>
                      <w:color w:val="FFFFFF"/>
                      <w:szCs w:val="20"/>
                    </w:rPr>
                    <w:t>03 –</w:t>
                  </w:r>
                  <w:r w:rsidR="00163588">
                    <w:rPr>
                      <w:rFonts w:cs="Arial"/>
                      <w:b/>
                      <w:color w:val="FFFFFF"/>
                      <w:szCs w:val="20"/>
                    </w:rPr>
                    <w:t xml:space="preserve"> </w:t>
                  </w:r>
                  <w:r w:rsidRPr="001A1612">
                    <w:rPr>
                      <w:rFonts w:cs="Arial"/>
                      <w:b/>
                      <w:color w:val="FFFFFF"/>
                      <w:szCs w:val="20"/>
                    </w:rPr>
                    <w:t>Change Report</w:t>
                  </w:r>
                </w:p>
              </w:tc>
            </w:tr>
            <w:tr w:rsidR="000E1892" w:rsidRPr="00881D23" w14:paraId="45D0C165" w14:textId="77777777" w:rsidTr="001A1612">
              <w:trPr>
                <w:trHeight w:val="795"/>
              </w:trPr>
              <w:tc>
                <w:tcPr>
                  <w:tcW w:w="2075" w:type="dxa"/>
                  <w:shd w:val="clear" w:color="auto" w:fill="FFFFFF"/>
                  <w:vAlign w:val="center"/>
                </w:tcPr>
                <w:p w14:paraId="0A7501BF" w14:textId="77777777" w:rsidR="000E1892" w:rsidRPr="00881D23" w:rsidRDefault="000E1892" w:rsidP="00A905FB">
                  <w:pPr>
                    <w:framePr w:hSpace="180" w:wrap="around" w:vAnchor="page" w:hAnchor="page" w:x="775" w:y="1474"/>
                    <w:spacing w:line="240" w:lineRule="auto"/>
                    <w:ind w:right="28"/>
                    <w:rPr>
                      <w:rFonts w:cs="Arial"/>
                      <w:b/>
                      <w:color w:val="F59114"/>
                      <w:szCs w:val="20"/>
                    </w:rPr>
                  </w:pPr>
                  <w:r w:rsidRPr="00881D23">
                    <w:rPr>
                      <w:rFonts w:cs="Arial"/>
                      <w:b/>
                      <w:color w:val="F59114"/>
                      <w:szCs w:val="20"/>
                    </w:rPr>
                    <w:t xml:space="preserve">04 – </w:t>
                  </w:r>
                  <w:r w:rsidR="003A0F21">
                    <w:rPr>
                      <w:rFonts w:cs="Arial"/>
                      <w:b/>
                      <w:color w:val="F59114"/>
                      <w:szCs w:val="20"/>
                    </w:rPr>
                    <w:t>Change Declaration</w:t>
                  </w:r>
                  <w:r w:rsidR="00163588">
                    <w:rPr>
                      <w:rFonts w:cs="Arial"/>
                      <w:b/>
                      <w:color w:val="F59114"/>
                      <w:szCs w:val="20"/>
                    </w:rPr>
                    <w:t xml:space="preserve"> </w:t>
                  </w:r>
                </w:p>
              </w:tc>
            </w:tr>
          </w:tbl>
          <w:p w14:paraId="749824B1" w14:textId="77777777" w:rsidR="006F19E3" w:rsidRPr="00EB32BB" w:rsidRDefault="006F19E3" w:rsidP="00FE4A41">
            <w:pPr>
              <w:spacing w:line="240" w:lineRule="auto"/>
              <w:ind w:left="28" w:right="28"/>
              <w:rPr>
                <w:rFonts w:cs="Arial"/>
                <w:color w:val="008576"/>
                <w:szCs w:val="20"/>
              </w:rPr>
            </w:pPr>
          </w:p>
        </w:tc>
      </w:tr>
      <w:tr w:rsidR="006F19E3" w:rsidRPr="00EB32BB" w14:paraId="01AAA29B" w14:textId="77777777" w:rsidTr="006F19E3">
        <w:trPr>
          <w:trHeight w:val="862"/>
        </w:trPr>
        <w:tc>
          <w:tcPr>
            <w:tcW w:w="10134" w:type="dxa"/>
            <w:gridSpan w:val="3"/>
            <w:tcBorders>
              <w:top w:val="single" w:sz="4" w:space="0" w:color="4A8958"/>
              <w:left w:val="single" w:sz="4" w:space="0" w:color="4A8958"/>
              <w:bottom w:val="single" w:sz="4" w:space="0" w:color="4A8958"/>
              <w:right w:val="single" w:sz="4" w:space="0" w:color="4A8958"/>
            </w:tcBorders>
            <w:shd w:val="clear" w:color="auto" w:fill="auto"/>
          </w:tcPr>
          <w:p w14:paraId="0F8DA271" w14:textId="77777777" w:rsidR="006F19E3" w:rsidRPr="007044BE" w:rsidRDefault="006F19E3" w:rsidP="006F19E3">
            <w:pPr>
              <w:pStyle w:val="BodyText2"/>
              <w:ind w:left="113" w:right="113"/>
              <w:rPr>
                <w:rFonts w:cs="Arial"/>
                <w:b/>
                <w:i/>
                <w:color w:val="00B274"/>
                <w:sz w:val="24"/>
              </w:rPr>
            </w:pPr>
            <w:r w:rsidRPr="007044BE">
              <w:rPr>
                <w:rFonts w:cs="Arial"/>
                <w:b/>
                <w:sz w:val="24"/>
              </w:rPr>
              <w:t xml:space="preserve">Purpose of </w:t>
            </w:r>
            <w:r w:rsidR="00A77FCF">
              <w:rPr>
                <w:rFonts w:cs="Arial"/>
                <w:b/>
                <w:sz w:val="24"/>
              </w:rPr>
              <w:t>Change Proposal</w:t>
            </w:r>
            <w:r w:rsidRPr="007044BE">
              <w:rPr>
                <w:rFonts w:cs="Arial"/>
                <w:b/>
                <w:sz w:val="24"/>
              </w:rPr>
              <w:t>:</w:t>
            </w:r>
            <w:r w:rsidRPr="007044BE">
              <w:rPr>
                <w:rFonts w:cs="Arial"/>
                <w:b/>
                <w:i/>
                <w:color w:val="00B274"/>
                <w:sz w:val="24"/>
              </w:rPr>
              <w:t xml:space="preserve"> </w:t>
            </w:r>
          </w:p>
          <w:p w14:paraId="479D8957" w14:textId="42C703C7" w:rsidR="00502763" w:rsidRPr="00EB32BB" w:rsidRDefault="006E7CA8" w:rsidP="001021F6">
            <w:pPr>
              <w:ind w:left="113" w:right="113"/>
              <w:jc w:val="both"/>
              <w:rPr>
                <w:rFonts w:cs="Arial"/>
              </w:rPr>
            </w:pPr>
            <w:r w:rsidRPr="006E7CA8">
              <w:rPr>
                <w:sz w:val="24"/>
              </w:rPr>
              <w:t xml:space="preserve">DCP 409 seeks to adjust </w:t>
            </w:r>
            <w:r w:rsidR="009E78BD">
              <w:rPr>
                <w:sz w:val="24"/>
              </w:rPr>
              <w:t>Supplier</w:t>
            </w:r>
            <w:r w:rsidRPr="006E7CA8">
              <w:rPr>
                <w:sz w:val="24"/>
              </w:rPr>
              <w:t xml:space="preserve">s’ Value at Risk calculations to take account of Valid Claims under the </w:t>
            </w:r>
            <w:r w:rsidR="009E78BD">
              <w:rPr>
                <w:sz w:val="24"/>
              </w:rPr>
              <w:t>Supplier</w:t>
            </w:r>
            <w:r w:rsidRPr="006E7CA8">
              <w:rPr>
                <w:sz w:val="24"/>
              </w:rPr>
              <w:t xml:space="preserve"> of Last Resort Process that may be due to the </w:t>
            </w:r>
            <w:r w:rsidR="009E78BD">
              <w:rPr>
                <w:sz w:val="24"/>
              </w:rPr>
              <w:t>Supplier</w:t>
            </w:r>
            <w:r w:rsidRPr="006E7CA8">
              <w:rPr>
                <w:sz w:val="24"/>
              </w:rPr>
              <w:t xml:space="preserve"> as Last Resort Supply Payments over the coming months.</w:t>
            </w:r>
          </w:p>
        </w:tc>
      </w:tr>
      <w:tr w:rsidR="006F19E3" w:rsidRPr="00EB32BB" w14:paraId="4D0B36F5" w14:textId="77777777" w:rsidTr="00927651">
        <w:trPr>
          <w:trHeight w:val="2872"/>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0A2CB92D" w14:textId="71CE3B27" w:rsidR="006F19E3" w:rsidRPr="00EB32BB" w:rsidRDefault="008B547E" w:rsidP="006F19E3">
            <w:pPr>
              <w:ind w:firstLine="9"/>
              <w:jc w:val="center"/>
              <w:rPr>
                <w:rFonts w:cs="Arial"/>
              </w:rPr>
            </w:pPr>
            <w:r w:rsidRPr="00AF30A5">
              <w:rPr>
                <w:rFonts w:cs="Arial"/>
                <w:noProof/>
                <w:lang w:val="en-US" w:eastAsia="en-US"/>
              </w:rPr>
              <w:drawing>
                <wp:inline distT="0" distB="0" distL="0" distR="0" wp14:anchorId="2AB107B1" wp14:editId="41D3B4DC">
                  <wp:extent cx="468630" cy="468630"/>
                  <wp:effectExtent l="0" t="0" r="0" b="0"/>
                  <wp:docPr id="11" name="Picture 1"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8">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8630" cy="468630"/>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70C8B4E9" w14:textId="2077B9FD" w:rsidR="007A794B" w:rsidRDefault="007F41DB" w:rsidP="001021F6">
            <w:pPr>
              <w:ind w:left="113" w:right="170"/>
              <w:jc w:val="both"/>
              <w:rPr>
                <w:sz w:val="24"/>
              </w:rPr>
            </w:pPr>
            <w:r w:rsidRPr="007F41DB">
              <w:rPr>
                <w:sz w:val="24"/>
              </w:rPr>
              <w:t xml:space="preserve">This document is issued in accordance with Clause 11.20 of the DCUSA, and details </w:t>
            </w:r>
            <w:r w:rsidR="00845FD4">
              <w:rPr>
                <w:sz w:val="24"/>
              </w:rPr>
              <w:t xml:space="preserve">DCP </w:t>
            </w:r>
            <w:r w:rsidR="006E7CA8">
              <w:rPr>
                <w:sz w:val="24"/>
              </w:rPr>
              <w:t>409</w:t>
            </w:r>
            <w:r w:rsidR="00845FD4">
              <w:rPr>
                <w:sz w:val="24"/>
              </w:rPr>
              <w:t xml:space="preserve"> ‘</w:t>
            </w:r>
            <w:r w:rsidR="006E7CA8" w:rsidRPr="006E7CA8">
              <w:rPr>
                <w:sz w:val="24"/>
              </w:rPr>
              <w:t>Change to Credit cover calculations to include Last Resort Supply Payment</w:t>
            </w:r>
            <w:r w:rsidR="00845FD4" w:rsidRPr="00C736BA">
              <w:rPr>
                <w:sz w:val="24"/>
              </w:rPr>
              <w:t xml:space="preserve">’ </w:t>
            </w:r>
            <w:r w:rsidR="007A794B" w:rsidRPr="00C736BA">
              <w:rPr>
                <w:sz w:val="24"/>
              </w:rPr>
              <w:t xml:space="preserve">Parties are invited to consider the proposed </w:t>
            </w:r>
            <w:r w:rsidR="007A794B" w:rsidRPr="00284F86">
              <w:rPr>
                <w:sz w:val="24"/>
              </w:rPr>
              <w:t>amendment (Attachment 1) and submit their votes using the Voting form (Attachment 2)</w:t>
            </w:r>
            <w:r w:rsidR="007A794B" w:rsidRPr="00C90A25">
              <w:rPr>
                <w:sz w:val="24"/>
              </w:rPr>
              <w:t xml:space="preserve"> to</w:t>
            </w:r>
            <w:r w:rsidR="007A794B" w:rsidRPr="007A794B">
              <w:rPr>
                <w:sz w:val="24"/>
              </w:rPr>
              <w:t xml:space="preserve"> </w:t>
            </w:r>
            <w:hyperlink r:id="rId9" w:history="1">
              <w:r w:rsidR="007A794B" w:rsidRPr="00AE665E">
                <w:rPr>
                  <w:rStyle w:val="Hyperlink"/>
                  <w:sz w:val="24"/>
                </w:rPr>
                <w:t>dcusa@electralink.co.uk</w:t>
              </w:r>
            </w:hyperlink>
            <w:r w:rsidR="007A794B">
              <w:rPr>
                <w:sz w:val="24"/>
              </w:rPr>
              <w:t xml:space="preserve"> </w:t>
            </w:r>
            <w:r w:rsidR="007A794B" w:rsidRPr="007A794B">
              <w:rPr>
                <w:sz w:val="24"/>
              </w:rPr>
              <w:t xml:space="preserve"> by </w:t>
            </w:r>
            <w:r w:rsidR="00415742">
              <w:rPr>
                <w:sz w:val="24"/>
              </w:rPr>
              <w:t xml:space="preserve">14 October 2022. </w:t>
            </w:r>
          </w:p>
          <w:p w14:paraId="5ED13D01" w14:textId="77777777" w:rsidR="007A794B" w:rsidRDefault="007F41DB" w:rsidP="001021F6">
            <w:pPr>
              <w:ind w:left="113" w:right="170"/>
              <w:jc w:val="both"/>
              <w:rPr>
                <w:sz w:val="24"/>
              </w:rPr>
            </w:pPr>
            <w:r w:rsidRPr="007F41DB">
              <w:rPr>
                <w:sz w:val="24"/>
              </w:rPr>
              <w:t>The voting process for the proposed variation and the timetable of the progression of the Change Proposal (CP) through the DCUSA Change Control Process is set out in this document.</w:t>
            </w:r>
            <w:r w:rsidR="007A794B">
              <w:t xml:space="preserve"> </w:t>
            </w:r>
          </w:p>
          <w:p w14:paraId="1C1E2F59" w14:textId="77777777" w:rsidR="00D519A7" w:rsidRPr="008667CC" w:rsidRDefault="007A794B" w:rsidP="001021F6">
            <w:pPr>
              <w:ind w:left="113" w:right="170"/>
              <w:jc w:val="both"/>
              <w:rPr>
                <w:sz w:val="24"/>
              </w:rPr>
            </w:pPr>
            <w:r w:rsidRPr="007A794B">
              <w:rPr>
                <w:sz w:val="24"/>
              </w:rPr>
              <w:t xml:space="preserve">If you have any questions about this paper or the DCUSA Change </w:t>
            </w:r>
            <w:r w:rsidR="00597E76" w:rsidRPr="007A794B">
              <w:rPr>
                <w:sz w:val="24"/>
              </w:rPr>
              <w:t>Process,</w:t>
            </w:r>
            <w:r w:rsidRPr="007A794B">
              <w:rPr>
                <w:sz w:val="24"/>
              </w:rPr>
              <w:t xml:space="preserve"> please contact the DCUSA by email to dcusa@electralink.co.uk or telephone 020 7432 30</w:t>
            </w:r>
            <w:r w:rsidR="00597E76">
              <w:rPr>
                <w:sz w:val="24"/>
              </w:rPr>
              <w:t>11</w:t>
            </w:r>
            <w:r w:rsidRPr="007A794B">
              <w:rPr>
                <w:sz w:val="24"/>
              </w:rPr>
              <w:t>.</w:t>
            </w:r>
          </w:p>
        </w:tc>
      </w:tr>
      <w:tr w:rsidR="006F19E3" w:rsidRPr="00EB32BB" w14:paraId="778CDA68"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424835BD" w14:textId="0FCE2053" w:rsidR="006F19E3" w:rsidRPr="00EB32BB" w:rsidRDefault="008B547E" w:rsidP="006F19E3">
            <w:pPr>
              <w:spacing w:before="60" w:after="60"/>
              <w:ind w:firstLine="9"/>
              <w:jc w:val="center"/>
              <w:rPr>
                <w:rFonts w:cs="Arial"/>
              </w:rPr>
            </w:pPr>
            <w:r w:rsidRPr="00AF30A5">
              <w:rPr>
                <w:rFonts w:cs="Arial"/>
                <w:noProof/>
                <w:lang w:val="en-US" w:eastAsia="en-US"/>
              </w:rPr>
              <w:drawing>
                <wp:inline distT="0" distB="0" distL="0" distR="0" wp14:anchorId="6480DB2E" wp14:editId="63F381F9">
                  <wp:extent cx="468630" cy="468630"/>
                  <wp:effectExtent l="0" t="0" r="0" b="0"/>
                  <wp:docPr id="10"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0">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8630" cy="468630"/>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67425A3E" w14:textId="66D229B0" w:rsidR="006F19E3" w:rsidRPr="00277121" w:rsidRDefault="00277121" w:rsidP="001021F6">
            <w:pPr>
              <w:ind w:left="113" w:right="170"/>
              <w:jc w:val="both"/>
              <w:rPr>
                <w:sz w:val="24"/>
              </w:rPr>
            </w:pPr>
            <w:r w:rsidRPr="00277121">
              <w:rPr>
                <w:sz w:val="24"/>
              </w:rPr>
              <w:t>Parties Impacte</w:t>
            </w:r>
            <w:r w:rsidR="00D853AA">
              <w:rPr>
                <w:sz w:val="24"/>
              </w:rPr>
              <w:t>d</w:t>
            </w:r>
            <w:r w:rsidR="006E7CA8" w:rsidRPr="006E7CA8">
              <w:rPr>
                <w:sz w:val="24"/>
              </w:rPr>
              <w:t xml:space="preserve">: DNOs, IDNOs, </w:t>
            </w:r>
            <w:r w:rsidR="009E78BD">
              <w:rPr>
                <w:sz w:val="24"/>
              </w:rPr>
              <w:t>Supplier</w:t>
            </w:r>
            <w:r w:rsidR="006E7CA8" w:rsidRPr="006E7CA8">
              <w:rPr>
                <w:sz w:val="24"/>
              </w:rPr>
              <w:t>s and CVA Registrants.</w:t>
            </w:r>
          </w:p>
        </w:tc>
      </w:tr>
      <w:tr w:rsidR="007A794B" w:rsidRPr="00EB32BB" w14:paraId="7025FE70"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71A3B878" w14:textId="6D7D54CD" w:rsidR="007A794B" w:rsidRPr="00EB32BB" w:rsidRDefault="008B547E" w:rsidP="007A794B">
            <w:pPr>
              <w:spacing w:before="60" w:after="60"/>
              <w:ind w:firstLine="9"/>
              <w:jc w:val="center"/>
              <w:rPr>
                <w:rFonts w:cs="Arial"/>
              </w:rPr>
            </w:pPr>
            <w:r w:rsidRPr="00AF30A5">
              <w:rPr>
                <w:rFonts w:cs="Arial"/>
                <w:noProof/>
                <w:lang w:val="en-US" w:eastAsia="en-US"/>
              </w:rPr>
              <w:drawing>
                <wp:inline distT="0" distB="0" distL="0" distR="0" wp14:anchorId="3E65514C" wp14:editId="7F1F43EA">
                  <wp:extent cx="468630" cy="468630"/>
                  <wp:effectExtent l="0" t="0" r="0" b="0"/>
                  <wp:docPr id="9"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0">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8630" cy="468630"/>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30E8DAFE" w14:textId="7F484A40" w:rsidR="007A794B" w:rsidRPr="00EB32BB" w:rsidRDefault="007A794B" w:rsidP="001021F6">
            <w:pPr>
              <w:ind w:left="113" w:right="170"/>
              <w:jc w:val="both"/>
              <w:rPr>
                <w:rFonts w:cs="Arial"/>
              </w:rPr>
            </w:pPr>
            <w:r>
              <w:rPr>
                <w:sz w:val="24"/>
              </w:rPr>
              <w:t>Impacted Clauses:</w:t>
            </w:r>
            <w:r w:rsidR="00D853AA">
              <w:rPr>
                <w:sz w:val="24"/>
              </w:rPr>
              <w:t xml:space="preserve"> </w:t>
            </w:r>
            <w:r w:rsidR="006E7CA8" w:rsidRPr="006E7CA8">
              <w:rPr>
                <w:rFonts w:cs="Arial"/>
                <w:sz w:val="24"/>
              </w:rPr>
              <w:t>Definitions and DCUSA Schedule 1</w:t>
            </w:r>
            <w:r w:rsidR="006E7CA8">
              <w:rPr>
                <w:rFonts w:cs="Arial"/>
                <w:sz w:val="24"/>
              </w:rPr>
              <w:t>.</w:t>
            </w:r>
          </w:p>
        </w:tc>
      </w:tr>
    </w:tbl>
    <w:p w14:paraId="7C9F096B" w14:textId="77777777" w:rsidR="005079E0" w:rsidRPr="00EB32BB" w:rsidRDefault="005079E0" w:rsidP="005B378E">
      <w:pPr>
        <w:rPr>
          <w:rFonts w:cs="Arial"/>
        </w:rPr>
      </w:pPr>
    </w:p>
    <w:tbl>
      <w:tblPr>
        <w:tblW w:w="10207" w:type="dxa"/>
        <w:tblInd w:w="-176" w:type="dxa"/>
        <w:tblLayout w:type="fixed"/>
        <w:tblLook w:val="04A0" w:firstRow="1" w:lastRow="0" w:firstColumn="1" w:lastColumn="0" w:noHBand="0" w:noVBand="1"/>
      </w:tblPr>
      <w:tblGrid>
        <w:gridCol w:w="7939"/>
        <w:gridCol w:w="2268"/>
      </w:tblGrid>
      <w:tr w:rsidR="00F10E14" w:rsidRPr="00EB32BB" w14:paraId="3A873F52" w14:textId="77777777" w:rsidTr="004D430C">
        <w:trPr>
          <w:trHeight w:val="617"/>
        </w:trPr>
        <w:tc>
          <w:tcPr>
            <w:tcW w:w="7939"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7C393C16" w14:textId="77777777" w:rsidR="00F10E14" w:rsidRPr="00EB32BB" w:rsidRDefault="00F10E14" w:rsidP="00B23506">
            <w:pPr>
              <w:pStyle w:val="Contents03"/>
              <w:rPr>
                <w:noProof/>
              </w:rPr>
            </w:pPr>
            <w:r w:rsidRPr="00EB32BB">
              <w:rPr>
                <w:noProof/>
              </w:rPr>
              <w:lastRenderedPageBreak/>
              <w:t>Contents</w:t>
            </w:r>
          </w:p>
          <w:p w14:paraId="54611D89" w14:textId="5E7132FB" w:rsidR="00912D7B" w:rsidRDefault="00F10E14" w:rsidP="00912D7B">
            <w:pPr>
              <w:pStyle w:val="TOC1"/>
              <w:framePr w:wrap="around"/>
              <w:rPr>
                <w:rFonts w:asciiTheme="minorHAnsi" w:eastAsiaTheme="minorEastAsia" w:hAnsiTheme="minorHAnsi" w:cstheme="minorBidi"/>
                <w:b w:val="0"/>
                <w:bCs w:val="0"/>
                <w:color w:val="auto"/>
                <w:sz w:val="22"/>
                <w:szCs w:val="22"/>
              </w:rPr>
            </w:pPr>
            <w:r w:rsidRPr="00EB32BB">
              <w:fldChar w:fldCharType="begin"/>
            </w:r>
            <w:r w:rsidRPr="00EB32BB">
              <w:instrText xml:space="preserve"> TOC \o "1-1" </w:instrText>
            </w:r>
            <w:r w:rsidRPr="00EB32BB">
              <w:fldChar w:fldCharType="separate"/>
            </w:r>
            <w:r w:rsidR="00912D7B">
              <w:t>1</w:t>
            </w:r>
            <w:r w:rsidR="00912D7B">
              <w:rPr>
                <w:rFonts w:asciiTheme="minorHAnsi" w:eastAsiaTheme="minorEastAsia" w:hAnsiTheme="minorHAnsi" w:cstheme="minorBidi"/>
                <w:b w:val="0"/>
                <w:bCs w:val="0"/>
                <w:color w:val="auto"/>
                <w:sz w:val="22"/>
                <w:szCs w:val="22"/>
              </w:rPr>
              <w:tab/>
            </w:r>
            <w:r w:rsidR="00912D7B">
              <w:t>Executive Summary</w:t>
            </w:r>
            <w:r w:rsidR="00912D7B">
              <w:tab/>
            </w:r>
            <w:r w:rsidR="00912D7B">
              <w:fldChar w:fldCharType="begin"/>
            </w:r>
            <w:r w:rsidR="00912D7B">
              <w:instrText xml:space="preserve"> PAGEREF _Toc110371096 \h </w:instrText>
            </w:r>
            <w:r w:rsidR="00912D7B">
              <w:fldChar w:fldCharType="separate"/>
            </w:r>
            <w:r w:rsidR="00912D7B">
              <w:t>3</w:t>
            </w:r>
            <w:r w:rsidR="00912D7B">
              <w:fldChar w:fldCharType="end"/>
            </w:r>
          </w:p>
          <w:p w14:paraId="2CB6F387" w14:textId="78365713" w:rsidR="00912D7B" w:rsidRDefault="00912D7B" w:rsidP="00912D7B">
            <w:pPr>
              <w:pStyle w:val="TOC1"/>
              <w:framePr w:wrap="around"/>
              <w:rPr>
                <w:rFonts w:asciiTheme="minorHAnsi" w:eastAsiaTheme="minorEastAsia" w:hAnsiTheme="minorHAnsi" w:cstheme="minorBidi"/>
                <w:b w:val="0"/>
                <w:bCs w:val="0"/>
                <w:color w:val="auto"/>
                <w:sz w:val="22"/>
                <w:szCs w:val="22"/>
              </w:rPr>
            </w:pPr>
            <w:r>
              <w:t>2</w:t>
            </w:r>
            <w:r>
              <w:rPr>
                <w:rFonts w:asciiTheme="minorHAnsi" w:eastAsiaTheme="minorEastAsia" w:hAnsiTheme="minorHAnsi" w:cstheme="minorBidi"/>
                <w:b w:val="0"/>
                <w:bCs w:val="0"/>
                <w:color w:val="auto"/>
                <w:sz w:val="22"/>
                <w:szCs w:val="22"/>
              </w:rPr>
              <w:tab/>
            </w:r>
            <w:r>
              <w:t>Governance</w:t>
            </w:r>
            <w:r>
              <w:tab/>
            </w:r>
            <w:r>
              <w:fldChar w:fldCharType="begin"/>
            </w:r>
            <w:r>
              <w:instrText xml:space="preserve"> PAGEREF _Toc110371097 \h </w:instrText>
            </w:r>
            <w:r>
              <w:fldChar w:fldCharType="separate"/>
            </w:r>
            <w:r>
              <w:t>4</w:t>
            </w:r>
            <w:r>
              <w:fldChar w:fldCharType="end"/>
            </w:r>
          </w:p>
          <w:p w14:paraId="01A944F5" w14:textId="039318BF" w:rsidR="00912D7B" w:rsidRDefault="00912D7B" w:rsidP="00912D7B">
            <w:pPr>
              <w:pStyle w:val="TOC1"/>
              <w:framePr w:wrap="around"/>
              <w:rPr>
                <w:rFonts w:asciiTheme="minorHAnsi" w:eastAsiaTheme="minorEastAsia" w:hAnsiTheme="minorHAnsi" w:cstheme="minorBidi"/>
                <w:b w:val="0"/>
                <w:bCs w:val="0"/>
                <w:color w:val="auto"/>
                <w:sz w:val="22"/>
                <w:szCs w:val="22"/>
              </w:rPr>
            </w:pPr>
            <w:r>
              <w:t>3</w:t>
            </w:r>
            <w:r>
              <w:rPr>
                <w:rFonts w:asciiTheme="minorHAnsi" w:eastAsiaTheme="minorEastAsia" w:hAnsiTheme="minorHAnsi" w:cstheme="minorBidi"/>
                <w:b w:val="0"/>
                <w:bCs w:val="0"/>
                <w:color w:val="auto"/>
                <w:sz w:val="22"/>
                <w:szCs w:val="22"/>
              </w:rPr>
              <w:tab/>
            </w:r>
            <w:r>
              <w:t>Why Change?</w:t>
            </w:r>
            <w:r>
              <w:tab/>
            </w:r>
            <w:r>
              <w:fldChar w:fldCharType="begin"/>
            </w:r>
            <w:r>
              <w:instrText xml:space="preserve"> PAGEREF _Toc110371098 \h </w:instrText>
            </w:r>
            <w:r>
              <w:fldChar w:fldCharType="separate"/>
            </w:r>
            <w:r>
              <w:t>5</w:t>
            </w:r>
            <w:r>
              <w:fldChar w:fldCharType="end"/>
            </w:r>
          </w:p>
          <w:p w14:paraId="55C72659" w14:textId="50FD16D1" w:rsidR="00912D7B" w:rsidRDefault="00912D7B" w:rsidP="00912D7B">
            <w:pPr>
              <w:pStyle w:val="TOC1"/>
              <w:framePr w:wrap="around"/>
              <w:rPr>
                <w:rFonts w:asciiTheme="minorHAnsi" w:eastAsiaTheme="minorEastAsia" w:hAnsiTheme="minorHAnsi" w:cstheme="minorBidi"/>
                <w:b w:val="0"/>
                <w:bCs w:val="0"/>
                <w:color w:val="auto"/>
                <w:sz w:val="22"/>
                <w:szCs w:val="22"/>
              </w:rPr>
            </w:pPr>
            <w:r>
              <w:t>4</w:t>
            </w:r>
            <w:r>
              <w:rPr>
                <w:rFonts w:asciiTheme="minorHAnsi" w:eastAsiaTheme="minorEastAsia" w:hAnsiTheme="minorHAnsi" w:cstheme="minorBidi"/>
                <w:b w:val="0"/>
                <w:bCs w:val="0"/>
                <w:color w:val="auto"/>
                <w:sz w:val="22"/>
                <w:szCs w:val="22"/>
              </w:rPr>
              <w:tab/>
            </w:r>
            <w:r>
              <w:t xml:space="preserve">DCP </w:t>
            </w:r>
            <w:r w:rsidR="008825E4">
              <w:t>409</w:t>
            </w:r>
            <w:r>
              <w:t xml:space="preserve"> Working Group Assessment</w:t>
            </w:r>
            <w:r>
              <w:tab/>
            </w:r>
            <w:r>
              <w:fldChar w:fldCharType="begin"/>
            </w:r>
            <w:r>
              <w:instrText xml:space="preserve"> PAGEREF _Toc110371099 \h </w:instrText>
            </w:r>
            <w:r>
              <w:fldChar w:fldCharType="separate"/>
            </w:r>
            <w:r>
              <w:t>7</w:t>
            </w:r>
            <w:r>
              <w:fldChar w:fldCharType="end"/>
            </w:r>
          </w:p>
          <w:p w14:paraId="5416F8C7" w14:textId="747BD5AD" w:rsidR="00912D7B" w:rsidRDefault="00912D7B" w:rsidP="00912D7B">
            <w:pPr>
              <w:pStyle w:val="TOC1"/>
              <w:framePr w:wrap="around"/>
              <w:rPr>
                <w:rFonts w:asciiTheme="minorHAnsi" w:eastAsiaTheme="minorEastAsia" w:hAnsiTheme="minorHAnsi" w:cstheme="minorBidi"/>
                <w:b w:val="0"/>
                <w:bCs w:val="0"/>
                <w:color w:val="auto"/>
                <w:sz w:val="22"/>
                <w:szCs w:val="22"/>
              </w:rPr>
            </w:pPr>
            <w:r>
              <w:t>5</w:t>
            </w:r>
            <w:r>
              <w:rPr>
                <w:rFonts w:asciiTheme="minorHAnsi" w:eastAsiaTheme="minorEastAsia" w:hAnsiTheme="minorHAnsi" w:cstheme="minorBidi"/>
                <w:b w:val="0"/>
                <w:bCs w:val="0"/>
                <w:color w:val="auto"/>
                <w:sz w:val="22"/>
                <w:szCs w:val="22"/>
              </w:rPr>
              <w:tab/>
            </w:r>
            <w:r>
              <w:t xml:space="preserve">DCP </w:t>
            </w:r>
            <w:r w:rsidR="008825E4">
              <w:t>409</w:t>
            </w:r>
            <w:r>
              <w:t xml:space="preserve"> Consultation</w:t>
            </w:r>
            <w:r>
              <w:tab/>
            </w:r>
            <w:r>
              <w:fldChar w:fldCharType="begin"/>
            </w:r>
            <w:r>
              <w:instrText xml:space="preserve"> PAGEREF _Toc110371100 \h </w:instrText>
            </w:r>
            <w:r>
              <w:fldChar w:fldCharType="separate"/>
            </w:r>
            <w:r>
              <w:t>15</w:t>
            </w:r>
            <w:r>
              <w:fldChar w:fldCharType="end"/>
            </w:r>
          </w:p>
          <w:p w14:paraId="1052C46F" w14:textId="1BFDF059" w:rsidR="00912D7B" w:rsidRDefault="00912D7B" w:rsidP="00912D7B">
            <w:pPr>
              <w:pStyle w:val="TOC1"/>
              <w:framePr w:wrap="around"/>
              <w:rPr>
                <w:rFonts w:asciiTheme="minorHAnsi" w:eastAsiaTheme="minorEastAsia" w:hAnsiTheme="minorHAnsi" w:cstheme="minorBidi"/>
                <w:b w:val="0"/>
                <w:bCs w:val="0"/>
                <w:color w:val="auto"/>
                <w:sz w:val="22"/>
                <w:szCs w:val="22"/>
              </w:rPr>
            </w:pPr>
            <w:r>
              <w:t>6</w:t>
            </w:r>
            <w:r>
              <w:rPr>
                <w:rFonts w:asciiTheme="minorHAnsi" w:eastAsiaTheme="minorEastAsia" w:hAnsiTheme="minorHAnsi" w:cstheme="minorBidi"/>
                <w:b w:val="0"/>
                <w:bCs w:val="0"/>
                <w:color w:val="auto"/>
                <w:sz w:val="22"/>
                <w:szCs w:val="22"/>
              </w:rPr>
              <w:tab/>
            </w:r>
            <w:r>
              <w:t>Working Group Conclusions &amp; Final Solution</w:t>
            </w:r>
            <w:r>
              <w:tab/>
            </w:r>
            <w:r>
              <w:fldChar w:fldCharType="begin"/>
            </w:r>
            <w:r>
              <w:instrText xml:space="preserve"> PAGEREF _Toc110371102 \h </w:instrText>
            </w:r>
            <w:r>
              <w:fldChar w:fldCharType="separate"/>
            </w:r>
            <w:r>
              <w:t>19</w:t>
            </w:r>
            <w:r>
              <w:fldChar w:fldCharType="end"/>
            </w:r>
          </w:p>
          <w:p w14:paraId="52469D81" w14:textId="44BA745F" w:rsidR="00912D7B" w:rsidRDefault="00912D7B" w:rsidP="00912D7B">
            <w:pPr>
              <w:pStyle w:val="TOC1"/>
              <w:framePr w:wrap="around"/>
              <w:rPr>
                <w:rFonts w:asciiTheme="minorHAnsi" w:eastAsiaTheme="minorEastAsia" w:hAnsiTheme="minorHAnsi" w:cstheme="minorBidi"/>
                <w:b w:val="0"/>
                <w:bCs w:val="0"/>
                <w:color w:val="auto"/>
                <w:sz w:val="22"/>
                <w:szCs w:val="22"/>
              </w:rPr>
            </w:pPr>
            <w:r>
              <w:t>7</w:t>
            </w:r>
            <w:r>
              <w:rPr>
                <w:rFonts w:asciiTheme="minorHAnsi" w:eastAsiaTheme="minorEastAsia" w:hAnsiTheme="minorHAnsi" w:cstheme="minorBidi"/>
                <w:b w:val="0"/>
                <w:bCs w:val="0"/>
                <w:color w:val="auto"/>
                <w:sz w:val="22"/>
                <w:szCs w:val="22"/>
              </w:rPr>
              <w:tab/>
            </w:r>
            <w:r>
              <w:t>Relevant Objectives</w:t>
            </w:r>
            <w:r>
              <w:tab/>
            </w:r>
            <w:r>
              <w:fldChar w:fldCharType="begin"/>
            </w:r>
            <w:r>
              <w:instrText xml:space="preserve"> PAGEREF _Toc110371104 \h </w:instrText>
            </w:r>
            <w:r>
              <w:fldChar w:fldCharType="separate"/>
            </w:r>
            <w:r>
              <w:t>27</w:t>
            </w:r>
            <w:r>
              <w:fldChar w:fldCharType="end"/>
            </w:r>
          </w:p>
          <w:p w14:paraId="7A154D21" w14:textId="07718637" w:rsidR="00912D7B" w:rsidRDefault="00912D7B" w:rsidP="00912D7B">
            <w:pPr>
              <w:pStyle w:val="TOC1"/>
              <w:framePr w:wrap="around"/>
              <w:rPr>
                <w:rFonts w:asciiTheme="minorHAnsi" w:eastAsiaTheme="minorEastAsia" w:hAnsiTheme="minorHAnsi" w:cstheme="minorBidi"/>
                <w:b w:val="0"/>
                <w:bCs w:val="0"/>
                <w:color w:val="auto"/>
                <w:sz w:val="22"/>
                <w:szCs w:val="22"/>
              </w:rPr>
            </w:pPr>
            <w:r>
              <w:t>8</w:t>
            </w:r>
            <w:r>
              <w:rPr>
                <w:rFonts w:asciiTheme="minorHAnsi" w:eastAsiaTheme="minorEastAsia" w:hAnsiTheme="minorHAnsi" w:cstheme="minorBidi"/>
                <w:b w:val="0"/>
                <w:bCs w:val="0"/>
                <w:color w:val="auto"/>
                <w:sz w:val="22"/>
                <w:szCs w:val="22"/>
              </w:rPr>
              <w:tab/>
            </w:r>
            <w:r>
              <w:t>Impacts &amp; Other Considerations</w:t>
            </w:r>
            <w:r>
              <w:tab/>
            </w:r>
            <w:r>
              <w:fldChar w:fldCharType="begin"/>
            </w:r>
            <w:r>
              <w:instrText xml:space="preserve"> PAGEREF _Toc110371105 \h </w:instrText>
            </w:r>
            <w:r>
              <w:fldChar w:fldCharType="separate"/>
            </w:r>
            <w:r>
              <w:t>28</w:t>
            </w:r>
            <w:r>
              <w:fldChar w:fldCharType="end"/>
            </w:r>
          </w:p>
          <w:p w14:paraId="1E3CE114" w14:textId="503E950E" w:rsidR="00912D7B" w:rsidRDefault="00912D7B" w:rsidP="00912D7B">
            <w:pPr>
              <w:pStyle w:val="TOC1"/>
              <w:framePr w:wrap="around"/>
              <w:rPr>
                <w:rFonts w:asciiTheme="minorHAnsi" w:eastAsiaTheme="minorEastAsia" w:hAnsiTheme="minorHAnsi" w:cstheme="minorBidi"/>
                <w:b w:val="0"/>
                <w:bCs w:val="0"/>
                <w:color w:val="auto"/>
                <w:sz w:val="22"/>
                <w:szCs w:val="22"/>
              </w:rPr>
            </w:pPr>
            <w:r>
              <w:t>9</w:t>
            </w:r>
            <w:r>
              <w:rPr>
                <w:rFonts w:asciiTheme="minorHAnsi" w:eastAsiaTheme="minorEastAsia" w:hAnsiTheme="minorHAnsi" w:cstheme="minorBidi"/>
                <w:b w:val="0"/>
                <w:bCs w:val="0"/>
                <w:color w:val="auto"/>
                <w:sz w:val="22"/>
                <w:szCs w:val="22"/>
              </w:rPr>
              <w:tab/>
            </w:r>
            <w:r>
              <w:t>Implementation</w:t>
            </w:r>
            <w:r>
              <w:tab/>
            </w:r>
            <w:r>
              <w:fldChar w:fldCharType="begin"/>
            </w:r>
            <w:r>
              <w:instrText xml:space="preserve"> PAGEREF _Toc110371106 \h </w:instrText>
            </w:r>
            <w:r>
              <w:fldChar w:fldCharType="separate"/>
            </w:r>
            <w:r>
              <w:t>30</w:t>
            </w:r>
            <w:r>
              <w:fldChar w:fldCharType="end"/>
            </w:r>
          </w:p>
          <w:p w14:paraId="209379EF" w14:textId="20748B7C" w:rsidR="00912D7B" w:rsidRDefault="00912D7B" w:rsidP="00912D7B">
            <w:pPr>
              <w:pStyle w:val="TOC1"/>
              <w:framePr w:wrap="around"/>
              <w:rPr>
                <w:rFonts w:asciiTheme="minorHAnsi" w:eastAsiaTheme="minorEastAsia" w:hAnsiTheme="minorHAnsi" w:cstheme="minorBidi"/>
                <w:b w:val="0"/>
                <w:bCs w:val="0"/>
                <w:color w:val="auto"/>
                <w:sz w:val="22"/>
                <w:szCs w:val="22"/>
              </w:rPr>
            </w:pPr>
            <w:r>
              <w:t>10</w:t>
            </w:r>
            <w:r>
              <w:rPr>
                <w:rFonts w:asciiTheme="minorHAnsi" w:eastAsiaTheme="minorEastAsia" w:hAnsiTheme="minorHAnsi" w:cstheme="minorBidi"/>
                <w:b w:val="0"/>
                <w:bCs w:val="0"/>
                <w:color w:val="auto"/>
                <w:sz w:val="22"/>
                <w:szCs w:val="22"/>
              </w:rPr>
              <w:tab/>
            </w:r>
            <w:r>
              <w:t>Legal Text</w:t>
            </w:r>
            <w:r>
              <w:tab/>
            </w:r>
            <w:r>
              <w:fldChar w:fldCharType="begin"/>
            </w:r>
            <w:r>
              <w:instrText xml:space="preserve"> PAGEREF _Toc110371107 \h </w:instrText>
            </w:r>
            <w:r>
              <w:fldChar w:fldCharType="separate"/>
            </w:r>
            <w:r>
              <w:t>30</w:t>
            </w:r>
            <w:r>
              <w:fldChar w:fldCharType="end"/>
            </w:r>
          </w:p>
          <w:p w14:paraId="54B98C1B" w14:textId="2BEE589E" w:rsidR="00912D7B" w:rsidRDefault="00912D7B" w:rsidP="00912D7B">
            <w:pPr>
              <w:pStyle w:val="TOC1"/>
              <w:framePr w:wrap="around"/>
              <w:rPr>
                <w:rFonts w:asciiTheme="minorHAnsi" w:eastAsiaTheme="minorEastAsia" w:hAnsiTheme="minorHAnsi" w:cstheme="minorBidi"/>
                <w:b w:val="0"/>
                <w:bCs w:val="0"/>
                <w:color w:val="auto"/>
                <w:sz w:val="22"/>
                <w:szCs w:val="22"/>
              </w:rPr>
            </w:pPr>
            <w:r>
              <w:t>11</w:t>
            </w:r>
            <w:r>
              <w:rPr>
                <w:rFonts w:asciiTheme="minorHAnsi" w:eastAsiaTheme="minorEastAsia" w:hAnsiTheme="minorHAnsi" w:cstheme="minorBidi"/>
                <w:b w:val="0"/>
                <w:bCs w:val="0"/>
                <w:color w:val="auto"/>
                <w:sz w:val="22"/>
                <w:szCs w:val="22"/>
              </w:rPr>
              <w:tab/>
            </w:r>
            <w:r>
              <w:t>Code Specific Matters</w:t>
            </w:r>
            <w:r>
              <w:tab/>
            </w:r>
            <w:r>
              <w:fldChar w:fldCharType="begin"/>
            </w:r>
            <w:r>
              <w:instrText xml:space="preserve"> PAGEREF _Toc110371108 \h </w:instrText>
            </w:r>
            <w:r>
              <w:fldChar w:fldCharType="separate"/>
            </w:r>
            <w:r>
              <w:t>31</w:t>
            </w:r>
            <w:r>
              <w:fldChar w:fldCharType="end"/>
            </w:r>
          </w:p>
          <w:p w14:paraId="6D40D02E" w14:textId="61626B71" w:rsidR="00912D7B" w:rsidRDefault="00912D7B" w:rsidP="00912D7B">
            <w:pPr>
              <w:pStyle w:val="TOC1"/>
              <w:framePr w:wrap="around"/>
              <w:rPr>
                <w:rFonts w:asciiTheme="minorHAnsi" w:eastAsiaTheme="minorEastAsia" w:hAnsiTheme="minorHAnsi" w:cstheme="minorBidi"/>
                <w:b w:val="0"/>
                <w:bCs w:val="0"/>
                <w:color w:val="auto"/>
                <w:sz w:val="22"/>
                <w:szCs w:val="22"/>
              </w:rPr>
            </w:pPr>
            <w:r>
              <w:t>12</w:t>
            </w:r>
            <w:r>
              <w:rPr>
                <w:rFonts w:asciiTheme="minorHAnsi" w:eastAsiaTheme="minorEastAsia" w:hAnsiTheme="minorHAnsi" w:cstheme="minorBidi"/>
                <w:b w:val="0"/>
                <w:bCs w:val="0"/>
                <w:color w:val="auto"/>
                <w:sz w:val="22"/>
                <w:szCs w:val="22"/>
              </w:rPr>
              <w:tab/>
            </w:r>
            <w:r>
              <w:t>Recommendations</w:t>
            </w:r>
            <w:r>
              <w:tab/>
            </w:r>
            <w:r>
              <w:fldChar w:fldCharType="begin"/>
            </w:r>
            <w:r>
              <w:instrText xml:space="preserve"> PAGEREF _Toc110371109 \h </w:instrText>
            </w:r>
            <w:r>
              <w:fldChar w:fldCharType="separate"/>
            </w:r>
            <w:r>
              <w:t>31</w:t>
            </w:r>
            <w:r>
              <w:fldChar w:fldCharType="end"/>
            </w:r>
          </w:p>
          <w:p w14:paraId="6A7F75E3" w14:textId="336C789F" w:rsidR="00912D7B" w:rsidRDefault="00912D7B" w:rsidP="00912D7B">
            <w:pPr>
              <w:pStyle w:val="TOC1"/>
              <w:framePr w:wrap="around"/>
              <w:rPr>
                <w:rFonts w:asciiTheme="minorHAnsi" w:eastAsiaTheme="minorEastAsia" w:hAnsiTheme="minorHAnsi" w:cstheme="minorBidi"/>
                <w:b w:val="0"/>
                <w:bCs w:val="0"/>
                <w:color w:val="auto"/>
                <w:sz w:val="22"/>
                <w:szCs w:val="22"/>
              </w:rPr>
            </w:pPr>
            <w:r>
              <w:t>13</w:t>
            </w:r>
            <w:r>
              <w:rPr>
                <w:rFonts w:asciiTheme="minorHAnsi" w:eastAsiaTheme="minorEastAsia" w:hAnsiTheme="minorHAnsi" w:cstheme="minorBidi"/>
                <w:b w:val="0"/>
                <w:bCs w:val="0"/>
                <w:color w:val="auto"/>
                <w:sz w:val="22"/>
                <w:szCs w:val="22"/>
              </w:rPr>
              <w:tab/>
            </w:r>
            <w:r>
              <w:t>Attachments</w:t>
            </w:r>
            <w:r>
              <w:tab/>
            </w:r>
            <w:r>
              <w:fldChar w:fldCharType="begin"/>
            </w:r>
            <w:r>
              <w:instrText xml:space="preserve"> PAGEREF _Toc110371110 \h </w:instrText>
            </w:r>
            <w:r>
              <w:fldChar w:fldCharType="separate"/>
            </w:r>
            <w:r>
              <w:t>31</w:t>
            </w:r>
            <w:r>
              <w:fldChar w:fldCharType="end"/>
            </w:r>
          </w:p>
          <w:p w14:paraId="6CFD22F5" w14:textId="36DA6500" w:rsidR="00F10E14" w:rsidRPr="00EB32BB" w:rsidRDefault="00F10E14" w:rsidP="00B52044">
            <w:pPr>
              <w:pStyle w:val="TOCMOD"/>
              <w:framePr w:wrap="around"/>
              <w:rPr>
                <w:rFonts w:cs="Arial"/>
              </w:rPr>
            </w:pPr>
            <w:r w:rsidRPr="00EB32BB">
              <w:rPr>
                <w:rFonts w:cs="Arial"/>
              </w:rPr>
              <w:fldChar w:fldCharType="end"/>
            </w:r>
          </w:p>
          <w:p w14:paraId="463310AF" w14:textId="77777777" w:rsidR="00F10E14" w:rsidRPr="00EB32BB" w:rsidRDefault="00B23506" w:rsidP="00B23506">
            <w:pPr>
              <w:pStyle w:val="Contents03"/>
            </w:pPr>
            <w:r>
              <w:t>Timetable</w:t>
            </w:r>
          </w:p>
          <w:tbl>
            <w:tblPr>
              <w:tblpPr w:leftFromText="180" w:rightFromText="180" w:vertAnchor="text" w:tblpX="-103" w:tblpY="1"/>
              <w:tblOverlap w:val="never"/>
              <w:tblW w:w="7933"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5665"/>
              <w:gridCol w:w="2268"/>
            </w:tblGrid>
            <w:tr w:rsidR="00AA69EF" w:rsidRPr="00EB32BB" w14:paraId="2E36C838" w14:textId="77777777" w:rsidTr="00FF0C32">
              <w:trPr>
                <w:trHeight w:val="983"/>
              </w:trPr>
              <w:tc>
                <w:tcPr>
                  <w:tcW w:w="7933" w:type="dxa"/>
                  <w:gridSpan w:val="2"/>
                  <w:shd w:val="clear" w:color="auto" w:fill="auto"/>
                </w:tcPr>
                <w:p w14:paraId="3013D0D5" w14:textId="77777777" w:rsidR="00B23506" w:rsidRPr="00FF0C32" w:rsidRDefault="007F41DB" w:rsidP="00B23506">
                  <w:pPr>
                    <w:rPr>
                      <w:szCs w:val="20"/>
                      <w:lang w:val="en-US"/>
                    </w:rPr>
                  </w:pPr>
                  <w:r w:rsidRPr="00FF0C32">
                    <w:rPr>
                      <w:szCs w:val="20"/>
                      <w:lang w:val="en-US"/>
                    </w:rPr>
                    <w:t>The timetable for the progression of the CP is as follows:</w:t>
                  </w:r>
                </w:p>
                <w:p w14:paraId="033F4B42" w14:textId="77777777" w:rsidR="00AA69EF" w:rsidRPr="00FF0C32" w:rsidRDefault="00AA7E89" w:rsidP="00E45140">
                  <w:pPr>
                    <w:pStyle w:val="Heading4"/>
                  </w:pPr>
                  <w:r w:rsidRPr="00FF0C32">
                    <w:t>Change Proposal</w:t>
                  </w:r>
                  <w:r w:rsidR="00AA69EF" w:rsidRPr="00FF0C32">
                    <w:t xml:space="preserve"> timetable</w:t>
                  </w:r>
                </w:p>
              </w:tc>
            </w:tr>
            <w:tr w:rsidR="007E718E" w:rsidRPr="00EB32BB" w14:paraId="5734FDA3" w14:textId="77777777" w:rsidTr="00002699">
              <w:trPr>
                <w:trHeight w:val="319"/>
              </w:trPr>
              <w:tc>
                <w:tcPr>
                  <w:tcW w:w="5665" w:type="dxa"/>
                  <w:shd w:val="clear" w:color="auto" w:fill="BDD6EE"/>
                </w:tcPr>
                <w:p w14:paraId="06ABCA64" w14:textId="77777777" w:rsidR="007E718E" w:rsidRPr="00FF0C32" w:rsidRDefault="007F41DB" w:rsidP="00E45140">
                  <w:pPr>
                    <w:pStyle w:val="Heading4"/>
                  </w:pPr>
                  <w:r w:rsidRPr="00FF0C32">
                    <w:t>Activity</w:t>
                  </w:r>
                </w:p>
              </w:tc>
              <w:tc>
                <w:tcPr>
                  <w:tcW w:w="2268" w:type="dxa"/>
                  <w:shd w:val="clear" w:color="auto" w:fill="BDD6EE"/>
                  <w:vAlign w:val="center"/>
                </w:tcPr>
                <w:p w14:paraId="078011BC" w14:textId="77777777" w:rsidR="007E718E" w:rsidRPr="007F41DB" w:rsidRDefault="007F41DB" w:rsidP="00E45140">
                  <w:pPr>
                    <w:pStyle w:val="Heading4"/>
                  </w:pPr>
                  <w:r w:rsidRPr="007F41DB">
                    <w:t>Date</w:t>
                  </w:r>
                </w:p>
              </w:tc>
            </w:tr>
            <w:tr w:rsidR="0076023E" w:rsidRPr="00EB32BB" w14:paraId="312BE282" w14:textId="77777777" w:rsidTr="00B46A47">
              <w:tc>
                <w:tcPr>
                  <w:tcW w:w="5665" w:type="dxa"/>
                  <w:shd w:val="clear" w:color="auto" w:fill="auto"/>
                </w:tcPr>
                <w:p w14:paraId="26F333BA" w14:textId="77777777" w:rsidR="0076023E" w:rsidRPr="00EB32BB" w:rsidRDefault="0076023E" w:rsidP="0076023E">
                  <w:pPr>
                    <w:tabs>
                      <w:tab w:val="left" w:pos="171"/>
                    </w:tabs>
                    <w:spacing w:before="40" w:after="40"/>
                    <w:rPr>
                      <w:rFonts w:cs="Arial"/>
                      <w:szCs w:val="20"/>
                    </w:rPr>
                  </w:pPr>
                  <w:r w:rsidRPr="004155E5">
                    <w:rPr>
                      <w:rFonts w:cs="Arial"/>
                      <w:szCs w:val="20"/>
                    </w:rPr>
                    <w:t>Initial Assessment Report Approved by Panel</w:t>
                  </w:r>
                </w:p>
              </w:tc>
              <w:tc>
                <w:tcPr>
                  <w:tcW w:w="2268" w:type="dxa"/>
                  <w:shd w:val="clear" w:color="auto" w:fill="auto"/>
                  <w:vAlign w:val="center"/>
                </w:tcPr>
                <w:p w14:paraId="5B14346B" w14:textId="398105A9" w:rsidR="0076023E" w:rsidRPr="00EB32BB" w:rsidRDefault="0054531B" w:rsidP="0076023E">
                  <w:pPr>
                    <w:spacing w:before="40" w:after="40"/>
                    <w:rPr>
                      <w:rFonts w:cs="Arial"/>
                      <w:szCs w:val="20"/>
                    </w:rPr>
                  </w:pPr>
                  <w:r w:rsidRPr="0054531B">
                    <w:rPr>
                      <w:rFonts w:cs="Arial"/>
                      <w:szCs w:val="20"/>
                    </w:rPr>
                    <w:t>18 May 2022</w:t>
                  </w:r>
                </w:p>
              </w:tc>
            </w:tr>
            <w:tr w:rsidR="0076023E" w:rsidRPr="00EB32BB" w14:paraId="16E08862" w14:textId="77777777" w:rsidTr="00B46A47">
              <w:tc>
                <w:tcPr>
                  <w:tcW w:w="5665" w:type="dxa"/>
                  <w:shd w:val="clear" w:color="auto" w:fill="auto"/>
                </w:tcPr>
                <w:p w14:paraId="7B9D75CE" w14:textId="77777777" w:rsidR="0076023E" w:rsidRDefault="0076023E" w:rsidP="0076023E">
                  <w:pPr>
                    <w:tabs>
                      <w:tab w:val="left" w:pos="171"/>
                    </w:tabs>
                    <w:spacing w:before="40" w:after="40"/>
                    <w:rPr>
                      <w:rFonts w:cs="Arial"/>
                      <w:szCs w:val="20"/>
                    </w:rPr>
                  </w:pPr>
                  <w:r w:rsidRPr="004155E5">
                    <w:rPr>
                      <w:rFonts w:cs="Arial"/>
                      <w:szCs w:val="20"/>
                    </w:rPr>
                    <w:t>Consultation issued to Parties</w:t>
                  </w:r>
                </w:p>
              </w:tc>
              <w:tc>
                <w:tcPr>
                  <w:tcW w:w="2268" w:type="dxa"/>
                  <w:shd w:val="clear" w:color="auto" w:fill="auto"/>
                  <w:vAlign w:val="center"/>
                </w:tcPr>
                <w:p w14:paraId="62BD6535" w14:textId="37BAC66E" w:rsidR="0076023E" w:rsidRPr="00EB32BB" w:rsidRDefault="0054531B" w:rsidP="0076023E">
                  <w:pPr>
                    <w:spacing w:before="40" w:after="40"/>
                    <w:rPr>
                      <w:rFonts w:cs="Arial"/>
                      <w:szCs w:val="20"/>
                    </w:rPr>
                  </w:pPr>
                  <w:r w:rsidRPr="0054531B">
                    <w:rPr>
                      <w:rFonts w:cs="Arial"/>
                      <w:szCs w:val="20"/>
                    </w:rPr>
                    <w:t>20 July 2022</w:t>
                  </w:r>
                </w:p>
              </w:tc>
            </w:tr>
            <w:tr w:rsidR="0076023E" w:rsidRPr="00EB32BB" w14:paraId="2E2DC953" w14:textId="77777777" w:rsidTr="00B46A47">
              <w:tc>
                <w:tcPr>
                  <w:tcW w:w="5665" w:type="dxa"/>
                  <w:shd w:val="clear" w:color="auto" w:fill="auto"/>
                </w:tcPr>
                <w:p w14:paraId="3EDCE12E" w14:textId="77777777" w:rsidR="0076023E" w:rsidRPr="00EB32BB" w:rsidRDefault="0076023E" w:rsidP="0076023E">
                  <w:pPr>
                    <w:tabs>
                      <w:tab w:val="left" w:pos="171"/>
                    </w:tabs>
                    <w:spacing w:before="40" w:after="40"/>
                    <w:rPr>
                      <w:rFonts w:cs="Arial"/>
                      <w:szCs w:val="20"/>
                    </w:rPr>
                  </w:pPr>
                  <w:r w:rsidRPr="004155E5">
                    <w:rPr>
                      <w:rFonts w:cs="Arial"/>
                      <w:szCs w:val="20"/>
                    </w:rPr>
                    <w:t>Change Report issued to Panel</w:t>
                  </w:r>
                </w:p>
              </w:tc>
              <w:tc>
                <w:tcPr>
                  <w:tcW w:w="2268" w:type="dxa"/>
                  <w:shd w:val="clear" w:color="auto" w:fill="auto"/>
                  <w:vAlign w:val="center"/>
                </w:tcPr>
                <w:p w14:paraId="3AB789C9" w14:textId="74CB24D6" w:rsidR="0076023E" w:rsidRPr="00EB32BB" w:rsidRDefault="007C3F94" w:rsidP="0076023E">
                  <w:pPr>
                    <w:spacing w:before="40" w:after="40"/>
                    <w:rPr>
                      <w:rFonts w:cs="Arial"/>
                      <w:szCs w:val="20"/>
                    </w:rPr>
                  </w:pPr>
                  <w:r>
                    <w:rPr>
                      <w:rFonts w:cs="Arial"/>
                      <w:szCs w:val="20"/>
                    </w:rPr>
                    <w:t>21</w:t>
                  </w:r>
                  <w:r w:rsidR="00142F3B">
                    <w:rPr>
                      <w:rFonts w:cs="Arial"/>
                      <w:szCs w:val="20"/>
                    </w:rPr>
                    <w:t xml:space="preserve"> </w:t>
                  </w:r>
                  <w:r w:rsidR="00EE5264">
                    <w:rPr>
                      <w:rFonts w:cs="Arial"/>
                      <w:szCs w:val="20"/>
                    </w:rPr>
                    <w:t>September</w:t>
                  </w:r>
                  <w:r w:rsidR="0076023E">
                    <w:rPr>
                      <w:rFonts w:cs="Arial"/>
                      <w:szCs w:val="20"/>
                    </w:rPr>
                    <w:t xml:space="preserve"> 2022</w:t>
                  </w:r>
                </w:p>
              </w:tc>
            </w:tr>
            <w:tr w:rsidR="0076023E" w:rsidRPr="00EB32BB" w14:paraId="3E55BFEC" w14:textId="77777777" w:rsidTr="00B46A47">
              <w:tc>
                <w:tcPr>
                  <w:tcW w:w="5665" w:type="dxa"/>
                  <w:shd w:val="clear" w:color="auto" w:fill="auto"/>
                </w:tcPr>
                <w:p w14:paraId="2D913ECF" w14:textId="77777777" w:rsidR="0076023E" w:rsidRPr="00EB32BB" w:rsidRDefault="0076023E" w:rsidP="0076023E">
                  <w:pPr>
                    <w:tabs>
                      <w:tab w:val="left" w:pos="171"/>
                    </w:tabs>
                    <w:spacing w:before="40" w:after="40"/>
                    <w:rPr>
                      <w:rFonts w:cs="Arial"/>
                      <w:szCs w:val="20"/>
                    </w:rPr>
                  </w:pPr>
                  <w:r w:rsidRPr="004155E5">
                    <w:rPr>
                      <w:rFonts w:cs="Arial"/>
                      <w:szCs w:val="20"/>
                    </w:rPr>
                    <w:t>Change Report issued for Voting</w:t>
                  </w:r>
                </w:p>
              </w:tc>
              <w:tc>
                <w:tcPr>
                  <w:tcW w:w="2268" w:type="dxa"/>
                  <w:shd w:val="clear" w:color="auto" w:fill="auto"/>
                  <w:vAlign w:val="center"/>
                </w:tcPr>
                <w:p w14:paraId="382353E1" w14:textId="2A7CD075" w:rsidR="0076023E" w:rsidRPr="00EB32BB" w:rsidRDefault="00EE5264" w:rsidP="0076023E">
                  <w:pPr>
                    <w:spacing w:before="40" w:after="40"/>
                    <w:rPr>
                      <w:rFonts w:cs="Arial"/>
                      <w:szCs w:val="20"/>
                    </w:rPr>
                  </w:pPr>
                  <w:r>
                    <w:rPr>
                      <w:rFonts w:cs="Arial"/>
                      <w:szCs w:val="20"/>
                    </w:rPr>
                    <w:t>23 September</w:t>
                  </w:r>
                  <w:r w:rsidR="0076023E">
                    <w:rPr>
                      <w:rFonts w:cs="Arial"/>
                      <w:szCs w:val="20"/>
                    </w:rPr>
                    <w:t>2022</w:t>
                  </w:r>
                </w:p>
              </w:tc>
            </w:tr>
            <w:tr w:rsidR="0076023E" w:rsidRPr="00EB32BB" w14:paraId="5B402A6F" w14:textId="77777777" w:rsidTr="00B46A47">
              <w:tc>
                <w:tcPr>
                  <w:tcW w:w="5665" w:type="dxa"/>
                  <w:shd w:val="clear" w:color="auto" w:fill="auto"/>
                </w:tcPr>
                <w:p w14:paraId="7AB08AC3" w14:textId="77777777" w:rsidR="0076023E" w:rsidRPr="00EB32BB" w:rsidRDefault="0076023E" w:rsidP="0076023E">
                  <w:pPr>
                    <w:tabs>
                      <w:tab w:val="left" w:pos="171"/>
                    </w:tabs>
                    <w:spacing w:before="40" w:after="40"/>
                    <w:rPr>
                      <w:rFonts w:cs="Arial"/>
                      <w:szCs w:val="20"/>
                    </w:rPr>
                  </w:pPr>
                  <w:r w:rsidRPr="004155E5">
                    <w:rPr>
                      <w:rFonts w:cs="Arial"/>
                      <w:szCs w:val="20"/>
                    </w:rPr>
                    <w:t>Party Voting Ends</w:t>
                  </w:r>
                </w:p>
              </w:tc>
              <w:tc>
                <w:tcPr>
                  <w:tcW w:w="2268" w:type="dxa"/>
                  <w:shd w:val="clear" w:color="auto" w:fill="auto"/>
                  <w:vAlign w:val="center"/>
                </w:tcPr>
                <w:p w14:paraId="61C8465C" w14:textId="1155EC34" w:rsidR="0076023E" w:rsidRPr="00EB32BB" w:rsidRDefault="00EE5264" w:rsidP="0076023E">
                  <w:pPr>
                    <w:spacing w:before="40" w:after="40"/>
                    <w:rPr>
                      <w:rFonts w:cs="Arial"/>
                      <w:szCs w:val="20"/>
                    </w:rPr>
                  </w:pPr>
                  <w:r>
                    <w:rPr>
                      <w:rFonts w:cs="Arial"/>
                      <w:szCs w:val="20"/>
                    </w:rPr>
                    <w:t>14 October</w:t>
                  </w:r>
                  <w:r w:rsidR="0076023E">
                    <w:rPr>
                      <w:rFonts w:cs="Arial"/>
                      <w:szCs w:val="20"/>
                    </w:rPr>
                    <w:t xml:space="preserve"> 2022</w:t>
                  </w:r>
                </w:p>
              </w:tc>
            </w:tr>
            <w:tr w:rsidR="0076023E" w:rsidRPr="00EB32BB" w14:paraId="5E4C2E09" w14:textId="77777777" w:rsidTr="00B46A47">
              <w:tc>
                <w:tcPr>
                  <w:tcW w:w="5665" w:type="dxa"/>
                  <w:shd w:val="clear" w:color="auto" w:fill="auto"/>
                </w:tcPr>
                <w:p w14:paraId="47A8DD8F" w14:textId="77777777" w:rsidR="0076023E" w:rsidRPr="00B81F70" w:rsidRDefault="0076023E" w:rsidP="0076023E">
                  <w:pPr>
                    <w:tabs>
                      <w:tab w:val="left" w:pos="171"/>
                    </w:tabs>
                    <w:spacing w:before="40" w:after="40"/>
                    <w:rPr>
                      <w:rFonts w:cs="Arial"/>
                      <w:szCs w:val="20"/>
                    </w:rPr>
                  </w:pPr>
                  <w:r w:rsidRPr="004155E5">
                    <w:rPr>
                      <w:rFonts w:cs="Arial"/>
                      <w:szCs w:val="20"/>
                    </w:rPr>
                    <w:t>Change Declaration Issued to Parties</w:t>
                  </w:r>
                </w:p>
              </w:tc>
              <w:tc>
                <w:tcPr>
                  <w:tcW w:w="2268" w:type="dxa"/>
                  <w:shd w:val="clear" w:color="auto" w:fill="auto"/>
                  <w:vAlign w:val="center"/>
                </w:tcPr>
                <w:p w14:paraId="34488CBE" w14:textId="1B54E0F0" w:rsidR="0076023E" w:rsidRPr="00951FDE" w:rsidRDefault="00142F3B" w:rsidP="0076023E">
                  <w:pPr>
                    <w:spacing w:before="40" w:after="40"/>
                    <w:rPr>
                      <w:rFonts w:cs="Arial"/>
                      <w:szCs w:val="20"/>
                    </w:rPr>
                  </w:pPr>
                  <w:r>
                    <w:rPr>
                      <w:rFonts w:cs="Arial"/>
                      <w:szCs w:val="20"/>
                    </w:rPr>
                    <w:t>1</w:t>
                  </w:r>
                  <w:r w:rsidR="00EE5264">
                    <w:rPr>
                      <w:rFonts w:cs="Arial"/>
                      <w:szCs w:val="20"/>
                    </w:rPr>
                    <w:t>8</w:t>
                  </w:r>
                  <w:r>
                    <w:rPr>
                      <w:rFonts w:cs="Arial"/>
                      <w:szCs w:val="20"/>
                    </w:rPr>
                    <w:t xml:space="preserve"> </w:t>
                  </w:r>
                  <w:r w:rsidR="00EE5264">
                    <w:rPr>
                      <w:rFonts w:cs="Arial"/>
                      <w:szCs w:val="20"/>
                    </w:rPr>
                    <w:t>October</w:t>
                  </w:r>
                  <w:r>
                    <w:rPr>
                      <w:rFonts w:cs="Arial"/>
                      <w:szCs w:val="20"/>
                    </w:rPr>
                    <w:t xml:space="preserve"> </w:t>
                  </w:r>
                  <w:r w:rsidR="0076023E">
                    <w:rPr>
                      <w:rFonts w:cs="Arial"/>
                      <w:szCs w:val="20"/>
                    </w:rPr>
                    <w:t>2022</w:t>
                  </w:r>
                </w:p>
              </w:tc>
            </w:tr>
            <w:tr w:rsidR="000C09EE" w:rsidRPr="00EB32BB" w14:paraId="6CB4F515" w14:textId="77777777" w:rsidTr="00B46A47">
              <w:tc>
                <w:tcPr>
                  <w:tcW w:w="5665" w:type="dxa"/>
                  <w:shd w:val="clear" w:color="auto" w:fill="auto"/>
                </w:tcPr>
                <w:p w14:paraId="342CFAF0" w14:textId="40E4A1EE" w:rsidR="000C09EE" w:rsidRPr="004155E5" w:rsidRDefault="000C09EE" w:rsidP="0076023E">
                  <w:pPr>
                    <w:tabs>
                      <w:tab w:val="left" w:pos="171"/>
                    </w:tabs>
                    <w:spacing w:before="40" w:after="40"/>
                    <w:rPr>
                      <w:rFonts w:cs="Arial"/>
                      <w:szCs w:val="20"/>
                    </w:rPr>
                  </w:pPr>
                  <w:r>
                    <w:t>Change Declaration issued to Authority</w:t>
                  </w:r>
                </w:p>
              </w:tc>
              <w:tc>
                <w:tcPr>
                  <w:tcW w:w="2268" w:type="dxa"/>
                  <w:shd w:val="clear" w:color="auto" w:fill="auto"/>
                  <w:vAlign w:val="center"/>
                </w:tcPr>
                <w:p w14:paraId="3CA3A31A" w14:textId="0B963384" w:rsidR="000C09EE" w:rsidRDefault="000C09EE" w:rsidP="0076023E">
                  <w:pPr>
                    <w:spacing w:before="40" w:after="40"/>
                    <w:rPr>
                      <w:rFonts w:cs="Arial"/>
                      <w:szCs w:val="20"/>
                    </w:rPr>
                  </w:pPr>
                  <w:r>
                    <w:rPr>
                      <w:rFonts w:cs="Arial"/>
                      <w:szCs w:val="20"/>
                    </w:rPr>
                    <w:t>18 October 2022</w:t>
                  </w:r>
                </w:p>
              </w:tc>
            </w:tr>
            <w:tr w:rsidR="0076023E" w:rsidRPr="00EB32BB" w14:paraId="0A265BB1" w14:textId="77777777" w:rsidTr="00B46A47">
              <w:tc>
                <w:tcPr>
                  <w:tcW w:w="5665" w:type="dxa"/>
                  <w:shd w:val="clear" w:color="auto" w:fill="auto"/>
                </w:tcPr>
                <w:p w14:paraId="2B8F0762" w14:textId="77777777" w:rsidR="0076023E" w:rsidRPr="00EB32BB" w:rsidRDefault="0076023E" w:rsidP="0076023E">
                  <w:pPr>
                    <w:tabs>
                      <w:tab w:val="left" w:pos="171"/>
                    </w:tabs>
                    <w:spacing w:before="40" w:after="40"/>
                    <w:rPr>
                      <w:rFonts w:cs="Arial"/>
                      <w:szCs w:val="20"/>
                    </w:rPr>
                  </w:pPr>
                  <w:r w:rsidRPr="004155E5">
                    <w:rPr>
                      <w:rFonts w:cs="Arial"/>
                      <w:szCs w:val="20"/>
                    </w:rPr>
                    <w:t>Authority Decision</w:t>
                  </w:r>
                </w:p>
              </w:tc>
              <w:tc>
                <w:tcPr>
                  <w:tcW w:w="2268" w:type="dxa"/>
                  <w:shd w:val="clear" w:color="auto" w:fill="auto"/>
                  <w:vAlign w:val="center"/>
                </w:tcPr>
                <w:p w14:paraId="291AF499" w14:textId="77777777" w:rsidR="0076023E" w:rsidRPr="00EB32BB" w:rsidRDefault="0076023E" w:rsidP="0076023E">
                  <w:pPr>
                    <w:spacing w:before="40" w:after="40"/>
                    <w:rPr>
                      <w:rFonts w:cs="Arial"/>
                      <w:szCs w:val="20"/>
                    </w:rPr>
                  </w:pPr>
                  <w:r>
                    <w:rPr>
                      <w:rFonts w:cs="Arial"/>
                      <w:szCs w:val="20"/>
                    </w:rPr>
                    <w:t>TBC</w:t>
                  </w:r>
                </w:p>
              </w:tc>
            </w:tr>
            <w:tr w:rsidR="0076023E" w:rsidRPr="00EB32BB" w14:paraId="7243EA33" w14:textId="77777777" w:rsidTr="00B46A47">
              <w:trPr>
                <w:trHeight w:val="93"/>
              </w:trPr>
              <w:tc>
                <w:tcPr>
                  <w:tcW w:w="5665" w:type="dxa"/>
                  <w:shd w:val="clear" w:color="auto" w:fill="auto"/>
                </w:tcPr>
                <w:p w14:paraId="7C983B10" w14:textId="77777777" w:rsidR="0076023E" w:rsidRPr="00EB32BB" w:rsidRDefault="0076023E" w:rsidP="0076023E">
                  <w:pPr>
                    <w:tabs>
                      <w:tab w:val="left" w:pos="171"/>
                    </w:tabs>
                    <w:spacing w:before="40" w:after="40"/>
                    <w:rPr>
                      <w:rFonts w:cs="Arial"/>
                      <w:szCs w:val="20"/>
                    </w:rPr>
                  </w:pPr>
                  <w:r w:rsidRPr="004155E5">
                    <w:rPr>
                      <w:rFonts w:cs="Arial"/>
                      <w:szCs w:val="20"/>
                    </w:rPr>
                    <w:t>Implementation</w:t>
                  </w:r>
                </w:p>
              </w:tc>
              <w:tc>
                <w:tcPr>
                  <w:tcW w:w="2268" w:type="dxa"/>
                  <w:shd w:val="clear" w:color="auto" w:fill="auto"/>
                  <w:vAlign w:val="center"/>
                </w:tcPr>
                <w:p w14:paraId="771EC3A1" w14:textId="224606B2" w:rsidR="0076023E" w:rsidRPr="00EB32BB" w:rsidRDefault="0076023E" w:rsidP="0076023E">
                  <w:pPr>
                    <w:spacing w:before="40" w:after="40"/>
                    <w:rPr>
                      <w:rFonts w:cs="Arial"/>
                      <w:szCs w:val="20"/>
                    </w:rPr>
                  </w:pPr>
                  <w:r w:rsidRPr="004155E5">
                    <w:rPr>
                      <w:rFonts w:cs="Arial"/>
                    </w:rPr>
                    <w:t xml:space="preserve">Next scheduled release or within one month of </w:t>
                  </w:r>
                  <w:r w:rsidR="00142F3B">
                    <w:rPr>
                      <w:rFonts w:cs="Arial"/>
                    </w:rPr>
                    <w:t xml:space="preserve">the </w:t>
                  </w:r>
                  <w:r w:rsidRPr="004155E5">
                    <w:rPr>
                      <w:rFonts w:cs="Arial"/>
                    </w:rPr>
                    <w:t xml:space="preserve">Authority </w:t>
                  </w:r>
                  <w:r w:rsidR="00142F3B">
                    <w:rPr>
                      <w:rFonts w:cs="Arial"/>
                    </w:rPr>
                    <w:t>Decision</w:t>
                  </w:r>
                  <w:r w:rsidRPr="004155E5">
                    <w:rPr>
                      <w:rFonts w:cs="Arial"/>
                    </w:rPr>
                    <w:t xml:space="preserve">, whichever is </w:t>
                  </w:r>
                  <w:r w:rsidR="00142F3B">
                    <w:rPr>
                      <w:rFonts w:cs="Arial"/>
                    </w:rPr>
                    <w:t xml:space="preserve">the </w:t>
                  </w:r>
                  <w:r w:rsidRPr="004155E5">
                    <w:rPr>
                      <w:rFonts w:cs="Arial"/>
                    </w:rPr>
                    <w:t>sooner</w:t>
                  </w:r>
                </w:p>
              </w:tc>
            </w:tr>
          </w:tbl>
          <w:p w14:paraId="327CAA54" w14:textId="77777777" w:rsidR="00B23506" w:rsidRPr="00EB32BB" w:rsidRDefault="00B23506" w:rsidP="007E718E">
            <w:pPr>
              <w:pStyle w:val="BodyTextFirstIndent"/>
              <w:ind w:firstLine="0"/>
              <w:rPr>
                <w:rFonts w:cs="Arial"/>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739F1F78" w14:textId="19040C1A" w:rsidR="00F10E14" w:rsidRPr="00EB32BB" w:rsidRDefault="008B547E" w:rsidP="00291083">
            <w:pPr>
              <w:pStyle w:val="BodyText"/>
              <w:spacing w:before="60" w:after="60" w:line="240" w:lineRule="auto"/>
              <w:rPr>
                <w:rFonts w:cs="Arial"/>
                <w:szCs w:val="20"/>
              </w:rPr>
            </w:pPr>
            <w:r w:rsidRPr="00AF30A5">
              <w:rPr>
                <w:rFonts w:cs="Arial"/>
                <w:noProof/>
                <w:szCs w:val="20"/>
                <w:lang w:val="en-US" w:eastAsia="en-US"/>
              </w:rPr>
              <w:drawing>
                <wp:inline distT="0" distB="0" distL="0" distR="0" wp14:anchorId="4FECA56D" wp14:editId="6C627A8B">
                  <wp:extent cx="281305" cy="281305"/>
                  <wp:effectExtent l="0" t="0" r="0" b="0"/>
                  <wp:docPr id="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1305" cy="281305"/>
                          </a:xfrm>
                          <a:prstGeom prst="rect">
                            <a:avLst/>
                          </a:prstGeom>
                          <a:noFill/>
                          <a:ln>
                            <a:noFill/>
                          </a:ln>
                        </pic:spPr>
                      </pic:pic>
                    </a:graphicData>
                  </a:graphic>
                </wp:inline>
              </w:drawing>
            </w:r>
            <w:r w:rsidR="00F10E14" w:rsidRPr="00EB32BB">
              <w:rPr>
                <w:rFonts w:cs="Arial"/>
                <w:b/>
                <w:color w:val="008576"/>
                <w:szCs w:val="20"/>
              </w:rPr>
              <w:t xml:space="preserve"> Any questions?</w:t>
            </w:r>
          </w:p>
        </w:tc>
      </w:tr>
      <w:tr w:rsidR="0076023E" w:rsidRPr="00EB32BB" w14:paraId="6786EB0C"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71950906" w14:textId="77777777" w:rsidR="0076023E" w:rsidRPr="00EB32BB" w:rsidRDefault="0076023E" w:rsidP="0076023E">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7D881C05" w14:textId="77777777" w:rsidR="0076023E" w:rsidRPr="004155E5" w:rsidRDefault="0076023E" w:rsidP="0076023E">
            <w:pPr>
              <w:spacing w:before="60" w:after="60" w:line="240" w:lineRule="auto"/>
              <w:rPr>
                <w:rFonts w:cs="Arial"/>
                <w:color w:val="008576"/>
                <w:szCs w:val="20"/>
              </w:rPr>
            </w:pPr>
            <w:r w:rsidRPr="004155E5">
              <w:rPr>
                <w:rFonts w:cs="Arial"/>
                <w:color w:val="008576"/>
                <w:szCs w:val="20"/>
              </w:rPr>
              <w:t>Contact:</w:t>
            </w:r>
          </w:p>
          <w:p w14:paraId="69A7DAEF" w14:textId="77777777" w:rsidR="0076023E" w:rsidRPr="00EB32BB" w:rsidRDefault="0076023E" w:rsidP="0076023E">
            <w:pPr>
              <w:pStyle w:val="BodyText"/>
              <w:spacing w:before="60" w:after="60" w:line="240" w:lineRule="auto"/>
              <w:rPr>
                <w:rFonts w:cs="Arial"/>
                <w:color w:val="008576"/>
                <w:szCs w:val="20"/>
              </w:rPr>
            </w:pPr>
            <w:r w:rsidRPr="004155E5">
              <w:rPr>
                <w:rFonts w:cs="Arial"/>
                <w:b/>
                <w:color w:val="008576"/>
                <w:szCs w:val="20"/>
              </w:rPr>
              <w:t>Code Administrator</w:t>
            </w:r>
          </w:p>
        </w:tc>
      </w:tr>
      <w:tr w:rsidR="0076023E" w:rsidRPr="00EB32BB" w14:paraId="098E81DB"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3DF41E99" w14:textId="77777777" w:rsidR="0076023E" w:rsidRPr="00EB32BB" w:rsidRDefault="0076023E" w:rsidP="0076023E">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5946BB5B" w14:textId="59CAF393" w:rsidR="0076023E" w:rsidRPr="00EB32BB" w:rsidRDefault="008B547E" w:rsidP="0076023E">
            <w:pPr>
              <w:pStyle w:val="BodyText"/>
              <w:spacing w:before="60" w:after="60" w:line="240" w:lineRule="auto"/>
              <w:rPr>
                <w:rFonts w:cs="Arial"/>
                <w:color w:val="008576"/>
                <w:szCs w:val="20"/>
              </w:rPr>
            </w:pPr>
            <w:r w:rsidRPr="00CF023C">
              <w:rPr>
                <w:rFonts w:cs="Arial"/>
                <w:b/>
                <w:noProof/>
                <w:color w:val="008576"/>
                <w:szCs w:val="20"/>
              </w:rPr>
              <w:drawing>
                <wp:inline distT="0" distB="0" distL="0" distR="0" wp14:anchorId="4493381D" wp14:editId="19A7EA0F">
                  <wp:extent cx="281305" cy="281305"/>
                  <wp:effectExtent l="0" t="0" r="0" b="0"/>
                  <wp:docPr id="5" name="Picture 2"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email_us_go_onlin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1305" cy="281305"/>
                          </a:xfrm>
                          <a:prstGeom prst="rect">
                            <a:avLst/>
                          </a:prstGeom>
                          <a:noFill/>
                          <a:ln>
                            <a:noFill/>
                          </a:ln>
                        </pic:spPr>
                      </pic:pic>
                    </a:graphicData>
                  </a:graphic>
                </wp:inline>
              </w:drawing>
            </w:r>
            <w:r w:rsidR="0076023E" w:rsidRPr="004155E5">
              <w:rPr>
                <w:rFonts w:cs="Arial"/>
              </w:rPr>
              <w:t xml:space="preserve"> </w:t>
            </w:r>
            <w:r w:rsidR="0076023E" w:rsidRPr="004155E5">
              <w:rPr>
                <w:rFonts w:cs="Arial"/>
                <w:b/>
                <w:noProof/>
                <w:color w:val="008576"/>
                <w:szCs w:val="20"/>
                <w:lang w:val="en-US" w:eastAsia="en-US"/>
              </w:rPr>
              <w:t>DCUSA@electralink.co.uk</w:t>
            </w:r>
          </w:p>
        </w:tc>
      </w:tr>
      <w:tr w:rsidR="0076023E" w:rsidRPr="00EB32BB" w14:paraId="472AD281"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3B186256" w14:textId="77777777" w:rsidR="0076023E" w:rsidRPr="00EB32BB" w:rsidRDefault="0076023E" w:rsidP="0076023E">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181446D" w14:textId="6F39B8DF" w:rsidR="0076023E" w:rsidRPr="00EB32BB" w:rsidRDefault="008B547E" w:rsidP="0076023E">
            <w:pPr>
              <w:pStyle w:val="BodyText"/>
              <w:spacing w:before="60" w:after="60" w:line="240" w:lineRule="auto"/>
              <w:rPr>
                <w:rFonts w:cs="Arial"/>
                <w:color w:val="008576"/>
                <w:szCs w:val="20"/>
              </w:rPr>
            </w:pPr>
            <w:r w:rsidRPr="00CF023C">
              <w:rPr>
                <w:rFonts w:cs="Arial"/>
                <w:b/>
                <w:noProof/>
                <w:color w:val="008576"/>
                <w:szCs w:val="20"/>
              </w:rPr>
              <w:drawing>
                <wp:inline distT="0" distB="0" distL="0" distR="0" wp14:anchorId="5EDC917E" wp14:editId="4B7F5702">
                  <wp:extent cx="281305" cy="281305"/>
                  <wp:effectExtent l="0" t="0" r="0" b="0"/>
                  <wp:docPr id="6" name="Picture 3"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call_u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1305" cy="281305"/>
                          </a:xfrm>
                          <a:prstGeom prst="rect">
                            <a:avLst/>
                          </a:prstGeom>
                          <a:noFill/>
                          <a:ln>
                            <a:noFill/>
                          </a:ln>
                        </pic:spPr>
                      </pic:pic>
                    </a:graphicData>
                  </a:graphic>
                </wp:inline>
              </w:drawing>
            </w:r>
            <w:r w:rsidR="0076023E" w:rsidRPr="004155E5">
              <w:rPr>
                <w:rFonts w:cs="Arial"/>
                <w:b/>
                <w:noProof/>
                <w:color w:val="008576"/>
                <w:szCs w:val="20"/>
                <w:lang w:val="en-US" w:eastAsia="en-US"/>
              </w:rPr>
              <w:t>02074323000</w:t>
            </w:r>
          </w:p>
        </w:tc>
      </w:tr>
      <w:tr w:rsidR="0076023E" w:rsidRPr="00EB32BB" w14:paraId="47DBEBBE"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50DA6E96" w14:textId="77777777" w:rsidR="0076023E" w:rsidRPr="00EB32BB" w:rsidRDefault="0076023E" w:rsidP="0076023E">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66D15485" w14:textId="77777777" w:rsidR="0076023E" w:rsidRPr="004155E5" w:rsidRDefault="0076023E" w:rsidP="0076023E">
            <w:pPr>
              <w:spacing w:before="60" w:after="60" w:line="240" w:lineRule="auto"/>
              <w:rPr>
                <w:rFonts w:cs="Arial"/>
                <w:color w:val="008576"/>
                <w:szCs w:val="20"/>
              </w:rPr>
            </w:pPr>
            <w:r w:rsidRPr="004155E5">
              <w:rPr>
                <w:rFonts w:cs="Arial"/>
                <w:color w:val="008576"/>
                <w:szCs w:val="20"/>
              </w:rPr>
              <w:t>Proposer:</w:t>
            </w:r>
          </w:p>
          <w:p w14:paraId="07A45EF7" w14:textId="039AD35E" w:rsidR="0076023E" w:rsidRPr="00EB32BB" w:rsidRDefault="008825E4" w:rsidP="0076023E">
            <w:pPr>
              <w:spacing w:before="60" w:after="60" w:line="240" w:lineRule="auto"/>
              <w:rPr>
                <w:rFonts w:cs="Arial"/>
                <w:b/>
                <w:color w:val="008576"/>
                <w:szCs w:val="20"/>
              </w:rPr>
            </w:pPr>
            <w:r w:rsidRPr="008825E4">
              <w:rPr>
                <w:rFonts w:cs="Arial"/>
                <w:b/>
                <w:color w:val="008576"/>
                <w:szCs w:val="20"/>
              </w:rPr>
              <w:t>Kevin Woollard</w:t>
            </w:r>
          </w:p>
        </w:tc>
      </w:tr>
      <w:tr w:rsidR="0076023E" w:rsidRPr="00EB32BB" w14:paraId="7FD76F8D"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5AEFB2D6" w14:textId="77777777" w:rsidR="0076023E" w:rsidRPr="00EB32BB" w:rsidRDefault="0076023E" w:rsidP="0076023E">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8AC9B47" w14:textId="72DF06D9" w:rsidR="0076023E" w:rsidRPr="004155E5" w:rsidRDefault="008B547E" w:rsidP="0076023E">
            <w:pPr>
              <w:pStyle w:val="BodyText"/>
              <w:spacing w:before="60" w:after="60" w:line="240" w:lineRule="auto"/>
              <w:rPr>
                <w:rFonts w:cs="Arial"/>
                <w:b/>
                <w:color w:val="008576"/>
                <w:szCs w:val="20"/>
              </w:rPr>
            </w:pPr>
            <w:r w:rsidRPr="00CF023C">
              <w:rPr>
                <w:rFonts w:cs="Arial"/>
                <w:b/>
                <w:noProof/>
                <w:color w:val="008576"/>
                <w:szCs w:val="20"/>
              </w:rPr>
              <w:drawing>
                <wp:inline distT="0" distB="0" distL="0" distR="0" wp14:anchorId="4EC66A43" wp14:editId="74EAE84F">
                  <wp:extent cx="281305" cy="281305"/>
                  <wp:effectExtent l="0" t="0" r="0" b="0"/>
                  <wp:docPr id="7" name="Picture 4"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email_us_go_onlin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1305" cy="281305"/>
                          </a:xfrm>
                          <a:prstGeom prst="rect">
                            <a:avLst/>
                          </a:prstGeom>
                          <a:noFill/>
                          <a:ln>
                            <a:noFill/>
                          </a:ln>
                        </pic:spPr>
                      </pic:pic>
                    </a:graphicData>
                  </a:graphic>
                </wp:inline>
              </w:drawing>
            </w:r>
            <w:r w:rsidR="0076023E" w:rsidRPr="004155E5">
              <w:rPr>
                <w:rFonts w:cs="Arial"/>
                <w:b/>
                <w:color w:val="008576"/>
                <w:szCs w:val="20"/>
              </w:rPr>
              <w:t xml:space="preserve"> </w:t>
            </w:r>
          </w:p>
          <w:p w14:paraId="50CDBCF9" w14:textId="003EFAA9" w:rsidR="0054531B" w:rsidRPr="0054531B" w:rsidRDefault="00284F86" w:rsidP="0076023E">
            <w:pPr>
              <w:pStyle w:val="BodyText"/>
              <w:spacing w:before="60" w:after="60" w:line="240" w:lineRule="auto"/>
            </w:pPr>
            <w:hyperlink r:id="rId14" w:history="1">
              <w:r w:rsidR="0054531B" w:rsidRPr="006B73B0">
                <w:rPr>
                  <w:rStyle w:val="Hyperlink"/>
                </w:rPr>
                <w:t>Kevin.woollard@centrica.com</w:t>
              </w:r>
            </w:hyperlink>
          </w:p>
        </w:tc>
      </w:tr>
      <w:tr w:rsidR="0076023E" w:rsidRPr="00EB32BB" w14:paraId="6AC8BF88"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06DF5EED" w14:textId="77777777" w:rsidR="0076023E" w:rsidRPr="00EB32BB" w:rsidRDefault="0076023E" w:rsidP="0076023E">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42495063" w14:textId="6F9448F0" w:rsidR="0076023E" w:rsidRPr="004155E5" w:rsidRDefault="008B547E" w:rsidP="0076023E">
            <w:pPr>
              <w:pStyle w:val="BodyText"/>
              <w:spacing w:before="60" w:after="60" w:line="240" w:lineRule="auto"/>
              <w:rPr>
                <w:rFonts w:cs="Arial"/>
                <w:b/>
                <w:color w:val="008576"/>
                <w:szCs w:val="20"/>
              </w:rPr>
            </w:pPr>
            <w:r w:rsidRPr="00CF023C">
              <w:rPr>
                <w:rFonts w:cs="Arial"/>
                <w:b/>
                <w:noProof/>
                <w:color w:val="008576"/>
                <w:szCs w:val="20"/>
              </w:rPr>
              <w:drawing>
                <wp:inline distT="0" distB="0" distL="0" distR="0" wp14:anchorId="2CE75DDD" wp14:editId="3C0EC09E">
                  <wp:extent cx="281305" cy="281305"/>
                  <wp:effectExtent l="0" t="0" r="0" b="0"/>
                  <wp:docPr id="8" name="Picture 5"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call_u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1305" cy="281305"/>
                          </a:xfrm>
                          <a:prstGeom prst="rect">
                            <a:avLst/>
                          </a:prstGeom>
                          <a:noFill/>
                          <a:ln>
                            <a:noFill/>
                          </a:ln>
                        </pic:spPr>
                      </pic:pic>
                    </a:graphicData>
                  </a:graphic>
                </wp:inline>
              </w:drawing>
            </w:r>
            <w:r w:rsidR="0076023E" w:rsidRPr="004155E5">
              <w:rPr>
                <w:rFonts w:cs="Arial"/>
                <w:b/>
                <w:color w:val="008576"/>
                <w:szCs w:val="20"/>
              </w:rPr>
              <w:t xml:space="preserve"> </w:t>
            </w:r>
            <w:r w:rsidR="0054531B" w:rsidRPr="0054531B">
              <w:rPr>
                <w:rFonts w:cs="Arial"/>
                <w:b/>
                <w:color w:val="008576"/>
                <w:szCs w:val="20"/>
              </w:rPr>
              <w:t>07979 563580</w:t>
            </w:r>
          </w:p>
          <w:p w14:paraId="119DB8D7" w14:textId="77777777" w:rsidR="0076023E" w:rsidRPr="00EB32BB" w:rsidRDefault="0076023E" w:rsidP="0076023E">
            <w:pPr>
              <w:pStyle w:val="BodyText"/>
              <w:spacing w:before="60" w:after="60" w:line="240" w:lineRule="auto"/>
              <w:rPr>
                <w:rFonts w:cs="Arial"/>
                <w:color w:val="008576"/>
                <w:szCs w:val="20"/>
              </w:rPr>
            </w:pPr>
          </w:p>
        </w:tc>
      </w:tr>
      <w:tr w:rsidR="0076023E" w:rsidRPr="00EB32BB" w14:paraId="782BC7C3" w14:textId="77777777" w:rsidTr="004D430C">
        <w:trPr>
          <w:gridAfter w:val="1"/>
          <w:wAfter w:w="2268" w:type="dxa"/>
          <w:trHeight w:val="722"/>
        </w:trPr>
        <w:tc>
          <w:tcPr>
            <w:tcW w:w="7939" w:type="dxa"/>
            <w:vMerge/>
            <w:tcBorders>
              <w:left w:val="single" w:sz="4" w:space="0" w:color="4A8958"/>
              <w:bottom w:val="single" w:sz="4" w:space="0" w:color="4A8958"/>
              <w:right w:val="single" w:sz="4" w:space="0" w:color="4A8958"/>
            </w:tcBorders>
            <w:shd w:val="clear" w:color="auto" w:fill="auto"/>
          </w:tcPr>
          <w:p w14:paraId="3268C3C9" w14:textId="77777777" w:rsidR="0076023E" w:rsidRPr="00EB32BB" w:rsidRDefault="0076023E" w:rsidP="00A809BC">
            <w:pPr>
              <w:pStyle w:val="Contents01"/>
              <w:rPr>
                <w:noProof/>
              </w:rPr>
            </w:pPr>
          </w:p>
        </w:tc>
      </w:tr>
      <w:tr w:rsidR="0076023E" w:rsidRPr="00EB32BB" w14:paraId="641F8091"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429B8A90" w14:textId="77777777" w:rsidR="0076023E" w:rsidRPr="00EB32BB" w:rsidRDefault="0076023E" w:rsidP="004A3386">
            <w:pPr>
              <w:pStyle w:val="BodyText"/>
              <w:rPr>
                <w:rFonts w:cs="Arial"/>
                <w:b/>
                <w:bCs/>
                <w:noProof/>
                <w:color w:val="00B274"/>
                <w:szCs w:val="32"/>
              </w:rPr>
            </w:pPr>
          </w:p>
        </w:tc>
      </w:tr>
      <w:tr w:rsidR="0076023E" w:rsidRPr="00EB32BB" w14:paraId="76EC7D3C"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279414BE" w14:textId="77777777" w:rsidR="0076023E" w:rsidRPr="00EB32BB" w:rsidRDefault="0076023E" w:rsidP="004A3386">
            <w:pPr>
              <w:pStyle w:val="BodyText"/>
              <w:rPr>
                <w:rFonts w:cs="Arial"/>
                <w:b/>
                <w:bCs/>
                <w:noProof/>
                <w:color w:val="00B274"/>
                <w:szCs w:val="32"/>
              </w:rPr>
            </w:pPr>
          </w:p>
        </w:tc>
      </w:tr>
      <w:tr w:rsidR="0076023E" w:rsidRPr="00EB32BB" w14:paraId="6EC9B2C9"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698D5A2F" w14:textId="77777777" w:rsidR="0076023E" w:rsidRPr="00EB32BB" w:rsidRDefault="0076023E" w:rsidP="004A3386">
            <w:pPr>
              <w:pStyle w:val="BodyText"/>
              <w:rPr>
                <w:rFonts w:cs="Arial"/>
                <w:b/>
                <w:bCs/>
                <w:noProof/>
                <w:color w:val="00B274"/>
                <w:szCs w:val="32"/>
              </w:rPr>
            </w:pPr>
          </w:p>
        </w:tc>
      </w:tr>
      <w:tr w:rsidR="0076023E" w:rsidRPr="00EB32BB" w14:paraId="0F6EAC15"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4ADCB092" w14:textId="77777777" w:rsidR="0076023E" w:rsidRPr="00EB32BB" w:rsidRDefault="0076023E" w:rsidP="004A3386">
            <w:pPr>
              <w:pStyle w:val="BodyText"/>
              <w:rPr>
                <w:rFonts w:cs="Arial"/>
                <w:b/>
                <w:bCs/>
                <w:noProof/>
                <w:color w:val="00B274"/>
                <w:szCs w:val="32"/>
              </w:rPr>
            </w:pPr>
          </w:p>
        </w:tc>
      </w:tr>
      <w:tr w:rsidR="0076023E" w:rsidRPr="00EB32BB" w14:paraId="6F2672C8" w14:textId="77777777" w:rsidTr="004D430C">
        <w:trPr>
          <w:gridAfter w:val="1"/>
          <w:wAfter w:w="2268" w:type="dxa"/>
          <w:trHeight w:val="628"/>
        </w:trPr>
        <w:tc>
          <w:tcPr>
            <w:tcW w:w="7939" w:type="dxa"/>
            <w:vMerge/>
            <w:tcBorders>
              <w:left w:val="single" w:sz="4" w:space="0" w:color="4A8958"/>
              <w:bottom w:val="single" w:sz="4" w:space="0" w:color="4A8958"/>
              <w:right w:val="single" w:sz="4" w:space="0" w:color="4A8958"/>
            </w:tcBorders>
            <w:shd w:val="clear" w:color="auto" w:fill="auto"/>
          </w:tcPr>
          <w:p w14:paraId="23CC4958" w14:textId="77777777" w:rsidR="0076023E" w:rsidRPr="00EB32BB" w:rsidRDefault="0076023E" w:rsidP="004A3386">
            <w:pPr>
              <w:pStyle w:val="BodyText"/>
              <w:rPr>
                <w:rFonts w:cs="Arial"/>
                <w:b/>
                <w:bCs/>
                <w:noProof/>
                <w:color w:val="00B274"/>
                <w:szCs w:val="32"/>
              </w:rPr>
            </w:pPr>
          </w:p>
        </w:tc>
      </w:tr>
      <w:tr w:rsidR="0076023E" w:rsidRPr="00EB32BB" w14:paraId="0F1BCD4C"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310E5D3D" w14:textId="77777777" w:rsidR="0076023E" w:rsidRPr="00EB32BB" w:rsidRDefault="0076023E" w:rsidP="004A3386">
            <w:pPr>
              <w:pStyle w:val="BodyText"/>
              <w:spacing w:line="240" w:lineRule="auto"/>
              <w:rPr>
                <w:rFonts w:cs="Arial"/>
                <w:szCs w:val="20"/>
              </w:rPr>
            </w:pPr>
          </w:p>
        </w:tc>
      </w:tr>
      <w:tr w:rsidR="0076023E" w:rsidRPr="00EB32BB" w14:paraId="5CA98AB0"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389F91CF" w14:textId="77777777" w:rsidR="0076023E" w:rsidRPr="00EB32BB" w:rsidRDefault="0076023E" w:rsidP="004A3386">
            <w:pPr>
              <w:pStyle w:val="BodyText"/>
              <w:spacing w:line="240" w:lineRule="auto"/>
              <w:rPr>
                <w:rFonts w:cs="Arial"/>
                <w:szCs w:val="20"/>
              </w:rPr>
            </w:pPr>
          </w:p>
        </w:tc>
      </w:tr>
      <w:tr w:rsidR="0076023E" w:rsidRPr="00EB32BB" w14:paraId="2FD970B2"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6F3A6FA1" w14:textId="77777777" w:rsidR="0076023E" w:rsidRPr="00EB32BB" w:rsidRDefault="0076023E" w:rsidP="004A3386">
            <w:pPr>
              <w:pStyle w:val="BodyText"/>
              <w:spacing w:line="240" w:lineRule="auto"/>
              <w:rPr>
                <w:rFonts w:cs="Arial"/>
                <w:szCs w:val="20"/>
              </w:rPr>
            </w:pPr>
          </w:p>
        </w:tc>
      </w:tr>
    </w:tbl>
    <w:p w14:paraId="43C52438" w14:textId="77777777" w:rsidR="00FD0396" w:rsidRDefault="00FD0396" w:rsidP="00FD0396">
      <w:bookmarkStart w:id="1" w:name="_Toc188527263"/>
      <w:bookmarkStart w:id="2" w:name="_Toc318967194"/>
    </w:p>
    <w:p w14:paraId="7D0B6416" w14:textId="77777777" w:rsidR="00FD0396" w:rsidRDefault="00FD0396" w:rsidP="00FD0396"/>
    <w:p w14:paraId="390BA7D7" w14:textId="77777777" w:rsidR="00FD0396" w:rsidRDefault="00FD0396" w:rsidP="000C09EE">
      <w:pPr>
        <w:ind w:firstLine="720"/>
      </w:pPr>
    </w:p>
    <w:p w14:paraId="0F32A2B9" w14:textId="77777777" w:rsidR="00FD0396" w:rsidRDefault="005F5231" w:rsidP="006D62F9">
      <w:pPr>
        <w:pStyle w:val="Heading03"/>
      </w:pPr>
      <w:bookmarkStart w:id="3" w:name="_Toc110371096"/>
      <w:r w:rsidRPr="006D62F9">
        <w:lastRenderedPageBreak/>
        <w:t xml:space="preserve">Executive </w:t>
      </w:r>
      <w:r w:rsidR="004C6117" w:rsidRPr="006D62F9">
        <w:t>Summary</w:t>
      </w:r>
      <w:bookmarkEnd w:id="1"/>
      <w:bookmarkEnd w:id="2"/>
      <w:bookmarkEnd w:id="3"/>
    </w:p>
    <w:p w14:paraId="24994EDA" w14:textId="77777777" w:rsidR="00D86289" w:rsidRPr="00E45140" w:rsidRDefault="00D86289" w:rsidP="00E45140">
      <w:pPr>
        <w:pStyle w:val="Heading4"/>
      </w:pPr>
      <w:bookmarkStart w:id="4" w:name="_Toc318967195"/>
      <w:r w:rsidRPr="00E45140">
        <w:t>What</w:t>
      </w:r>
      <w:r w:rsidR="001E6639">
        <w:t>?</w:t>
      </w:r>
    </w:p>
    <w:p w14:paraId="4AA1BE3D" w14:textId="46389DAE" w:rsidR="000C09EE" w:rsidRPr="000C09EE" w:rsidRDefault="009E78BD" w:rsidP="000C09EE">
      <w:pPr>
        <w:pStyle w:val="Heading2"/>
        <w:keepNext w:val="0"/>
        <w:numPr>
          <w:ilvl w:val="1"/>
          <w:numId w:val="14"/>
        </w:numPr>
        <w:spacing w:before="240" w:after="60" w:line="360" w:lineRule="auto"/>
        <w:jc w:val="both"/>
        <w:rPr>
          <w:color w:val="auto"/>
          <w:sz w:val="20"/>
          <w:szCs w:val="20"/>
        </w:rPr>
      </w:pPr>
      <w:r>
        <w:rPr>
          <w:color w:val="auto"/>
          <w:sz w:val="20"/>
          <w:szCs w:val="20"/>
        </w:rPr>
        <w:t>Supplier</w:t>
      </w:r>
      <w:r w:rsidR="000C09EE" w:rsidRPr="000C09EE">
        <w:rPr>
          <w:color w:val="auto"/>
          <w:sz w:val="20"/>
          <w:szCs w:val="20"/>
        </w:rPr>
        <w:t xml:space="preserve">s are required to provide security cover as per DCUSA Clause 24 and Schedule 1 ‘Cover’. The amount of security is based on a User’s Value at Risk </w:t>
      </w:r>
      <w:proofErr w:type="gramStart"/>
      <w:r w:rsidR="000C09EE" w:rsidRPr="000C09EE">
        <w:rPr>
          <w:color w:val="auto"/>
          <w:sz w:val="20"/>
          <w:szCs w:val="20"/>
        </w:rPr>
        <w:t>in excess of</w:t>
      </w:r>
      <w:proofErr w:type="gramEnd"/>
      <w:r w:rsidR="000C09EE" w:rsidRPr="000C09EE">
        <w:rPr>
          <w:color w:val="auto"/>
          <w:sz w:val="20"/>
          <w:szCs w:val="20"/>
        </w:rPr>
        <w:t xml:space="preserve"> its Credit Allowance. The Value at Risk is determined from charges billed to the User but unpaid plus 15 </w:t>
      </w:r>
      <w:proofErr w:type="gramStart"/>
      <w:r w:rsidR="000C09EE" w:rsidRPr="000C09EE">
        <w:rPr>
          <w:color w:val="auto"/>
          <w:sz w:val="20"/>
          <w:szCs w:val="20"/>
        </w:rPr>
        <w:t>days’</w:t>
      </w:r>
      <w:proofErr w:type="gramEnd"/>
      <w:r w:rsidR="000C09EE" w:rsidRPr="000C09EE">
        <w:rPr>
          <w:color w:val="auto"/>
          <w:sz w:val="20"/>
          <w:szCs w:val="20"/>
        </w:rPr>
        <w:t xml:space="preserve"> estimated further charges less Prepayments and Advanced Payments</w:t>
      </w:r>
      <w:r w:rsidR="000C09EE">
        <w:rPr>
          <w:color w:val="auto"/>
          <w:sz w:val="20"/>
          <w:szCs w:val="20"/>
        </w:rPr>
        <w:t>.</w:t>
      </w:r>
    </w:p>
    <w:p w14:paraId="7F5D64A7" w14:textId="0A11486E" w:rsidR="000C09EE" w:rsidRPr="000C09EE" w:rsidRDefault="000C09EE" w:rsidP="006D1979">
      <w:pPr>
        <w:pStyle w:val="ListParagraph"/>
        <w:numPr>
          <w:ilvl w:val="1"/>
          <w:numId w:val="14"/>
        </w:numPr>
        <w:spacing w:line="360" w:lineRule="auto"/>
        <w:jc w:val="both"/>
      </w:pPr>
      <w:r w:rsidRPr="000C09EE">
        <w:t xml:space="preserve">Currently sums of money that may be due to a </w:t>
      </w:r>
      <w:r w:rsidR="009E78BD">
        <w:t>Supplier</w:t>
      </w:r>
      <w:r w:rsidRPr="000C09EE">
        <w:t xml:space="preserve"> from the network companies relating to a Valid Claim under the </w:t>
      </w:r>
      <w:r w:rsidR="009E78BD">
        <w:t>Supplier</w:t>
      </w:r>
      <w:r w:rsidRPr="000C09EE">
        <w:t xml:space="preserve"> of Last Resort (SoLR) process, and scheduled as Last Resort Supply Payments, are not included in the calculation of Value at Risk. This means that these </w:t>
      </w:r>
      <w:r w:rsidR="009E78BD">
        <w:t>Supplier</w:t>
      </w:r>
      <w:r w:rsidRPr="000C09EE">
        <w:t>s are required to place a higher level of credit cover than would otherwise be the case if Last Resort Supply Payments were included.</w:t>
      </w:r>
    </w:p>
    <w:p w14:paraId="14C31FCB" w14:textId="77777777" w:rsidR="00D86289" w:rsidRDefault="00D86289" w:rsidP="00E45140">
      <w:pPr>
        <w:pStyle w:val="Heading4"/>
      </w:pPr>
      <w:r w:rsidRPr="004C6117">
        <w:t>Why</w:t>
      </w:r>
      <w:r w:rsidR="001E6639">
        <w:t>?</w:t>
      </w:r>
      <w:r>
        <w:t xml:space="preserve"> </w:t>
      </w:r>
    </w:p>
    <w:p w14:paraId="1CA765D2" w14:textId="2A0F6502" w:rsidR="00062418" w:rsidRPr="00252B7D" w:rsidRDefault="006D1979" w:rsidP="00252B7D">
      <w:pPr>
        <w:pStyle w:val="Heading2"/>
        <w:keepNext w:val="0"/>
        <w:numPr>
          <w:ilvl w:val="1"/>
          <w:numId w:val="14"/>
        </w:numPr>
        <w:spacing w:before="240" w:after="60" w:line="360" w:lineRule="auto"/>
        <w:jc w:val="both"/>
        <w:rPr>
          <w:color w:val="auto"/>
          <w:sz w:val="20"/>
          <w:szCs w:val="20"/>
        </w:rPr>
      </w:pPr>
      <w:r w:rsidRPr="006D1979">
        <w:rPr>
          <w:color w:val="auto"/>
          <w:sz w:val="20"/>
          <w:szCs w:val="20"/>
        </w:rPr>
        <w:t xml:space="preserve">If Last Resort Supply Payment amounts are included this could significantly reduce the level of credit cover required and reduce costs for these </w:t>
      </w:r>
      <w:r w:rsidR="009E78BD">
        <w:rPr>
          <w:color w:val="auto"/>
          <w:sz w:val="20"/>
          <w:szCs w:val="20"/>
        </w:rPr>
        <w:t>Supplier</w:t>
      </w:r>
      <w:r w:rsidRPr="006D1979">
        <w:rPr>
          <w:color w:val="auto"/>
          <w:sz w:val="20"/>
          <w:szCs w:val="20"/>
        </w:rPr>
        <w:t>s which in a competitive market could flow through to consumers.</w:t>
      </w:r>
    </w:p>
    <w:p w14:paraId="6978B872" w14:textId="77777777" w:rsidR="008A3C81" w:rsidRDefault="008A3C81" w:rsidP="00E45140">
      <w:pPr>
        <w:pStyle w:val="Heading4"/>
      </w:pPr>
      <w:r w:rsidRPr="004C6117">
        <w:t>How</w:t>
      </w:r>
      <w:r w:rsidR="001E6639">
        <w:t>?</w:t>
      </w:r>
    </w:p>
    <w:p w14:paraId="5748CFF2" w14:textId="4A318803" w:rsidR="00062418" w:rsidRPr="004155E5" w:rsidRDefault="00D84E01" w:rsidP="00D84E01">
      <w:pPr>
        <w:pStyle w:val="ListParagraph"/>
        <w:numPr>
          <w:ilvl w:val="1"/>
          <w:numId w:val="14"/>
        </w:numPr>
        <w:spacing w:line="360" w:lineRule="auto"/>
        <w:jc w:val="both"/>
      </w:pPr>
      <w:r w:rsidRPr="00D84E01">
        <w:t xml:space="preserve">The proposed solution is to add a definition of a Valid Claim under the SoLR process, which is due to a </w:t>
      </w:r>
      <w:r w:rsidR="009E78BD">
        <w:t>Supplier</w:t>
      </w:r>
      <w:r w:rsidRPr="00D84E01">
        <w:t xml:space="preserve"> as scheduled Last Resort Supply Payments, to the DCUSA and to place an obligation on network companies to deduct any of these payments owing to a </w:t>
      </w:r>
      <w:r w:rsidR="009E78BD">
        <w:t>Supplier</w:t>
      </w:r>
      <w:r w:rsidRPr="00D84E01">
        <w:t xml:space="preserve"> from the calculation of Value at Risk.</w:t>
      </w:r>
    </w:p>
    <w:p w14:paraId="7F7AF739" w14:textId="5A43F1AA" w:rsidR="00E6212D" w:rsidRDefault="00E6212D" w:rsidP="00E45140">
      <w:pPr>
        <w:pStyle w:val="Heading03"/>
      </w:pPr>
      <w:bookmarkStart w:id="5" w:name="_Toc110371097"/>
      <w:r w:rsidRPr="00E45140">
        <w:t>Governance</w:t>
      </w:r>
      <w:bookmarkEnd w:id="4"/>
      <w:bookmarkEnd w:id="5"/>
    </w:p>
    <w:p w14:paraId="2B6B3F64" w14:textId="77777777" w:rsidR="00E45140" w:rsidRPr="00E45140" w:rsidRDefault="00E45140" w:rsidP="00E45140">
      <w:pPr>
        <w:pStyle w:val="Heading4"/>
        <w:rPr>
          <w:rStyle w:val="Emphasis"/>
          <w:b w:val="0"/>
          <w:sz w:val="22"/>
        </w:rPr>
      </w:pPr>
      <w:r w:rsidRPr="00E45140">
        <w:t>Justification for Part 1 Or Part 2 Matter</w:t>
      </w:r>
    </w:p>
    <w:p w14:paraId="34125216" w14:textId="504C6A74" w:rsidR="00062418" w:rsidRPr="00062418" w:rsidRDefault="00A05001" w:rsidP="00A05001">
      <w:pPr>
        <w:pStyle w:val="ListParagraph"/>
        <w:numPr>
          <w:ilvl w:val="1"/>
          <w:numId w:val="14"/>
        </w:numPr>
        <w:spacing w:line="360" w:lineRule="auto"/>
        <w:jc w:val="both"/>
      </w:pPr>
      <w:r w:rsidRPr="00A05001">
        <w:t>DCP 409 is classified as a Part 1 matter and therefore will go to the Authority for determination after the voting process has completed.</w:t>
      </w:r>
    </w:p>
    <w:p w14:paraId="3DE3E2F2" w14:textId="77777777" w:rsidR="00E6212D" w:rsidRDefault="00E6212D" w:rsidP="00E45140">
      <w:pPr>
        <w:pStyle w:val="Heading4"/>
      </w:pPr>
      <w:r>
        <w:t>Requested Next Steps</w:t>
      </w:r>
    </w:p>
    <w:p w14:paraId="6A86264B" w14:textId="3D4D93BD" w:rsidR="00504125" w:rsidRPr="00504125" w:rsidRDefault="00504125" w:rsidP="00A83C22">
      <w:pPr>
        <w:pStyle w:val="ListParagraph"/>
        <w:numPr>
          <w:ilvl w:val="1"/>
          <w:numId w:val="14"/>
        </w:numPr>
        <w:spacing w:line="360" w:lineRule="auto"/>
        <w:jc w:val="both"/>
      </w:pPr>
      <w:r w:rsidRPr="00504125">
        <w:t xml:space="preserve">The Panel </w:t>
      </w:r>
      <w:r w:rsidR="00062418">
        <w:t xml:space="preserve">is to consider if the </w:t>
      </w:r>
      <w:r w:rsidR="0078738F">
        <w:t>Working Group</w:t>
      </w:r>
      <w:r w:rsidR="00062418">
        <w:t xml:space="preserve"> have</w:t>
      </w:r>
      <w:r w:rsidRPr="00504125">
        <w:t xml:space="preserve"> carried out the level of analysis required to enable Parties to understand the impact of the proposed amendment and to vote on DCP </w:t>
      </w:r>
      <w:r w:rsidR="00A05001">
        <w:t>409</w:t>
      </w:r>
      <w:r w:rsidRPr="00504125">
        <w:t>.</w:t>
      </w:r>
    </w:p>
    <w:p w14:paraId="3777F6EB" w14:textId="77777777" w:rsidR="006D3676" w:rsidRPr="006D3676" w:rsidRDefault="006D3676" w:rsidP="00A83C22">
      <w:pPr>
        <w:pStyle w:val="ListParagraph"/>
        <w:numPr>
          <w:ilvl w:val="1"/>
          <w:numId w:val="14"/>
        </w:numPr>
        <w:spacing w:line="360" w:lineRule="auto"/>
        <w:jc w:val="both"/>
      </w:pPr>
      <w:r>
        <w:t>The</w:t>
      </w:r>
      <w:r w:rsidRPr="006D3676">
        <w:t xml:space="preserve"> DCUSA Panel recommends that this CP:</w:t>
      </w:r>
    </w:p>
    <w:p w14:paraId="10486FE3" w14:textId="77777777" w:rsidR="00E6212D" w:rsidRPr="00F20FAB" w:rsidRDefault="008667CC" w:rsidP="00CF023C">
      <w:pPr>
        <w:numPr>
          <w:ilvl w:val="0"/>
          <w:numId w:val="16"/>
        </w:numPr>
      </w:pPr>
      <w:r>
        <w:t>b</w:t>
      </w:r>
      <w:r w:rsidR="006D3676">
        <w:t xml:space="preserve">e issued to Parties for </w:t>
      </w:r>
      <w:r>
        <w:t>v</w:t>
      </w:r>
      <w:r w:rsidR="006D3676">
        <w:t>oting</w:t>
      </w:r>
    </w:p>
    <w:p w14:paraId="45F91B20" w14:textId="77777777" w:rsidR="004C6117" w:rsidRPr="00E45140" w:rsidRDefault="004C6117" w:rsidP="00E45140">
      <w:pPr>
        <w:pStyle w:val="Heading03"/>
      </w:pPr>
      <w:bookmarkStart w:id="6" w:name="_Toc318967196"/>
      <w:bookmarkStart w:id="7" w:name="_Toc110371098"/>
      <w:r w:rsidRPr="00E45140">
        <w:t>Why Change?</w:t>
      </w:r>
      <w:bookmarkEnd w:id="6"/>
      <w:bookmarkEnd w:id="7"/>
    </w:p>
    <w:p w14:paraId="29EF8DC0" w14:textId="661DC76E" w:rsidR="00034F8A" w:rsidRPr="00034F8A" w:rsidRDefault="005445B1" w:rsidP="00034F8A">
      <w:pPr>
        <w:pStyle w:val="Heading4"/>
      </w:pPr>
      <w:r w:rsidRPr="00845FD4">
        <w:t xml:space="preserve">Background of DCP </w:t>
      </w:r>
      <w:r w:rsidR="00A05001">
        <w:t>409</w:t>
      </w:r>
    </w:p>
    <w:p w14:paraId="0DAA697C" w14:textId="5E586865" w:rsidR="000A6E3A" w:rsidRPr="000A6E3A" w:rsidRDefault="00CA3763" w:rsidP="00A83C22">
      <w:pPr>
        <w:pStyle w:val="ListParagraph"/>
        <w:numPr>
          <w:ilvl w:val="1"/>
          <w:numId w:val="14"/>
        </w:numPr>
        <w:spacing w:line="360" w:lineRule="auto"/>
        <w:jc w:val="both"/>
      </w:pPr>
      <w:bookmarkStart w:id="8" w:name="_Toc318967198"/>
      <w:r w:rsidRPr="00CA3763">
        <w:t xml:space="preserve">The obligation on </w:t>
      </w:r>
      <w:r w:rsidR="009E78BD">
        <w:t>Supplier</w:t>
      </w:r>
      <w:r w:rsidRPr="00CA3763">
        <w:t xml:space="preserve">s to provide adequate credit cover is there to ultimately protect distributors, if a </w:t>
      </w:r>
      <w:r w:rsidR="009E78BD">
        <w:t>Supplier</w:t>
      </w:r>
      <w:r w:rsidRPr="00CA3763">
        <w:t xml:space="preserve"> defaulted the cost of their bad debts may be picked up by consumers. Following a supply business failure, any outstanding charges consented by the Authority are spread across all the other </w:t>
      </w:r>
      <w:r w:rsidR="009E78BD">
        <w:t>Supplier</w:t>
      </w:r>
      <w:r w:rsidRPr="00CA3763">
        <w:t xml:space="preserve">s, which may then be passed on to consumers through customer tariff charges. Consented claims </w:t>
      </w:r>
      <w:r w:rsidRPr="00CA3763">
        <w:lastRenderedPageBreak/>
        <w:t xml:space="preserve">for a </w:t>
      </w:r>
      <w:r w:rsidR="009E78BD">
        <w:t>Supplier</w:t>
      </w:r>
      <w:r w:rsidRPr="00CA3763">
        <w:t xml:space="preserve">s SoLR costs are notified to DNOs for inclusion and recovery through network charges. The DNOs make payments to </w:t>
      </w:r>
      <w:r w:rsidR="009E78BD">
        <w:t>Supplier</w:t>
      </w:r>
      <w:r w:rsidRPr="00CA3763">
        <w:t>s for notified amounts of their consented SoLR claims</w:t>
      </w:r>
      <w:r w:rsidR="00383DEB">
        <w:t>.</w:t>
      </w:r>
    </w:p>
    <w:p w14:paraId="5D9D661B" w14:textId="54055B4C" w:rsidR="000A6E3A" w:rsidRPr="000A6E3A" w:rsidRDefault="00CA3763" w:rsidP="00A83C22">
      <w:pPr>
        <w:pStyle w:val="ListParagraph"/>
        <w:numPr>
          <w:ilvl w:val="1"/>
          <w:numId w:val="14"/>
        </w:numPr>
        <w:spacing w:line="360" w:lineRule="auto"/>
        <w:jc w:val="both"/>
      </w:pPr>
      <w:r>
        <w:t xml:space="preserve">Currently when calculating the Value at Risk for </w:t>
      </w:r>
      <w:r w:rsidR="009E78BD">
        <w:t>Supplier</w:t>
      </w:r>
      <w:r>
        <w:t xml:space="preserve">s any payments which may be due to </w:t>
      </w:r>
      <w:r w:rsidR="009E78BD">
        <w:t>Supplier</w:t>
      </w:r>
      <w:r>
        <w:t xml:space="preserve">s in the coming months are not included in the calculation. This means </w:t>
      </w:r>
      <w:r w:rsidR="009E78BD">
        <w:t>Supplier</w:t>
      </w:r>
      <w:r>
        <w:t xml:space="preserve">s may be unable to reduce the collateral required based on the SoLR payments, which may cause them to incur higher costs than otherwise would be the case. This may impact consumers. In the event of a </w:t>
      </w:r>
      <w:r w:rsidR="009E78BD">
        <w:t>Supplier</w:t>
      </w:r>
      <w:r>
        <w:t xml:space="preserve"> failure, it is possible that any debts owing to the distributors could be netted off against any credits owed to the </w:t>
      </w:r>
      <w:r w:rsidR="009E78BD">
        <w:t>Supplier</w:t>
      </w:r>
      <w:r>
        <w:t xml:space="preserve"> in relation to Last Resort payments. This </w:t>
      </w:r>
      <w:r w:rsidR="00C82565">
        <w:t>C</w:t>
      </w:r>
      <w:r>
        <w:t xml:space="preserve">hange </w:t>
      </w:r>
      <w:r w:rsidR="00C82565">
        <w:t>P</w:t>
      </w:r>
      <w:r>
        <w:t xml:space="preserve">roposal therefore intends to </w:t>
      </w:r>
      <w:proofErr w:type="gramStart"/>
      <w:r>
        <w:t>take into account</w:t>
      </w:r>
      <w:proofErr w:type="gramEnd"/>
      <w:r>
        <w:t xml:space="preserve"> Last Resort </w:t>
      </w:r>
      <w:r w:rsidR="009E78BD">
        <w:t>Supplier</w:t>
      </w:r>
      <w:r>
        <w:t xml:space="preserve"> Payments when calculating </w:t>
      </w:r>
      <w:r w:rsidR="009E78BD">
        <w:t>Supplier</w:t>
      </w:r>
      <w:r>
        <w:t>s’ Value at Risk.</w:t>
      </w:r>
    </w:p>
    <w:p w14:paraId="7A62F7A7" w14:textId="61C5E8C6" w:rsidR="000A6E3A" w:rsidRPr="000A6E3A" w:rsidRDefault="00034F8A" w:rsidP="00A83C22">
      <w:pPr>
        <w:pStyle w:val="ListParagraph"/>
        <w:numPr>
          <w:ilvl w:val="1"/>
          <w:numId w:val="14"/>
        </w:numPr>
        <w:spacing w:line="360" w:lineRule="auto"/>
        <w:jc w:val="both"/>
      </w:pPr>
      <w:proofErr w:type="gramStart"/>
      <w:r w:rsidRPr="00034F8A">
        <w:t>With regard to</w:t>
      </w:r>
      <w:proofErr w:type="gramEnd"/>
      <w:r w:rsidRPr="00034F8A">
        <w:t xml:space="preserve"> the materiality of this issue, as a rule of thumb we estimate the costs of putting credit cover in place via Letters of Credit to be between 0.5% and 2% of the value of additional credit. Between September and November 2021 Ofgem approved £1.8 billion of claims from Gas and Electricity </w:t>
      </w:r>
      <w:r w:rsidR="009E78BD">
        <w:t>Supplier</w:t>
      </w:r>
      <w:r w:rsidRPr="00034F8A">
        <w:t xml:space="preserve">s who had taken on board customers from failed </w:t>
      </w:r>
      <w:r w:rsidR="009E78BD">
        <w:t>Supplier</w:t>
      </w:r>
      <w:r w:rsidRPr="00034F8A">
        <w:t xml:space="preserve">s through the SoLR process. This </w:t>
      </w:r>
      <w:r w:rsidR="00383DEB">
        <w:t>Change Proposal</w:t>
      </w:r>
      <w:r w:rsidR="00383DEB" w:rsidRPr="00034F8A">
        <w:t xml:space="preserve"> </w:t>
      </w:r>
      <w:r w:rsidRPr="00034F8A">
        <w:t>is only concerning Electricity customers.</w:t>
      </w:r>
    </w:p>
    <w:p w14:paraId="06FAAF99" w14:textId="060869CF" w:rsidR="001021F6" w:rsidRPr="00845FD4" w:rsidRDefault="001021F6" w:rsidP="001021F6">
      <w:pPr>
        <w:pStyle w:val="Heading03"/>
      </w:pPr>
      <w:bookmarkStart w:id="9" w:name="_Toc110371099"/>
      <w:bookmarkEnd w:id="8"/>
      <w:r w:rsidRPr="00845FD4">
        <w:t xml:space="preserve">DCP </w:t>
      </w:r>
      <w:r w:rsidR="00383DEB">
        <w:t>409</w:t>
      </w:r>
      <w:r w:rsidRPr="00845FD4">
        <w:t xml:space="preserve"> </w:t>
      </w:r>
      <w:r>
        <w:t xml:space="preserve">Working Group </w:t>
      </w:r>
      <w:r w:rsidRPr="00845FD4">
        <w:t>Assessment</w:t>
      </w:r>
      <w:bookmarkEnd w:id="9"/>
    </w:p>
    <w:p w14:paraId="7FECC599" w14:textId="2659E239" w:rsidR="00F4220D" w:rsidRDefault="00B63CBC" w:rsidP="005D4C81">
      <w:pPr>
        <w:pStyle w:val="ListParagraph"/>
        <w:numPr>
          <w:ilvl w:val="1"/>
          <w:numId w:val="14"/>
        </w:numPr>
        <w:spacing w:line="360" w:lineRule="auto"/>
        <w:jc w:val="both"/>
      </w:pPr>
      <w:r w:rsidRPr="00B63CBC">
        <w:t>The DCUSA Panel established a Working Group to assess DCP 409. Meetings were held in open session and the minutes and papers of each meeting are available on the DCUSA website – www.dcusa.co.uk.</w:t>
      </w:r>
    </w:p>
    <w:p w14:paraId="074D44DE" w14:textId="0A1F9D66" w:rsidR="00F4220D" w:rsidRPr="00F4220D" w:rsidRDefault="00B63CBC" w:rsidP="000C4FB8">
      <w:pPr>
        <w:pStyle w:val="ListParagraph"/>
        <w:numPr>
          <w:ilvl w:val="1"/>
          <w:numId w:val="14"/>
        </w:numPr>
        <w:spacing w:line="360" w:lineRule="auto"/>
        <w:jc w:val="both"/>
      </w:pPr>
      <w:r w:rsidRPr="00B63CBC">
        <w:t xml:space="preserve">The Proposer walked the Working Group through the </w:t>
      </w:r>
      <w:r w:rsidR="00C82565">
        <w:t>C</w:t>
      </w:r>
      <w:r w:rsidRPr="00B63CBC">
        <w:t xml:space="preserve">hange </w:t>
      </w:r>
      <w:r w:rsidR="00C82565">
        <w:t xml:space="preserve">Proposal </w:t>
      </w:r>
      <w:r w:rsidRPr="00B63CBC">
        <w:t>and noted th</w:t>
      </w:r>
      <w:r w:rsidR="00C82565">
        <w:t>at</w:t>
      </w:r>
      <w:r w:rsidRPr="00B63CBC">
        <w:t xml:space="preserve"> </w:t>
      </w:r>
      <w:r w:rsidR="00C82565">
        <w:t xml:space="preserve">if approved, the </w:t>
      </w:r>
      <w:r w:rsidRPr="00B63CBC">
        <w:t xml:space="preserve">potential benefit </w:t>
      </w:r>
      <w:r w:rsidR="00C82565">
        <w:t>of</w:t>
      </w:r>
      <w:r w:rsidRPr="00B63CBC">
        <w:t xml:space="preserve"> the change i</w:t>
      </w:r>
      <w:r w:rsidR="00C82565">
        <w:t>s</w:t>
      </w:r>
      <w:r w:rsidRPr="00B63CBC">
        <w:t xml:space="preserve"> that it could </w:t>
      </w:r>
      <w:r w:rsidR="00C82565">
        <w:t xml:space="preserve">result in </w:t>
      </w:r>
      <w:r w:rsidRPr="00B63CBC">
        <w:t>releas</w:t>
      </w:r>
      <w:r w:rsidR="00C82565">
        <w:t>ing</w:t>
      </w:r>
      <w:r w:rsidRPr="00B63CBC">
        <w:t xml:space="preserve"> funds which could reduce customers’ bills</w:t>
      </w:r>
      <w:r w:rsidR="0056694C">
        <w:t>.</w:t>
      </w:r>
    </w:p>
    <w:p w14:paraId="52DD1D7E" w14:textId="07F6AF8C" w:rsidR="00F4220D" w:rsidRPr="00F4220D" w:rsidRDefault="00B63CBC" w:rsidP="000C4FB8">
      <w:pPr>
        <w:pStyle w:val="ListParagraph"/>
        <w:numPr>
          <w:ilvl w:val="1"/>
          <w:numId w:val="14"/>
        </w:numPr>
        <w:spacing w:line="360" w:lineRule="auto"/>
        <w:jc w:val="both"/>
      </w:pPr>
      <w:r w:rsidRPr="00B63CBC">
        <w:t xml:space="preserve">It was noted that there were only a few </w:t>
      </w:r>
      <w:r w:rsidR="009E78BD">
        <w:t>Supplier</w:t>
      </w:r>
      <w:r w:rsidRPr="00B63CBC">
        <w:t xml:space="preserve">s actively engaged in the SoLR process so the change may only have a positive impact on a handful of </w:t>
      </w:r>
      <w:r w:rsidR="009E78BD">
        <w:t>Supplier</w:t>
      </w:r>
      <w:r w:rsidRPr="00B63CBC">
        <w:t xml:space="preserve">s. A challenge to this was raised that as the </w:t>
      </w:r>
      <w:r w:rsidR="00C82565">
        <w:t>C</w:t>
      </w:r>
      <w:r w:rsidRPr="00B63CBC">
        <w:t xml:space="preserve">hange </w:t>
      </w:r>
      <w:r w:rsidR="00C82565">
        <w:t>P</w:t>
      </w:r>
      <w:r w:rsidRPr="00B63CBC">
        <w:t xml:space="preserve">roposal is suggesting a better process for </w:t>
      </w:r>
      <w:r w:rsidR="009E78BD">
        <w:t>Supplier</w:t>
      </w:r>
      <w:r w:rsidRPr="00B63CBC">
        <w:t xml:space="preserve">s, this could encourage more </w:t>
      </w:r>
      <w:r w:rsidR="009E78BD">
        <w:t>Supplier</w:t>
      </w:r>
      <w:r w:rsidRPr="00B63CBC">
        <w:t>s to engage in the SoLR process leading to more competition and potentially better customer outcomes. The Working Group agreed</w:t>
      </w:r>
      <w:r w:rsidR="009E78BD">
        <w:t xml:space="preserve"> that</w:t>
      </w:r>
      <w:r w:rsidRPr="00B63CBC">
        <w:t xml:space="preserve"> a consultation question would be </w:t>
      </w:r>
      <w:r w:rsidR="009E78BD">
        <w:t xml:space="preserve">beneficial </w:t>
      </w:r>
      <w:r w:rsidRPr="00B63CBC">
        <w:t xml:space="preserve">to see if this change would lead to </w:t>
      </w:r>
      <w:r w:rsidR="009E78BD">
        <w:t>Supplier</w:t>
      </w:r>
      <w:r w:rsidRPr="00B63CBC">
        <w:t>s becoming more engaged in the SoLR process.</w:t>
      </w:r>
    </w:p>
    <w:p w14:paraId="2E8FFF84" w14:textId="67154D7C" w:rsidR="00F4220D" w:rsidRPr="004155E5" w:rsidRDefault="00B63CBC" w:rsidP="008B55D7">
      <w:pPr>
        <w:pStyle w:val="ListParagraph"/>
        <w:numPr>
          <w:ilvl w:val="1"/>
          <w:numId w:val="14"/>
        </w:numPr>
        <w:spacing w:line="360" w:lineRule="auto"/>
        <w:jc w:val="both"/>
      </w:pPr>
      <w:r>
        <w:t xml:space="preserve">It was noted that SoLR payments are made piecemeal, </w:t>
      </w:r>
      <w:r w:rsidR="009E78BD">
        <w:t xml:space="preserve">and the Working Group questioned </w:t>
      </w:r>
      <w:r>
        <w:t xml:space="preserve">how these payments </w:t>
      </w:r>
      <w:r w:rsidR="009E78BD">
        <w:t xml:space="preserve">would </w:t>
      </w:r>
      <w:r>
        <w:t xml:space="preserve">be taken into consideration when calculating the </w:t>
      </w:r>
      <w:r w:rsidR="009E78BD">
        <w:t>V</w:t>
      </w:r>
      <w:r>
        <w:t xml:space="preserve">alue </w:t>
      </w:r>
      <w:proofErr w:type="gramStart"/>
      <w:r w:rsidR="009E78BD">
        <w:t>A</w:t>
      </w:r>
      <w:r>
        <w:t>t</w:t>
      </w:r>
      <w:proofErr w:type="gramEnd"/>
      <w:r>
        <w:t xml:space="preserve"> </w:t>
      </w:r>
      <w:r w:rsidR="009E78BD">
        <w:t>R</w:t>
      </w:r>
      <w:r>
        <w:t>isk</w:t>
      </w:r>
      <w:r w:rsidR="009E78BD">
        <w:t>.</w:t>
      </w:r>
      <w:r>
        <w:t xml:space="preserve"> Two options were discussed, full future value</w:t>
      </w:r>
      <w:r w:rsidR="009E78BD">
        <w:t xml:space="preserve"> </w:t>
      </w:r>
      <w:r>
        <w:t>or monthly value. The Working Group didn’t have a consensus as to how the SoLR payment be taken so it was agreed a consultation question would be raised to see if industry had a preference</w:t>
      </w:r>
      <w:r w:rsidR="00F4220D">
        <w:t>.</w:t>
      </w:r>
      <w:r w:rsidR="00F4220D" w:rsidRPr="004155E5">
        <w:t xml:space="preserve"> </w:t>
      </w:r>
    </w:p>
    <w:p w14:paraId="458E0315" w14:textId="72E6B873" w:rsidR="00986DFB" w:rsidRPr="004155E5" w:rsidRDefault="00986DFB" w:rsidP="00986DFB">
      <w:pPr>
        <w:pStyle w:val="ListParagraph"/>
        <w:numPr>
          <w:ilvl w:val="1"/>
          <w:numId w:val="14"/>
        </w:numPr>
        <w:spacing w:line="360" w:lineRule="auto"/>
        <w:jc w:val="both"/>
        <w:rPr>
          <w:rFonts w:cs="Arial"/>
          <w:i/>
          <w:iCs/>
          <w:szCs w:val="20"/>
        </w:rPr>
      </w:pPr>
      <w:r>
        <w:t xml:space="preserve">It was queried if there were any other DCUSA changes, past or current, that this change could impact. The consensus was that there were not any DCUSA changes that would be impacted </w:t>
      </w:r>
      <w:proofErr w:type="gramStart"/>
      <w:r>
        <w:t>as a result of</w:t>
      </w:r>
      <w:proofErr w:type="gramEnd"/>
      <w:r>
        <w:t xml:space="preserve"> this </w:t>
      </w:r>
      <w:r w:rsidR="009E78BD">
        <w:t>change</w:t>
      </w:r>
      <w:r>
        <w:t xml:space="preserve"> being accepted but a consultation question should be raised to confirm this.</w:t>
      </w:r>
    </w:p>
    <w:p w14:paraId="3E0CF31F" w14:textId="783D56C3" w:rsidR="00F4220D" w:rsidRPr="00F4220D" w:rsidRDefault="00986DFB" w:rsidP="005D4C81">
      <w:pPr>
        <w:pStyle w:val="ListParagraph"/>
        <w:numPr>
          <w:ilvl w:val="1"/>
          <w:numId w:val="14"/>
        </w:numPr>
        <w:spacing w:line="360" w:lineRule="auto"/>
        <w:jc w:val="both"/>
      </w:pPr>
      <w:r>
        <w:t xml:space="preserve">The Working Group also agreed it would be useful to know the proportion of </w:t>
      </w:r>
      <w:r w:rsidR="009E78BD">
        <w:t>Supplier</w:t>
      </w:r>
      <w:r>
        <w:t>s who are required to provide collateral under the current credit process and what that type of collateral was. A consultation question to Distributors only was agreed to find out these figures</w:t>
      </w:r>
      <w:r w:rsidR="00F4220D" w:rsidRPr="00F4220D">
        <w:t>.</w:t>
      </w:r>
    </w:p>
    <w:p w14:paraId="11D7B70C" w14:textId="39D825CC" w:rsidR="00F4220D" w:rsidRPr="00F4220D" w:rsidRDefault="00986DFB" w:rsidP="005D4C81">
      <w:pPr>
        <w:pStyle w:val="ListParagraph"/>
        <w:numPr>
          <w:ilvl w:val="1"/>
          <w:numId w:val="14"/>
        </w:numPr>
        <w:spacing w:line="360" w:lineRule="auto"/>
        <w:jc w:val="both"/>
      </w:pPr>
      <w:r>
        <w:t>It was also queried, if the change w</w:t>
      </w:r>
      <w:r w:rsidR="00DA7E9E">
        <w:t xml:space="preserve">ere to be </w:t>
      </w:r>
      <w:r>
        <w:t>approved</w:t>
      </w:r>
      <w:r w:rsidR="00DA7E9E">
        <w:t>,</w:t>
      </w:r>
      <w:r>
        <w:t xml:space="preserve"> </w:t>
      </w:r>
      <w:r w:rsidR="00DA7E9E">
        <w:t>whether</w:t>
      </w:r>
      <w:r>
        <w:t xml:space="preserve"> the SoLR payment </w:t>
      </w:r>
      <w:r w:rsidR="00DA7E9E">
        <w:t xml:space="preserve">should </w:t>
      </w:r>
      <w:r>
        <w:t xml:space="preserve">be treated as collateral or </w:t>
      </w:r>
      <w:r w:rsidR="00DA7E9E">
        <w:t xml:space="preserve">whether it </w:t>
      </w:r>
      <w:r>
        <w:t>should reduce the value at risk</w:t>
      </w:r>
      <w:r w:rsidR="00DA7E9E">
        <w:t xml:space="preserve">. </w:t>
      </w:r>
    </w:p>
    <w:p w14:paraId="2598BDF0" w14:textId="364138E5" w:rsidR="00986DFB" w:rsidRPr="00986DFB" w:rsidRDefault="00986DFB" w:rsidP="007F03BE">
      <w:pPr>
        <w:pStyle w:val="ListParagraph"/>
        <w:numPr>
          <w:ilvl w:val="1"/>
          <w:numId w:val="14"/>
        </w:numPr>
        <w:spacing w:line="360" w:lineRule="auto"/>
        <w:jc w:val="both"/>
        <w:rPr>
          <w:rFonts w:cs="Arial"/>
          <w:b/>
          <w:bCs/>
          <w:i/>
          <w:iCs/>
          <w:szCs w:val="20"/>
        </w:rPr>
      </w:pPr>
      <w:r w:rsidRPr="00986DFB">
        <w:lastRenderedPageBreak/>
        <w:t xml:space="preserve">The proposer has suggested that in the event of a </w:t>
      </w:r>
      <w:r w:rsidR="009E78BD">
        <w:t>Supplier</w:t>
      </w:r>
      <w:r w:rsidRPr="00986DFB">
        <w:t xml:space="preserve"> failure, under the insolvency rules and energy supply company administration rules, there would be some set </w:t>
      </w:r>
      <w:proofErr w:type="gramStart"/>
      <w:r w:rsidRPr="00986DFB">
        <w:t>off of</w:t>
      </w:r>
      <w:proofErr w:type="gramEnd"/>
      <w:r w:rsidRPr="00986DFB">
        <w:t xml:space="preserve"> claims and that this supports the credit cover change. </w:t>
      </w:r>
      <w:r w:rsidR="00DA7E9E">
        <w:t>Further</w:t>
      </w:r>
      <w:r w:rsidRPr="00986DFB">
        <w:t xml:space="preserve"> information on these rules can be found using the below links or in </w:t>
      </w:r>
      <w:commentRangeStart w:id="10"/>
      <w:r w:rsidRPr="00986DFB">
        <w:t>Appendix</w:t>
      </w:r>
      <w:r w:rsidR="00DA7E9E">
        <w:t xml:space="preserve"> </w:t>
      </w:r>
      <w:r w:rsidRPr="00986DFB">
        <w:t>4</w:t>
      </w:r>
      <w:commentRangeEnd w:id="10"/>
      <w:r w:rsidR="00DA7E9E">
        <w:rPr>
          <w:rStyle w:val="CommentReference"/>
        </w:rPr>
        <w:commentReference w:id="10"/>
      </w:r>
      <w:r w:rsidR="00DA7E9E">
        <w:t xml:space="preserve">. </w:t>
      </w:r>
    </w:p>
    <w:p w14:paraId="1B623147" w14:textId="13E7F92B" w:rsidR="00986DFB" w:rsidRPr="00986DFB" w:rsidRDefault="00986DFB" w:rsidP="00986DFB">
      <w:pPr>
        <w:pStyle w:val="ListParagraph"/>
        <w:numPr>
          <w:ilvl w:val="0"/>
          <w:numId w:val="35"/>
        </w:numPr>
        <w:spacing w:line="360" w:lineRule="auto"/>
        <w:jc w:val="both"/>
        <w:rPr>
          <w:rFonts w:cs="Arial"/>
          <w:b/>
          <w:bCs/>
          <w:i/>
          <w:iCs/>
          <w:szCs w:val="20"/>
        </w:rPr>
      </w:pPr>
      <w:r>
        <w:t>Rule 14.25 “Winding up: mutual dealings and set off” of the Insolvency (England and Wales) Rules 2016 – Rule 14.25</w:t>
      </w:r>
    </w:p>
    <w:p w14:paraId="04F07384" w14:textId="29691B57" w:rsidR="00792539" w:rsidRDefault="00284F86" w:rsidP="00792539">
      <w:pPr>
        <w:pStyle w:val="ListParagraph"/>
        <w:spacing w:line="360" w:lineRule="auto"/>
        <w:ind w:left="1296"/>
        <w:jc w:val="both"/>
        <w:rPr>
          <w:rFonts w:cs="Arial"/>
          <w:szCs w:val="20"/>
        </w:rPr>
      </w:pPr>
      <w:hyperlink r:id="rId19" w:history="1">
        <w:r w:rsidR="00792539">
          <w:rPr>
            <w:rStyle w:val="Hyperlink"/>
            <w:rFonts w:cs="Arial"/>
            <w:szCs w:val="20"/>
          </w:rPr>
          <w:t>The Insolvency (England and Wales) Rules 2016 (Legislation.gov.uk)</w:t>
        </w:r>
      </w:hyperlink>
    </w:p>
    <w:p w14:paraId="384FFAA1" w14:textId="086938E6" w:rsidR="00792539" w:rsidRPr="00792539" w:rsidRDefault="00792539" w:rsidP="00792539">
      <w:pPr>
        <w:pStyle w:val="ListParagraph"/>
        <w:numPr>
          <w:ilvl w:val="0"/>
          <w:numId w:val="35"/>
        </w:numPr>
        <w:spacing w:line="360" w:lineRule="auto"/>
        <w:jc w:val="both"/>
        <w:rPr>
          <w:rFonts w:cs="Arial"/>
          <w:szCs w:val="20"/>
        </w:rPr>
      </w:pPr>
      <w:r>
        <w:t>Rule 54 “Mutual credits and set off” of the Energy Supply Company Administration Rules 2013</w:t>
      </w:r>
    </w:p>
    <w:p w14:paraId="53CA533C" w14:textId="54DC930A" w:rsidR="00986DFB" w:rsidRDefault="00284F86" w:rsidP="00792539">
      <w:pPr>
        <w:pStyle w:val="ListParagraph"/>
        <w:spacing w:line="360" w:lineRule="auto"/>
        <w:ind w:left="1296"/>
        <w:jc w:val="both"/>
        <w:rPr>
          <w:rFonts w:cs="Arial"/>
          <w:szCs w:val="20"/>
        </w:rPr>
      </w:pPr>
      <w:hyperlink r:id="rId20" w:history="1">
        <w:r w:rsidR="008A51AD">
          <w:rPr>
            <w:rStyle w:val="Hyperlink"/>
            <w:rFonts w:cs="Arial"/>
            <w:szCs w:val="20"/>
          </w:rPr>
          <w:t xml:space="preserve"> Energy Supply Company Administration Rules 2013 (Legislation.gov.uk)</w:t>
        </w:r>
      </w:hyperlink>
    </w:p>
    <w:p w14:paraId="4964FDDB" w14:textId="24BD5879" w:rsidR="008A51AD" w:rsidRDefault="008A51AD" w:rsidP="008A51AD">
      <w:pPr>
        <w:pStyle w:val="ListParagraph"/>
        <w:numPr>
          <w:ilvl w:val="1"/>
          <w:numId w:val="14"/>
        </w:numPr>
        <w:spacing w:line="360" w:lineRule="auto"/>
        <w:jc w:val="both"/>
        <w:rPr>
          <w:rFonts w:cs="Arial"/>
          <w:szCs w:val="20"/>
        </w:rPr>
      </w:pPr>
      <w:r w:rsidRPr="008A51AD">
        <w:rPr>
          <w:rFonts w:cs="Arial"/>
          <w:szCs w:val="20"/>
        </w:rPr>
        <w:t xml:space="preserve">It was also noted that the </w:t>
      </w:r>
      <w:r w:rsidR="00DA7E9E">
        <w:rPr>
          <w:rFonts w:cs="Arial"/>
          <w:szCs w:val="20"/>
        </w:rPr>
        <w:t>c</w:t>
      </w:r>
      <w:r w:rsidRPr="008A51AD">
        <w:rPr>
          <w:rFonts w:cs="Arial"/>
          <w:szCs w:val="20"/>
        </w:rPr>
        <w:t xml:space="preserve">onsultation would need to take comments on whether the change would be </w:t>
      </w:r>
      <w:r w:rsidR="0054675B">
        <w:rPr>
          <w:rFonts w:cs="Arial"/>
          <w:szCs w:val="20"/>
        </w:rPr>
        <w:t>universally</w:t>
      </w:r>
      <w:r w:rsidR="0054675B" w:rsidRPr="008A51AD">
        <w:rPr>
          <w:rFonts w:cs="Arial"/>
          <w:szCs w:val="20"/>
        </w:rPr>
        <w:t xml:space="preserve"> </w:t>
      </w:r>
      <w:r w:rsidRPr="008A51AD">
        <w:rPr>
          <w:rFonts w:cs="Arial"/>
          <w:szCs w:val="20"/>
        </w:rPr>
        <w:t xml:space="preserve">applied or only applied to new approved SoLR claims. The Working Group noted that the changes would need to be in for November if </w:t>
      </w:r>
      <w:r w:rsidR="009E78BD">
        <w:rPr>
          <w:rFonts w:cs="Arial"/>
          <w:szCs w:val="20"/>
        </w:rPr>
        <w:t>Supplier</w:t>
      </w:r>
      <w:r w:rsidRPr="008A51AD">
        <w:rPr>
          <w:rFonts w:cs="Arial"/>
          <w:szCs w:val="20"/>
        </w:rPr>
        <w:t>s wished to use this when calculating for their winter cover provisions.</w:t>
      </w:r>
    </w:p>
    <w:p w14:paraId="538261D1" w14:textId="00A2DF91" w:rsidR="00397BC7" w:rsidRPr="00DA7E9E" w:rsidRDefault="008A51AD" w:rsidP="00DA7E9E">
      <w:pPr>
        <w:pStyle w:val="ListParagraph"/>
        <w:numPr>
          <w:ilvl w:val="1"/>
          <w:numId w:val="14"/>
        </w:numPr>
        <w:spacing w:line="360" w:lineRule="auto"/>
        <w:jc w:val="both"/>
        <w:rPr>
          <w:rFonts w:cs="Arial"/>
          <w:szCs w:val="20"/>
        </w:rPr>
      </w:pPr>
      <w:r>
        <w:t xml:space="preserve">The </w:t>
      </w:r>
      <w:r w:rsidR="00DA7E9E">
        <w:t xml:space="preserve">full </w:t>
      </w:r>
      <w:r>
        <w:t xml:space="preserve">consultation questions and </w:t>
      </w:r>
      <w:r w:rsidR="00DA7E9E">
        <w:t>responses</w:t>
      </w:r>
      <w:r>
        <w:t xml:space="preserve"> can </w:t>
      </w:r>
      <w:r w:rsidR="0054675B">
        <w:t xml:space="preserve">be </w:t>
      </w:r>
      <w:r>
        <w:t>found within section 5 of this Change Report</w:t>
      </w:r>
      <w:r w:rsidR="00DA7E9E">
        <w:t xml:space="preserve">. </w:t>
      </w:r>
    </w:p>
    <w:p w14:paraId="4DE0D4E6" w14:textId="519FFEE1" w:rsidR="00096C4E" w:rsidRPr="00845FD4" w:rsidRDefault="006D3676" w:rsidP="001021F6">
      <w:pPr>
        <w:pStyle w:val="Heading03"/>
      </w:pPr>
      <w:bookmarkStart w:id="11" w:name="_Toc110371100"/>
      <w:r w:rsidRPr="00845FD4">
        <w:t xml:space="preserve">DCP </w:t>
      </w:r>
      <w:r w:rsidR="00CD282F">
        <w:t>409</w:t>
      </w:r>
      <w:r w:rsidRPr="00845FD4">
        <w:t xml:space="preserve"> </w:t>
      </w:r>
      <w:r w:rsidR="00FF0C32" w:rsidRPr="00845FD4">
        <w:t>Consultation</w:t>
      </w:r>
      <w:bookmarkEnd w:id="11"/>
    </w:p>
    <w:p w14:paraId="45546055" w14:textId="3CF214A3" w:rsidR="00FF0C32" w:rsidRPr="00845FD4" w:rsidRDefault="00FF0C32" w:rsidP="00CD6C60">
      <w:pPr>
        <w:pStyle w:val="ListParagraph"/>
        <w:numPr>
          <w:ilvl w:val="1"/>
          <w:numId w:val="14"/>
        </w:numPr>
        <w:spacing w:line="360" w:lineRule="auto"/>
        <w:jc w:val="both"/>
      </w:pPr>
      <w:r w:rsidRPr="00845FD4">
        <w:t xml:space="preserve">The DCP </w:t>
      </w:r>
      <w:r w:rsidR="00CD282F">
        <w:t>409</w:t>
      </w:r>
      <w:r w:rsidRPr="00845FD4">
        <w:t xml:space="preserve"> consultation was issued on </w:t>
      </w:r>
      <w:r w:rsidR="004C262E">
        <w:t>2</w:t>
      </w:r>
      <w:r w:rsidR="00291632">
        <w:t>0</w:t>
      </w:r>
      <w:r w:rsidR="004C262E">
        <w:t xml:space="preserve"> </w:t>
      </w:r>
      <w:r w:rsidR="00291632">
        <w:t>July</w:t>
      </w:r>
      <w:r w:rsidR="004C262E">
        <w:t xml:space="preserve"> 2022</w:t>
      </w:r>
      <w:r w:rsidRPr="00845FD4">
        <w:t xml:space="preserve"> and there </w:t>
      </w:r>
      <w:r w:rsidR="000B265D" w:rsidRPr="00845FD4">
        <w:t>was</w:t>
      </w:r>
      <w:r w:rsidRPr="00845FD4">
        <w:t xml:space="preserve"> </w:t>
      </w:r>
      <w:r w:rsidR="00B47B3F">
        <w:t xml:space="preserve">a total of </w:t>
      </w:r>
      <w:r w:rsidR="005B3B26">
        <w:t>six</w:t>
      </w:r>
      <w:r w:rsidR="005B3B26" w:rsidRPr="00845FD4">
        <w:t xml:space="preserve"> </w:t>
      </w:r>
      <w:r w:rsidRPr="00845FD4">
        <w:t>responses received.</w:t>
      </w:r>
    </w:p>
    <w:p w14:paraId="5100827B" w14:textId="61F78890" w:rsidR="00FF0C32" w:rsidRPr="00845FD4" w:rsidRDefault="00B47B3F" w:rsidP="00CD6C60">
      <w:pPr>
        <w:pStyle w:val="ListParagraph"/>
        <w:numPr>
          <w:ilvl w:val="1"/>
          <w:numId w:val="14"/>
        </w:numPr>
        <w:spacing w:line="360" w:lineRule="auto"/>
        <w:jc w:val="both"/>
      </w:pPr>
      <w:r w:rsidRPr="00B47B3F">
        <w:t xml:space="preserve">Set out below are the questions that the Working Group sought views on, and a </w:t>
      </w:r>
      <w:r w:rsidR="00FF0C32" w:rsidRPr="00845FD4">
        <w:t>summary of the responses received</w:t>
      </w:r>
      <w:r w:rsidR="00CF4CA5">
        <w:t xml:space="preserve"> with </w:t>
      </w:r>
      <w:r w:rsidR="00FF0C32" w:rsidRPr="00845FD4">
        <w:t xml:space="preserve">the </w:t>
      </w:r>
      <w:r w:rsidR="0078738F" w:rsidRPr="00284F86">
        <w:t>Working Group</w:t>
      </w:r>
      <w:r w:rsidR="00FF0C32" w:rsidRPr="00284F86">
        <w:t>’s conclusions.</w:t>
      </w:r>
      <w:r w:rsidR="004C262E" w:rsidRPr="00284F86">
        <w:t xml:space="preserve"> </w:t>
      </w:r>
      <w:r w:rsidR="00FF0C32" w:rsidRPr="00284F86">
        <w:t xml:space="preserve">The full set of responses and the </w:t>
      </w:r>
      <w:r w:rsidR="0078738F" w:rsidRPr="00284F86">
        <w:t>Working Group</w:t>
      </w:r>
      <w:r w:rsidR="00FF0C32" w:rsidRPr="00284F86">
        <w:t>’s comments are provided in Attachment</w:t>
      </w:r>
      <w:r w:rsidR="005445B1" w:rsidRPr="00284F86">
        <w:t xml:space="preserve"> </w:t>
      </w:r>
      <w:r w:rsidR="00284F86" w:rsidRPr="00284F86">
        <w:t>3</w:t>
      </w:r>
      <w:r w:rsidR="00FF0C32" w:rsidRPr="00284F86">
        <w:t>.</w:t>
      </w:r>
    </w:p>
    <w:p w14:paraId="1B9A8E37" w14:textId="605F6EAD" w:rsidR="00845FD4" w:rsidRPr="00845FD4" w:rsidRDefault="00845FD4" w:rsidP="009456EB">
      <w:pPr>
        <w:pStyle w:val="Question"/>
      </w:pPr>
      <w:r w:rsidRPr="00845FD4">
        <w:t>Question 1 -</w:t>
      </w:r>
      <w:r w:rsidR="00B41A9B">
        <w:t xml:space="preserve"> </w:t>
      </w:r>
      <w:r w:rsidR="00B41A9B" w:rsidRPr="00B41A9B">
        <w:t>Do you understand the intent of DCP 409?</w:t>
      </w:r>
    </w:p>
    <w:p w14:paraId="5A016ECC" w14:textId="1BF932D6" w:rsidR="00397BC7" w:rsidRPr="00397BC7" w:rsidRDefault="00664485" w:rsidP="00397BC7">
      <w:pPr>
        <w:pStyle w:val="ListParagraph"/>
        <w:numPr>
          <w:ilvl w:val="1"/>
          <w:numId w:val="14"/>
        </w:numPr>
        <w:spacing w:line="360" w:lineRule="auto"/>
        <w:jc w:val="both"/>
      </w:pPr>
      <w:bookmarkStart w:id="12" w:name="_Hlk103765735"/>
      <w:r>
        <w:t>All respondents understood the intent</w:t>
      </w:r>
      <w:r w:rsidR="00B41A9B">
        <w:t xml:space="preserve"> with no additional comments made</w:t>
      </w:r>
      <w:r>
        <w:t>.</w:t>
      </w:r>
      <w:bookmarkEnd w:id="12"/>
    </w:p>
    <w:p w14:paraId="47647D07" w14:textId="5C3A77E9" w:rsidR="00FF0C32" w:rsidRPr="00FF0C32" w:rsidRDefault="00FF0C32" w:rsidP="009456EB">
      <w:pPr>
        <w:pStyle w:val="Question"/>
      </w:pPr>
      <w:r w:rsidRPr="00FF0C32">
        <w:t xml:space="preserve">Question 2 – </w:t>
      </w:r>
      <w:r w:rsidR="00B41A9B" w:rsidRPr="00B41A9B">
        <w:t>Are you supportive of the principles of the CP?</w:t>
      </w:r>
    </w:p>
    <w:p w14:paraId="7D758E0B" w14:textId="13410AA2" w:rsidR="00B41A9B" w:rsidRDefault="00B41A9B" w:rsidP="0083599D">
      <w:pPr>
        <w:pStyle w:val="ListParagraph"/>
        <w:numPr>
          <w:ilvl w:val="1"/>
          <w:numId w:val="14"/>
        </w:numPr>
        <w:spacing w:line="360" w:lineRule="auto"/>
        <w:jc w:val="both"/>
      </w:pPr>
      <w:r w:rsidRPr="00B41A9B">
        <w:rPr>
          <w:bCs/>
        </w:rPr>
        <w:t>The responses to this question were mixed with 50% in support and 50% not. Concerns were expressed with SoLR payments not being contracted within DCUSA. It was noted that without th</w:t>
      </w:r>
      <w:r>
        <w:rPr>
          <w:bCs/>
        </w:rPr>
        <w:t>is</w:t>
      </w:r>
      <w:r w:rsidRPr="00B41A9B">
        <w:rPr>
          <w:bCs/>
        </w:rPr>
        <w:t xml:space="preserve"> change there will be no potential savings to the </w:t>
      </w:r>
      <w:r w:rsidR="009E78BD">
        <w:rPr>
          <w:bCs/>
        </w:rPr>
        <w:t>Supplier</w:t>
      </w:r>
      <w:r>
        <w:rPr>
          <w:bCs/>
        </w:rPr>
        <w:t>.</w:t>
      </w:r>
    </w:p>
    <w:p w14:paraId="2248BBAA" w14:textId="10500F13" w:rsidR="004C262E" w:rsidRPr="00845FD4" w:rsidRDefault="004C262E" w:rsidP="004C262E">
      <w:pPr>
        <w:pStyle w:val="Question"/>
      </w:pPr>
      <w:r w:rsidRPr="00845FD4">
        <w:t xml:space="preserve">Question </w:t>
      </w:r>
      <w:r>
        <w:t>3</w:t>
      </w:r>
      <w:r w:rsidRPr="00845FD4">
        <w:t xml:space="preserve"> -</w:t>
      </w:r>
      <w:r w:rsidR="00B41A9B">
        <w:t xml:space="preserve"> </w:t>
      </w:r>
      <w:r w:rsidR="009E78BD">
        <w:rPr>
          <w:i/>
          <w:iCs/>
          <w:u w:val="single"/>
        </w:rPr>
        <w:t>Supplier</w:t>
      </w:r>
      <w:r w:rsidR="00180C4A" w:rsidRPr="00180C4A">
        <w:rPr>
          <w:i/>
          <w:iCs/>
          <w:u w:val="single"/>
        </w:rPr>
        <w:t>s Only</w:t>
      </w:r>
      <w:r w:rsidR="00180C4A" w:rsidRPr="00180C4A">
        <w:t xml:space="preserve"> - If this change were approved, would it alter your participation in the SoLR process? Please provide your rationale</w:t>
      </w:r>
    </w:p>
    <w:p w14:paraId="5B541C75" w14:textId="7EAD197F" w:rsidR="004C262E" w:rsidRPr="00002699" w:rsidRDefault="00180C4A" w:rsidP="00CD6C60">
      <w:pPr>
        <w:pStyle w:val="ListParagraph"/>
        <w:numPr>
          <w:ilvl w:val="1"/>
          <w:numId w:val="14"/>
        </w:numPr>
        <w:spacing w:line="360" w:lineRule="auto"/>
        <w:jc w:val="both"/>
      </w:pPr>
      <w:r w:rsidRPr="00180C4A">
        <w:t>The Working Group acknowledge</w:t>
      </w:r>
      <w:r>
        <w:t>d</w:t>
      </w:r>
      <w:r w:rsidRPr="00180C4A">
        <w:t xml:space="preserve"> this could have a positive benefit on the overall costs associated with being a SoLR.</w:t>
      </w:r>
    </w:p>
    <w:p w14:paraId="44D49B15" w14:textId="7FC68553" w:rsidR="004C262E" w:rsidRPr="00FF0C32" w:rsidRDefault="004C262E" w:rsidP="004C262E">
      <w:pPr>
        <w:pStyle w:val="Question"/>
      </w:pPr>
      <w:r w:rsidRPr="00FF0C32">
        <w:lastRenderedPageBreak/>
        <w:t xml:space="preserve">Question </w:t>
      </w:r>
      <w:r>
        <w:t>4</w:t>
      </w:r>
      <w:r w:rsidRPr="00FF0C32">
        <w:t xml:space="preserve"> –</w:t>
      </w:r>
      <w:r w:rsidR="009D1067">
        <w:t xml:space="preserve"> </w:t>
      </w:r>
      <w:r w:rsidR="009D1067" w:rsidRPr="009D1067">
        <w:t xml:space="preserve">If the SoLR payment came to be taken, what value should be allowed to be offset? </w:t>
      </w:r>
      <w:proofErr w:type="gramStart"/>
      <w:r w:rsidR="009D1067" w:rsidRPr="009D1067">
        <w:t>e.g.</w:t>
      </w:r>
      <w:proofErr w:type="gramEnd"/>
      <w:r w:rsidR="009D1067" w:rsidRPr="009D1067">
        <w:t xml:space="preserve"> the full balance due to the user, the monthly balance due to the user or another value. Please provide your rationale</w:t>
      </w:r>
      <w:r w:rsidR="009D1067" w:rsidRPr="009D1067">
        <w:t>.</w:t>
      </w:r>
    </w:p>
    <w:p w14:paraId="2B4E41A8" w14:textId="5A60D36F" w:rsidR="00853657" w:rsidRDefault="009D1067" w:rsidP="00CD6C60">
      <w:pPr>
        <w:pStyle w:val="ListParagraph"/>
        <w:numPr>
          <w:ilvl w:val="1"/>
          <w:numId w:val="14"/>
        </w:numPr>
        <w:spacing w:line="360" w:lineRule="auto"/>
        <w:jc w:val="both"/>
      </w:pPr>
      <w:proofErr w:type="gramStart"/>
      <w:r w:rsidRPr="009D1067">
        <w:rPr>
          <w:bCs/>
        </w:rPr>
        <w:t>The majority of</w:t>
      </w:r>
      <w:proofErr w:type="gramEnd"/>
      <w:r w:rsidRPr="009D1067">
        <w:rPr>
          <w:bCs/>
        </w:rPr>
        <w:t xml:space="preserve"> respondents did not support the full balance being taken.</w:t>
      </w:r>
      <w:r w:rsidR="00CC6151">
        <w:rPr>
          <w:bCs/>
        </w:rPr>
        <w:t xml:space="preserve"> 2 respondents noted that if the full balance was taken then this could result in longer and more costly administrative processes for </w:t>
      </w:r>
      <w:r w:rsidR="009E78BD">
        <w:rPr>
          <w:bCs/>
        </w:rPr>
        <w:t>Supplier</w:t>
      </w:r>
      <w:r w:rsidR="00CC6151">
        <w:rPr>
          <w:bCs/>
        </w:rPr>
        <w:t>s and DNO’s</w:t>
      </w:r>
    </w:p>
    <w:p w14:paraId="60BE05CA" w14:textId="4BC5830C" w:rsidR="004C262E" w:rsidRPr="00845FD4" w:rsidRDefault="004C262E" w:rsidP="004C262E">
      <w:pPr>
        <w:pStyle w:val="Question"/>
      </w:pPr>
      <w:r w:rsidRPr="00845FD4">
        <w:t xml:space="preserve">Question </w:t>
      </w:r>
      <w:r>
        <w:t>5</w:t>
      </w:r>
      <w:r w:rsidRPr="00845FD4">
        <w:t xml:space="preserve"> - </w:t>
      </w:r>
      <w:r w:rsidR="00CC6151" w:rsidRPr="00CC6151">
        <w:t xml:space="preserve">Are there any other DCUSA changes that you are aware of (past, </w:t>
      </w:r>
      <w:proofErr w:type="gramStart"/>
      <w:r w:rsidR="00CC6151" w:rsidRPr="00CC6151">
        <w:t>current</w:t>
      </w:r>
      <w:proofErr w:type="gramEnd"/>
      <w:r w:rsidR="00CC6151" w:rsidRPr="00CC6151">
        <w:t xml:space="preserve"> or future) that this Change could impact? If so, please provide the change numbers and your rationale</w:t>
      </w:r>
      <w:r w:rsidR="00CC6151" w:rsidRPr="00CC6151">
        <w:t>.</w:t>
      </w:r>
    </w:p>
    <w:p w14:paraId="54F1D8F4" w14:textId="097ED2A6" w:rsidR="00F16EF0" w:rsidRPr="00F16EF0" w:rsidRDefault="00CC6151" w:rsidP="00F16EF0">
      <w:pPr>
        <w:pStyle w:val="ListParagraph"/>
        <w:numPr>
          <w:ilvl w:val="1"/>
          <w:numId w:val="14"/>
        </w:numPr>
        <w:spacing w:line="360" w:lineRule="auto"/>
        <w:jc w:val="both"/>
        <w:rPr>
          <w:bCs/>
        </w:rPr>
      </w:pPr>
      <w:r w:rsidRPr="00CC6151">
        <w:rPr>
          <w:bCs/>
        </w:rPr>
        <w:t xml:space="preserve">A minority of respondents were concerned that this DCP could undermine the provisions of DCP </w:t>
      </w:r>
      <w:proofErr w:type="gramStart"/>
      <w:r w:rsidRPr="00CC6151">
        <w:rPr>
          <w:bCs/>
        </w:rPr>
        <w:t>349</w:t>
      </w:r>
      <w:r>
        <w:rPr>
          <w:bCs/>
        </w:rPr>
        <w:t xml:space="preserve"> </w:t>
      </w:r>
      <w:r w:rsidR="0025406B">
        <w:rPr>
          <w:bCs/>
        </w:rPr>
        <w:t xml:space="preserve"> ‘</w:t>
      </w:r>
      <w:bookmarkStart w:id="13" w:name="_Hlk112771836"/>
      <w:proofErr w:type="gramEnd"/>
      <w:r w:rsidR="0025406B" w:rsidRPr="0025406B">
        <w:rPr>
          <w:bCs/>
        </w:rPr>
        <w:t>‘Effectiveness of the current provision of unsecured cover under Schedule 1’</w:t>
      </w:r>
      <w:bookmarkEnd w:id="13"/>
      <w:r w:rsidR="0025406B">
        <w:rPr>
          <w:bCs/>
        </w:rPr>
        <w:t xml:space="preserve">. This change </w:t>
      </w:r>
      <w:r w:rsidRPr="0025406B">
        <w:rPr>
          <w:bCs/>
        </w:rPr>
        <w:t xml:space="preserve">is seeking to </w:t>
      </w:r>
      <w:r w:rsidR="0025406B" w:rsidRPr="0025406B">
        <w:rPr>
          <w:bCs/>
        </w:rPr>
        <w:t>strengthen the criteria around the provision of unsecured credit cover</w:t>
      </w:r>
      <w:r w:rsidR="002F670B">
        <w:t>.</w:t>
      </w:r>
      <w:r w:rsidR="0025406B">
        <w:t xml:space="preserve"> DCP 349 will be released June 2023.</w:t>
      </w:r>
    </w:p>
    <w:p w14:paraId="5A6A8A4F" w14:textId="35A460EB" w:rsidR="004C262E" w:rsidRPr="00FF0C32" w:rsidRDefault="004C262E" w:rsidP="004C262E">
      <w:pPr>
        <w:pStyle w:val="Question"/>
      </w:pPr>
      <w:r w:rsidRPr="00FF0C32">
        <w:t xml:space="preserve">Question </w:t>
      </w:r>
      <w:r>
        <w:t xml:space="preserve">6 </w:t>
      </w:r>
      <w:r w:rsidRPr="00FF0C32">
        <w:t>–</w:t>
      </w:r>
      <w:r w:rsidR="0025406B" w:rsidRPr="0025406B">
        <w:rPr>
          <w:rFonts w:asciiTheme="minorHAnsi" w:eastAsiaTheme="minorHAnsi" w:hAnsiTheme="minorHAnsi" w:cstheme="minorHAnsi"/>
          <w:b w:val="0"/>
          <w:color w:val="404040" w:themeColor="text1" w:themeTint="BF"/>
          <w:kern w:val="0"/>
          <w:sz w:val="22"/>
          <w:szCs w:val="22"/>
          <w:lang w:eastAsia="en-US"/>
        </w:rPr>
        <w:t xml:space="preserve"> </w:t>
      </w:r>
      <w:r w:rsidR="0025406B" w:rsidRPr="0025406B">
        <w:rPr>
          <w:i/>
          <w:iCs/>
          <w:u w:val="single"/>
        </w:rPr>
        <w:t>Distributors Only</w:t>
      </w:r>
      <w:r w:rsidR="0025406B" w:rsidRPr="0025406B">
        <w:t xml:space="preserve">- What proportion of </w:t>
      </w:r>
      <w:r w:rsidR="009E78BD">
        <w:t>Supplier</w:t>
      </w:r>
      <w:r w:rsidR="0025406B" w:rsidRPr="0025406B">
        <w:t>s are required to provide collateral under the current credit process within Schedule 1? e.g., cash, letter of credit, parent company guarantees.</w:t>
      </w:r>
    </w:p>
    <w:p w14:paraId="3A5437B3" w14:textId="3822C93A" w:rsidR="000F1FBF" w:rsidRPr="00E45140" w:rsidRDefault="000F1FBF" w:rsidP="0061622B">
      <w:pPr>
        <w:pStyle w:val="ListParagraph"/>
        <w:numPr>
          <w:ilvl w:val="1"/>
          <w:numId w:val="14"/>
        </w:numPr>
        <w:spacing w:line="360" w:lineRule="auto"/>
        <w:jc w:val="both"/>
      </w:pPr>
      <w:r>
        <w:t xml:space="preserve">There was </w:t>
      </w:r>
      <w:r w:rsidR="009F049C">
        <w:t xml:space="preserve">a </w:t>
      </w:r>
      <w:r w:rsidR="00B414DE">
        <w:t>m</w:t>
      </w:r>
      <w:r w:rsidR="009F049C" w:rsidRPr="009F049C">
        <w:t>ixed response to this question on volumes and type of collateral from respondents</w:t>
      </w:r>
      <w:r w:rsidR="00D5727F">
        <w:t xml:space="preserve"> ranging from a high of 57%</w:t>
      </w:r>
      <w:r w:rsidR="008F3B20">
        <w:t xml:space="preserve"> of </w:t>
      </w:r>
      <w:r w:rsidR="009E78BD">
        <w:t>Supplier</w:t>
      </w:r>
      <w:r w:rsidR="008F3B20">
        <w:t>s providing collateral in some form</w:t>
      </w:r>
      <w:r w:rsidR="00CE2DE2">
        <w:t xml:space="preserve"> from </w:t>
      </w:r>
      <w:r w:rsidR="0061622B">
        <w:t>one respondent</w:t>
      </w:r>
      <w:r w:rsidR="008F3B20">
        <w:t xml:space="preserve"> to a low of </w:t>
      </w:r>
      <w:r w:rsidR="00CE2DE2">
        <w:t>14%</w:t>
      </w:r>
      <w:r w:rsidR="0061622B">
        <w:t xml:space="preserve"> from another.</w:t>
      </w:r>
      <w:r>
        <w:t xml:space="preserve"> </w:t>
      </w:r>
    </w:p>
    <w:p w14:paraId="4BE9A5EB" w14:textId="51E0CF80" w:rsidR="004C262E" w:rsidRPr="00845FD4" w:rsidRDefault="004C262E" w:rsidP="004C262E">
      <w:pPr>
        <w:pStyle w:val="Question"/>
      </w:pPr>
      <w:r w:rsidRPr="00845FD4">
        <w:t xml:space="preserve">Question </w:t>
      </w:r>
      <w:r>
        <w:t>7</w:t>
      </w:r>
      <w:r w:rsidRPr="00845FD4">
        <w:t xml:space="preserve"> -</w:t>
      </w:r>
      <w:r w:rsidR="00650F1C">
        <w:t xml:space="preserve"> </w:t>
      </w:r>
      <w:r w:rsidR="00650F1C" w:rsidRPr="00650F1C">
        <w:t xml:space="preserve">Should the value of the SoLR payment reduce the Value at Risk or be treated as </w:t>
      </w:r>
      <w:r w:rsidR="00650F1C" w:rsidRPr="00650F1C">
        <w:t>collateral?</w:t>
      </w:r>
    </w:p>
    <w:p w14:paraId="52B37F05" w14:textId="46DAB9AC" w:rsidR="000F1FBF" w:rsidRDefault="0035786F" w:rsidP="00A57EDB">
      <w:pPr>
        <w:pStyle w:val="ListParagraph"/>
        <w:numPr>
          <w:ilvl w:val="1"/>
          <w:numId w:val="14"/>
        </w:numPr>
        <w:spacing w:line="360" w:lineRule="auto"/>
        <w:jc w:val="both"/>
      </w:pPr>
      <w:r w:rsidRPr="00297758">
        <w:rPr>
          <w:bCs/>
        </w:rPr>
        <w:t xml:space="preserve">3 responses started they prefer </w:t>
      </w:r>
      <w:r w:rsidR="00A976D6" w:rsidRPr="00297758">
        <w:rPr>
          <w:bCs/>
        </w:rPr>
        <w:t xml:space="preserve">a reduction to the value at risk, </w:t>
      </w:r>
      <w:r w:rsidRPr="00297758">
        <w:rPr>
          <w:bCs/>
        </w:rPr>
        <w:t xml:space="preserve">2 </w:t>
      </w:r>
      <w:r w:rsidR="00A976D6" w:rsidRPr="00297758">
        <w:rPr>
          <w:bCs/>
        </w:rPr>
        <w:t xml:space="preserve">preferred </w:t>
      </w:r>
      <w:r w:rsidR="00A51BFA" w:rsidRPr="00297758">
        <w:rPr>
          <w:bCs/>
        </w:rPr>
        <w:t>to treat the SoLR payment as</w:t>
      </w:r>
      <w:r w:rsidR="00A976D6" w:rsidRPr="00297758">
        <w:rPr>
          <w:bCs/>
        </w:rPr>
        <w:t xml:space="preserve"> </w:t>
      </w:r>
      <w:r w:rsidRPr="00297758">
        <w:rPr>
          <w:bCs/>
        </w:rPr>
        <w:t>collateral and 1 didn’t state a preference. The Working Group discussed whether the So</w:t>
      </w:r>
      <w:r w:rsidR="00A51BFA" w:rsidRPr="00297758">
        <w:rPr>
          <w:bCs/>
        </w:rPr>
        <w:t>L</w:t>
      </w:r>
      <w:r w:rsidRPr="00297758">
        <w:rPr>
          <w:bCs/>
        </w:rPr>
        <w:t xml:space="preserve">R payment could be used to offset </w:t>
      </w:r>
      <w:r w:rsidR="00CF4CA5" w:rsidRPr="00297758">
        <w:rPr>
          <w:bCs/>
        </w:rPr>
        <w:t>DUoS</w:t>
      </w:r>
      <w:r w:rsidRPr="00297758">
        <w:rPr>
          <w:bCs/>
        </w:rPr>
        <w:t xml:space="preserve"> payments and agreed to seek further </w:t>
      </w:r>
      <w:r w:rsidR="00E13EED">
        <w:rPr>
          <w:bCs/>
        </w:rPr>
        <w:t>advice as to whether this was allowed</w:t>
      </w:r>
      <w:r w:rsidR="00297758" w:rsidRPr="00297758">
        <w:rPr>
          <w:bCs/>
        </w:rPr>
        <w:t xml:space="preserve"> from Gowlings Solicitors by asking the below question</w:t>
      </w:r>
      <w:r w:rsidRPr="00297758">
        <w:rPr>
          <w:bCs/>
        </w:rPr>
        <w:t>.</w:t>
      </w:r>
    </w:p>
    <w:p w14:paraId="447F50B1" w14:textId="1E64EF4A" w:rsidR="00775FB2" w:rsidRPr="00775FB2" w:rsidRDefault="00775FB2" w:rsidP="00775FB2">
      <w:pPr>
        <w:pStyle w:val="ListParagraph"/>
        <w:numPr>
          <w:ilvl w:val="0"/>
          <w:numId w:val="35"/>
        </w:numPr>
      </w:pPr>
      <w:r w:rsidRPr="00775FB2">
        <w:t xml:space="preserve">If a SoLR </w:t>
      </w:r>
      <w:r w:rsidR="009E78BD">
        <w:t>Supplier</w:t>
      </w:r>
      <w:r w:rsidRPr="00775FB2">
        <w:t xml:space="preserve"> went into administration does the insolvency act allow the offsetting of SoLR payments against any owed DU</w:t>
      </w:r>
      <w:r w:rsidR="00CF4CA5">
        <w:t>o</w:t>
      </w:r>
      <w:r w:rsidRPr="00775FB2">
        <w:t>S?</w:t>
      </w:r>
    </w:p>
    <w:p w14:paraId="379B883C" w14:textId="2A1074C1" w:rsidR="006E6353" w:rsidRDefault="006E6353" w:rsidP="006E6353">
      <w:pPr>
        <w:pStyle w:val="ListParagraph"/>
        <w:numPr>
          <w:ilvl w:val="1"/>
          <w:numId w:val="14"/>
        </w:numPr>
        <w:spacing w:line="360" w:lineRule="auto"/>
        <w:jc w:val="both"/>
      </w:pPr>
      <w:r>
        <w:t xml:space="preserve">The response from Gowlings </w:t>
      </w:r>
      <w:r w:rsidR="00CF4CA5">
        <w:t xml:space="preserve">is as follows. </w:t>
      </w:r>
    </w:p>
    <w:p w14:paraId="545BE05C" w14:textId="3F402B4F" w:rsidR="00CF4CA5" w:rsidRPr="00CF4CA5" w:rsidRDefault="00CF4CA5" w:rsidP="006E6353">
      <w:pPr>
        <w:pStyle w:val="ListParagraph"/>
        <w:numPr>
          <w:ilvl w:val="1"/>
          <w:numId w:val="14"/>
        </w:numPr>
        <w:spacing w:line="360" w:lineRule="auto"/>
        <w:jc w:val="both"/>
        <w:rPr>
          <w:i/>
          <w:iCs/>
        </w:rPr>
      </w:pPr>
      <w:r w:rsidRPr="00CF4CA5">
        <w:rPr>
          <w:i/>
          <w:iCs/>
        </w:rPr>
        <w:t>In the case of the insolvency of a company incorporated in English &amp; Wales or Scotland, the Insolvency Act 1986 provides for mandatory set-off, so that the sums due from one party shall be set off against the sums due from the other (except for sums incurred after the other party had notice of pending insolvency)</w:t>
      </w:r>
      <w:r w:rsidRPr="00CF4CA5">
        <w:rPr>
          <w:i/>
          <w:iCs/>
        </w:rPr>
        <w:t xml:space="preserve">. </w:t>
      </w:r>
    </w:p>
    <w:p w14:paraId="4B1CCDAA" w14:textId="7ACC7616" w:rsidR="004C262E" w:rsidRPr="00FF0C32" w:rsidRDefault="004C262E" w:rsidP="004C262E">
      <w:pPr>
        <w:pStyle w:val="Question"/>
      </w:pPr>
      <w:r w:rsidRPr="00FF0C32">
        <w:t xml:space="preserve">Question </w:t>
      </w:r>
      <w:r>
        <w:t>8</w:t>
      </w:r>
      <w:r w:rsidRPr="00FF0C32">
        <w:t xml:space="preserve"> –</w:t>
      </w:r>
      <w:r w:rsidR="009A1852" w:rsidRPr="009A1852">
        <w:t xml:space="preserve"> What are your views on the provision of the insolvency act and does this influence your answer to Q7? Please provide your rationale</w:t>
      </w:r>
      <w:r w:rsidR="00C50525" w:rsidRPr="00FF4B66">
        <w:t>.</w:t>
      </w:r>
    </w:p>
    <w:p w14:paraId="53A29275" w14:textId="77777777" w:rsidR="00E84FF0" w:rsidRPr="00E84FF0" w:rsidRDefault="00944F44" w:rsidP="00E84FF0">
      <w:pPr>
        <w:pStyle w:val="ListParagraph"/>
        <w:numPr>
          <w:ilvl w:val="1"/>
          <w:numId w:val="14"/>
        </w:numPr>
        <w:rPr>
          <w:bCs/>
        </w:rPr>
      </w:pPr>
      <w:r w:rsidRPr="00E84FF0">
        <w:rPr>
          <w:bCs/>
        </w:rPr>
        <w:t>It was agreed tha</w:t>
      </w:r>
      <w:r w:rsidR="00E84FF0" w:rsidRPr="00E84FF0">
        <w:rPr>
          <w:bCs/>
        </w:rPr>
        <w:t xml:space="preserve">t seeking legal advice on whether Can the SoLR payments be treated as collateral </w:t>
      </w:r>
      <w:proofErr w:type="gramStart"/>
      <w:r w:rsidR="00E84FF0" w:rsidRPr="00E84FF0">
        <w:rPr>
          <w:bCs/>
        </w:rPr>
        <w:t>in order to</w:t>
      </w:r>
      <w:proofErr w:type="gramEnd"/>
      <w:r w:rsidR="00E84FF0" w:rsidRPr="00E84FF0">
        <w:rPr>
          <w:bCs/>
        </w:rPr>
        <w:t xml:space="preserve"> pay off unpaid DUOS and what are the consequences of doing so?</w:t>
      </w:r>
    </w:p>
    <w:p w14:paraId="2B0ACD59" w14:textId="1B76D19A" w:rsidR="004C262E" w:rsidRDefault="00EB7FE2" w:rsidP="00CD6C60">
      <w:pPr>
        <w:pStyle w:val="ListParagraph"/>
        <w:numPr>
          <w:ilvl w:val="1"/>
          <w:numId w:val="14"/>
        </w:numPr>
        <w:spacing w:line="360" w:lineRule="auto"/>
        <w:jc w:val="both"/>
      </w:pPr>
      <w:r>
        <w:t xml:space="preserve">This question was also sent to Gowlings whose advice was </w:t>
      </w:r>
      <w:r w:rsidR="00CF4CA5">
        <w:t xml:space="preserve">as follows. </w:t>
      </w:r>
    </w:p>
    <w:p w14:paraId="62516DFC" w14:textId="3844FF00" w:rsidR="00CF4CA5" w:rsidRPr="00CF4CA5" w:rsidRDefault="00CF4CA5" w:rsidP="00CF4CA5">
      <w:pPr>
        <w:pStyle w:val="ListParagraph"/>
        <w:numPr>
          <w:ilvl w:val="1"/>
          <w:numId w:val="14"/>
        </w:numPr>
        <w:spacing w:line="360" w:lineRule="auto"/>
        <w:jc w:val="both"/>
        <w:rPr>
          <w:i/>
          <w:iCs/>
        </w:rPr>
      </w:pPr>
      <w:r w:rsidRPr="00CF4CA5">
        <w:rPr>
          <w:i/>
          <w:iCs/>
        </w:rPr>
        <w:t xml:space="preserve">I think what you mean here is - can the DNO set-off its obligation to pay Valid Claims against the supplier's obligation to pay charges under the DCUSA? </w:t>
      </w:r>
    </w:p>
    <w:p w14:paraId="24258F44" w14:textId="6B4A184B" w:rsidR="00CF4CA5" w:rsidRPr="00CF4CA5" w:rsidRDefault="00CF4CA5" w:rsidP="00CF4CA5">
      <w:pPr>
        <w:pStyle w:val="ListParagraph"/>
        <w:numPr>
          <w:ilvl w:val="1"/>
          <w:numId w:val="14"/>
        </w:numPr>
        <w:spacing w:line="360" w:lineRule="auto"/>
        <w:jc w:val="both"/>
        <w:rPr>
          <w:i/>
          <w:iCs/>
        </w:rPr>
      </w:pPr>
      <w:r w:rsidRPr="00CF4CA5">
        <w:rPr>
          <w:i/>
          <w:iCs/>
        </w:rPr>
        <w:t>The consequence of set-off is that, where payments are due from both parties, the parties may agree that, instead of both parties making separate payments, the party due to make the larger payment should pay the difference between the two amounts.</w:t>
      </w:r>
    </w:p>
    <w:p w14:paraId="279FD69D" w14:textId="24E29096" w:rsidR="00CF4CA5" w:rsidRPr="00CF4CA5" w:rsidRDefault="00CF4CA5" w:rsidP="00CF4CA5">
      <w:pPr>
        <w:pStyle w:val="ListParagraph"/>
        <w:numPr>
          <w:ilvl w:val="1"/>
          <w:numId w:val="14"/>
        </w:numPr>
        <w:spacing w:line="360" w:lineRule="auto"/>
        <w:jc w:val="both"/>
        <w:rPr>
          <w:i/>
          <w:iCs/>
        </w:rPr>
      </w:pPr>
      <w:r w:rsidRPr="00CF4CA5">
        <w:rPr>
          <w:i/>
          <w:iCs/>
        </w:rPr>
        <w:t>As a matter of English law, parties can agree to allow set-off.</w:t>
      </w:r>
    </w:p>
    <w:p w14:paraId="23B53979" w14:textId="428CDADF" w:rsidR="00CF4CA5" w:rsidRPr="00CF4CA5" w:rsidRDefault="00CF4CA5" w:rsidP="00CF4CA5">
      <w:pPr>
        <w:pStyle w:val="ListParagraph"/>
        <w:numPr>
          <w:ilvl w:val="1"/>
          <w:numId w:val="14"/>
        </w:numPr>
        <w:spacing w:line="360" w:lineRule="auto"/>
        <w:jc w:val="both"/>
        <w:rPr>
          <w:i/>
          <w:iCs/>
        </w:rPr>
      </w:pPr>
      <w:r w:rsidRPr="00CF4CA5">
        <w:rPr>
          <w:i/>
          <w:iCs/>
        </w:rPr>
        <w:t>However, there are some oddities in this case, because the DNO's obligation to pay the Valid Claim arises under the DNO licence (not under contract). Two important consequences of that are: (1) there is nothing on the face of the licence about set-off (as would normally be the case where contractual set-off is agreed); and (2) enforcement of the DNO licence is primarily a matter for Ofgem (not the supplier to whom the Valid Claim is owed).</w:t>
      </w:r>
    </w:p>
    <w:p w14:paraId="67EE0C39" w14:textId="491B50EB" w:rsidR="00CF4CA5" w:rsidRPr="00CF4CA5" w:rsidRDefault="00CF4CA5" w:rsidP="00CF4CA5">
      <w:pPr>
        <w:pStyle w:val="ListParagraph"/>
        <w:numPr>
          <w:ilvl w:val="1"/>
          <w:numId w:val="14"/>
        </w:numPr>
        <w:spacing w:line="360" w:lineRule="auto"/>
        <w:jc w:val="both"/>
        <w:rPr>
          <w:i/>
          <w:iCs/>
        </w:rPr>
      </w:pPr>
      <w:r w:rsidRPr="00CF4CA5">
        <w:rPr>
          <w:i/>
          <w:iCs/>
        </w:rPr>
        <w:t xml:space="preserve">Nevertheless, I advise that the DCUSA could be amended to allow the DNO to set-off the Valid Claim payment against charges due under the DCUSA. This would constitute agreement of set-off between the DNO and supplier; </w:t>
      </w:r>
      <w:proofErr w:type="gramStart"/>
      <w:r w:rsidRPr="00CF4CA5">
        <w:rPr>
          <w:i/>
          <w:iCs/>
        </w:rPr>
        <w:t>and also</w:t>
      </w:r>
      <w:proofErr w:type="gramEnd"/>
      <w:r w:rsidRPr="00CF4CA5">
        <w:rPr>
          <w:i/>
          <w:iCs/>
        </w:rPr>
        <w:t xml:space="preserve"> (because the DCUSA is regulated by Ofgem and supplemental to the DNO licence) Ofgem's agreement to the Valid Claim being treated in this way.  </w:t>
      </w:r>
    </w:p>
    <w:p w14:paraId="3853C462" w14:textId="3257CBC9" w:rsidR="00CF4CA5" w:rsidRPr="00CF4CA5" w:rsidRDefault="00CF4CA5" w:rsidP="00CF4CA5">
      <w:pPr>
        <w:pStyle w:val="ListParagraph"/>
        <w:numPr>
          <w:ilvl w:val="1"/>
          <w:numId w:val="14"/>
        </w:numPr>
        <w:spacing w:line="360" w:lineRule="auto"/>
        <w:jc w:val="both"/>
        <w:rPr>
          <w:i/>
          <w:iCs/>
        </w:rPr>
      </w:pPr>
      <w:r w:rsidRPr="00CF4CA5">
        <w:rPr>
          <w:i/>
          <w:iCs/>
        </w:rPr>
        <w:t>This would though require an express addition to the DCUSA.</w:t>
      </w:r>
    </w:p>
    <w:p w14:paraId="587499F6" w14:textId="21261737" w:rsidR="004C262E" w:rsidRPr="00845FD4" w:rsidRDefault="004C262E" w:rsidP="004C262E">
      <w:pPr>
        <w:pStyle w:val="Question"/>
      </w:pPr>
      <w:r w:rsidRPr="00845FD4">
        <w:t xml:space="preserve">Question </w:t>
      </w:r>
      <w:r>
        <w:t>9</w:t>
      </w:r>
      <w:r w:rsidRPr="00845FD4">
        <w:t xml:space="preserve"> -</w:t>
      </w:r>
      <w:r w:rsidR="007D1EAD">
        <w:t xml:space="preserve"> </w:t>
      </w:r>
      <w:r w:rsidR="00243DF1" w:rsidRPr="00243DF1">
        <w:t xml:space="preserve">If approved, do you believe this should only apply to new </w:t>
      </w:r>
      <w:proofErr w:type="spellStart"/>
      <w:r w:rsidR="00243DF1" w:rsidRPr="00243DF1">
        <w:t>SoLR’s</w:t>
      </w:r>
      <w:proofErr w:type="spellEnd"/>
      <w:r w:rsidR="00243DF1" w:rsidRPr="00243DF1">
        <w:t xml:space="preserve"> or would it need to be retrospectively applied? Please provide your rationale.</w:t>
      </w:r>
    </w:p>
    <w:p w14:paraId="0C50E49F" w14:textId="24C766FE" w:rsidR="004C262E" w:rsidRPr="00002699" w:rsidRDefault="007D1EAD" w:rsidP="007D1EAD">
      <w:pPr>
        <w:pStyle w:val="ListParagraph"/>
        <w:numPr>
          <w:ilvl w:val="1"/>
          <w:numId w:val="14"/>
        </w:numPr>
        <w:spacing w:line="360" w:lineRule="auto"/>
        <w:jc w:val="both"/>
      </w:pPr>
      <w:proofErr w:type="gramStart"/>
      <w:r w:rsidRPr="007D1EAD">
        <w:t>The majority of</w:t>
      </w:r>
      <w:proofErr w:type="gramEnd"/>
      <w:r w:rsidRPr="007D1EAD">
        <w:t xml:space="preserve"> respondents were in favour of this only applying to new SoLRs</w:t>
      </w:r>
      <w:r>
        <w:t>.</w:t>
      </w:r>
    </w:p>
    <w:p w14:paraId="165F504D" w14:textId="36910355" w:rsidR="004C262E" w:rsidRPr="00FF0C32" w:rsidRDefault="004C262E" w:rsidP="004C262E">
      <w:pPr>
        <w:pStyle w:val="Question"/>
      </w:pPr>
      <w:r w:rsidRPr="00FF0C32">
        <w:lastRenderedPageBreak/>
        <w:t>Question</w:t>
      </w:r>
      <w:r>
        <w:t xml:space="preserve"> 10</w:t>
      </w:r>
      <w:r w:rsidRPr="00FF0C32">
        <w:t xml:space="preserve"> –</w:t>
      </w:r>
      <w:r w:rsidR="00FF328C" w:rsidRPr="00FF328C">
        <w:t xml:space="preserve"> Do you consider that the proposal better facilitates the DCUSA objectives? Please give supporting </w:t>
      </w:r>
      <w:r w:rsidR="00554B13" w:rsidRPr="00FF328C">
        <w:t>reasons.</w:t>
      </w:r>
    </w:p>
    <w:p w14:paraId="2C69D4BC" w14:textId="762EBE0C" w:rsidR="004C262E" w:rsidRPr="00E45140" w:rsidRDefault="00B013CA" w:rsidP="00B013CA">
      <w:pPr>
        <w:pStyle w:val="ListParagraph"/>
        <w:numPr>
          <w:ilvl w:val="1"/>
          <w:numId w:val="14"/>
        </w:numPr>
        <w:spacing w:line="360" w:lineRule="auto"/>
        <w:jc w:val="both"/>
      </w:pPr>
      <w:r w:rsidRPr="00B013CA">
        <w:rPr>
          <w:bCs/>
        </w:rPr>
        <w:t xml:space="preserve">50% of respondents view was that it would better facilitate general </w:t>
      </w:r>
      <w:proofErr w:type="gramStart"/>
      <w:r w:rsidRPr="00B013CA">
        <w:rPr>
          <w:bCs/>
        </w:rPr>
        <w:t>objective</w:t>
      </w:r>
      <w:proofErr w:type="gramEnd"/>
      <w:r w:rsidRPr="00B013CA">
        <w:rPr>
          <w:bCs/>
        </w:rPr>
        <w:t xml:space="preserve"> 2 and 50% didn’t believe it better facilitated any DCUSA objectives</w:t>
      </w:r>
      <w:r>
        <w:rPr>
          <w:bCs/>
        </w:rPr>
        <w:t xml:space="preserve"> at all.</w:t>
      </w:r>
    </w:p>
    <w:p w14:paraId="7312EE2F" w14:textId="338F4C71" w:rsidR="004C262E" w:rsidRPr="00845FD4" w:rsidRDefault="004C262E" w:rsidP="004C262E">
      <w:pPr>
        <w:pStyle w:val="Question"/>
      </w:pPr>
      <w:r w:rsidRPr="00845FD4">
        <w:t xml:space="preserve">Question </w:t>
      </w:r>
      <w:r>
        <w:t>11</w:t>
      </w:r>
      <w:r w:rsidRPr="00845FD4">
        <w:t xml:space="preserve"> - </w:t>
      </w:r>
      <w:r w:rsidR="00554B13" w:rsidRPr="00554B13">
        <w:t>Are you aware of any wider industry developments that may impact upon or be impacted by this C</w:t>
      </w:r>
      <w:r w:rsidR="00554B13" w:rsidRPr="00554B13">
        <w:t>P?</w:t>
      </w:r>
    </w:p>
    <w:p w14:paraId="2622CA86" w14:textId="2550EC43" w:rsidR="004C262E" w:rsidRPr="00002699" w:rsidRDefault="00282180" w:rsidP="00554B13">
      <w:pPr>
        <w:pStyle w:val="ListParagraph"/>
        <w:numPr>
          <w:ilvl w:val="1"/>
          <w:numId w:val="14"/>
        </w:numPr>
        <w:spacing w:line="360" w:lineRule="auto"/>
        <w:jc w:val="both"/>
      </w:pPr>
      <w:r>
        <w:t>The</w:t>
      </w:r>
      <w:r w:rsidR="00271F8C">
        <w:t xml:space="preserve">re were no </w:t>
      </w:r>
      <w:r w:rsidR="0007540E">
        <w:t>wider industry CP’s that respondents were aware of that could be impacted by this other than the previously raised DCP 349.</w:t>
      </w:r>
    </w:p>
    <w:p w14:paraId="1FC04788" w14:textId="7EA5CCCF" w:rsidR="004C262E" w:rsidRPr="00FF0C32" w:rsidRDefault="004C262E" w:rsidP="004C262E">
      <w:pPr>
        <w:pStyle w:val="Question"/>
      </w:pPr>
      <w:r w:rsidRPr="00FF0C32">
        <w:t xml:space="preserve">Question </w:t>
      </w:r>
      <w:r>
        <w:t>1</w:t>
      </w:r>
      <w:r w:rsidRPr="00FF0C32">
        <w:t xml:space="preserve">2 – </w:t>
      </w:r>
      <w:r w:rsidR="00271F8C" w:rsidRPr="00271F8C">
        <w:t>Are you supportive of the proposed implementation date?</w:t>
      </w:r>
    </w:p>
    <w:p w14:paraId="2E84DF82" w14:textId="703EEA4E" w:rsidR="004C262E" w:rsidRPr="00E45140" w:rsidRDefault="00E02A79" w:rsidP="00CD6C60">
      <w:pPr>
        <w:pStyle w:val="ListParagraph"/>
        <w:numPr>
          <w:ilvl w:val="1"/>
          <w:numId w:val="14"/>
        </w:numPr>
        <w:spacing w:line="360" w:lineRule="auto"/>
        <w:jc w:val="both"/>
      </w:pPr>
      <w:r w:rsidRPr="00E02A79">
        <w:t>The majority of 4 -</w:t>
      </w:r>
      <w:r w:rsidR="00284F86">
        <w:t xml:space="preserve"> </w:t>
      </w:r>
      <w:r w:rsidRPr="00E02A79">
        <w:t>2 of respondents were supportive of the proposed release date.</w:t>
      </w:r>
      <w:r w:rsidR="00F5211F">
        <w:t xml:space="preserve"> The 2 who were not in support cited that this change could lead to changes within their billing systems which </w:t>
      </w:r>
      <w:r w:rsidR="00A16D4C">
        <w:t xml:space="preserve">can take time with one respondent advising that to design, test, train and implement a </w:t>
      </w:r>
      <w:r w:rsidR="007B0171">
        <w:t>change to the billing system, 3 months was not an unreasonable estimate.</w:t>
      </w:r>
    </w:p>
    <w:p w14:paraId="3A7F536C" w14:textId="38CD8736" w:rsidR="004C262E" w:rsidRPr="00845FD4" w:rsidRDefault="004C262E" w:rsidP="004C262E">
      <w:pPr>
        <w:pStyle w:val="Question"/>
      </w:pPr>
      <w:bookmarkStart w:id="14" w:name="_Hlk105405674"/>
      <w:r w:rsidRPr="00845FD4">
        <w:t>Question 1</w:t>
      </w:r>
      <w:r>
        <w:t>3</w:t>
      </w:r>
      <w:r w:rsidRPr="00845FD4">
        <w:t xml:space="preserve"> -</w:t>
      </w:r>
      <w:r w:rsidR="00A04ABD" w:rsidRPr="00A04ABD">
        <w:t xml:space="preserve"> Do you have any comments on the draft legal t</w:t>
      </w:r>
      <w:r w:rsidR="00A04ABD" w:rsidRPr="00A04ABD">
        <w:t>ext?</w:t>
      </w:r>
    </w:p>
    <w:p w14:paraId="41B01DDE" w14:textId="7497C3B2" w:rsidR="00E0757A" w:rsidRPr="00B4352A" w:rsidRDefault="00DB370E" w:rsidP="00CD6C60">
      <w:pPr>
        <w:pStyle w:val="ListParagraph"/>
        <w:numPr>
          <w:ilvl w:val="1"/>
          <w:numId w:val="14"/>
        </w:numPr>
        <w:spacing w:line="360" w:lineRule="auto"/>
        <w:jc w:val="both"/>
      </w:pPr>
      <w:r w:rsidRPr="00DB370E">
        <w:t>4 respondents had no comments. WPD believed as the text refers VAR rather than collateral the text may need to be updated. Northern Powergrid</w:t>
      </w:r>
      <w:r w:rsidR="00CF4CA5">
        <w:t>’</w:t>
      </w:r>
      <w:r w:rsidRPr="00DB370E">
        <w:t>s view was that the text does not cater for payments due in the month</w:t>
      </w:r>
      <w:r w:rsidR="00DF55EF">
        <w:t xml:space="preserve">. </w:t>
      </w:r>
    </w:p>
    <w:p w14:paraId="19E8396C" w14:textId="630A2300" w:rsidR="005A21BE" w:rsidRDefault="00B47B3F" w:rsidP="001021F6">
      <w:pPr>
        <w:pStyle w:val="Heading03"/>
      </w:pPr>
      <w:bookmarkStart w:id="15" w:name="_Toc110371102"/>
      <w:bookmarkStart w:id="16" w:name="_Toc110371101"/>
      <w:bookmarkEnd w:id="14"/>
      <w:bookmarkEnd w:id="16"/>
      <w:r w:rsidRPr="00443D57">
        <w:t>Working Group Conclusions &amp; Final Solutio</w:t>
      </w:r>
      <w:bookmarkStart w:id="17" w:name="_Toc318967199"/>
      <w:r w:rsidR="005A21BE">
        <w:t>n</w:t>
      </w:r>
      <w:bookmarkEnd w:id="15"/>
    </w:p>
    <w:p w14:paraId="49E6BEE0" w14:textId="58ECCEE1" w:rsidR="00E25E4A" w:rsidRDefault="00E25E4A" w:rsidP="00E25E4A">
      <w:pPr>
        <w:pStyle w:val="ListParagraph"/>
        <w:numPr>
          <w:ilvl w:val="1"/>
          <w:numId w:val="14"/>
        </w:numPr>
        <w:spacing w:line="360" w:lineRule="auto"/>
        <w:jc w:val="both"/>
      </w:pPr>
      <w:r w:rsidRPr="00E25E4A">
        <w:t>After consideration of the consultation responses, the Working Group identified the following areas for further consideration:</w:t>
      </w:r>
    </w:p>
    <w:p w14:paraId="0FC98148" w14:textId="3CD3886E" w:rsidR="00E25E4A" w:rsidRDefault="00E25E4A" w:rsidP="00E25E4A">
      <w:pPr>
        <w:pStyle w:val="ListParagraph"/>
        <w:numPr>
          <w:ilvl w:val="0"/>
          <w:numId w:val="35"/>
        </w:numPr>
        <w:spacing w:line="360" w:lineRule="auto"/>
        <w:jc w:val="both"/>
      </w:pPr>
      <w:r w:rsidRPr="00E25E4A">
        <w:t>Should the full balance or the monthly balance be offset?</w:t>
      </w:r>
    </w:p>
    <w:p w14:paraId="1A25CA8A" w14:textId="36812A94" w:rsidR="00E25E4A" w:rsidRDefault="00E25E4A" w:rsidP="00E25E4A">
      <w:pPr>
        <w:pStyle w:val="ListParagraph"/>
        <w:numPr>
          <w:ilvl w:val="0"/>
          <w:numId w:val="35"/>
        </w:numPr>
        <w:spacing w:line="360" w:lineRule="auto"/>
        <w:jc w:val="both"/>
      </w:pPr>
      <w:r w:rsidRPr="00E25E4A">
        <w:t>Should this change only apply to new SoLRs, or to existing SoLRs?</w:t>
      </w:r>
    </w:p>
    <w:p w14:paraId="64656F5C" w14:textId="77777777" w:rsidR="00E25E4A" w:rsidRPr="00E25E4A" w:rsidRDefault="00E25E4A" w:rsidP="00E25E4A">
      <w:pPr>
        <w:spacing w:line="360" w:lineRule="auto"/>
        <w:jc w:val="both"/>
        <w:rPr>
          <w:b/>
          <w:bCs/>
        </w:rPr>
      </w:pPr>
      <w:r w:rsidRPr="00E25E4A">
        <w:rPr>
          <w:b/>
          <w:bCs/>
        </w:rPr>
        <w:t>Should the full balance or the monthly balance be offset?</w:t>
      </w:r>
    </w:p>
    <w:p w14:paraId="226DF870" w14:textId="583CB77B" w:rsidR="00E25E4A" w:rsidRDefault="00E25E4A" w:rsidP="00E25E4A">
      <w:pPr>
        <w:pStyle w:val="ListParagraph"/>
        <w:numPr>
          <w:ilvl w:val="1"/>
          <w:numId w:val="14"/>
        </w:numPr>
        <w:spacing w:line="360" w:lineRule="auto"/>
        <w:jc w:val="both"/>
      </w:pPr>
      <w:r>
        <w:t xml:space="preserve">The WG reviewed the consultation responses, noting that </w:t>
      </w:r>
      <w:proofErr w:type="gramStart"/>
      <w:r>
        <w:t xml:space="preserve">the majority </w:t>
      </w:r>
      <w:r>
        <w:t>of</w:t>
      </w:r>
      <w:proofErr w:type="gramEnd"/>
      <w:r>
        <w:t xml:space="preserve"> responders </w:t>
      </w:r>
      <w:r>
        <w:t xml:space="preserve">did not support the full balance being taken. </w:t>
      </w:r>
    </w:p>
    <w:p w14:paraId="6FE09642" w14:textId="14C4F11C" w:rsidR="00E25E4A" w:rsidRDefault="00E25E4A" w:rsidP="00E25E4A">
      <w:pPr>
        <w:pStyle w:val="ListParagraph"/>
        <w:numPr>
          <w:ilvl w:val="1"/>
          <w:numId w:val="14"/>
        </w:numPr>
        <w:spacing w:line="360" w:lineRule="auto"/>
        <w:jc w:val="both"/>
      </w:pPr>
      <w:r>
        <w:t xml:space="preserve">The WG </w:t>
      </w:r>
      <w:r>
        <w:t xml:space="preserve">discussed and </w:t>
      </w:r>
      <w:r>
        <w:t xml:space="preserve">agreed to progress with the monthly balance rather than the full balance.  </w:t>
      </w:r>
    </w:p>
    <w:p w14:paraId="15F15D50" w14:textId="1F7A6BD3" w:rsidR="00E25E4A" w:rsidRDefault="00E25E4A" w:rsidP="00E25E4A">
      <w:pPr>
        <w:pStyle w:val="ListParagraph"/>
        <w:numPr>
          <w:ilvl w:val="1"/>
          <w:numId w:val="14"/>
        </w:numPr>
        <w:spacing w:line="360" w:lineRule="auto"/>
        <w:jc w:val="both"/>
      </w:pPr>
      <w:r>
        <w:t xml:space="preserve">The Proposer </w:t>
      </w:r>
      <w:r w:rsidR="00763F63">
        <w:t>agreed</w:t>
      </w:r>
      <w:r>
        <w:t xml:space="preserve"> that </w:t>
      </w:r>
      <w:r>
        <w:t>they would</w:t>
      </w:r>
      <w:r>
        <w:t xml:space="preserve"> raise an alternative solution which included the full balance. </w:t>
      </w:r>
    </w:p>
    <w:p w14:paraId="679578F0" w14:textId="77777777" w:rsidR="00E25E4A" w:rsidRPr="00E25E4A" w:rsidRDefault="00E25E4A" w:rsidP="00E25E4A">
      <w:pPr>
        <w:spacing w:line="360" w:lineRule="auto"/>
        <w:jc w:val="both"/>
        <w:rPr>
          <w:b/>
          <w:bCs/>
        </w:rPr>
      </w:pPr>
      <w:r w:rsidRPr="00E25E4A">
        <w:rPr>
          <w:b/>
          <w:bCs/>
        </w:rPr>
        <w:t>Should this change only apply to new SoLRs, or to existing SoLRs?</w:t>
      </w:r>
    </w:p>
    <w:p w14:paraId="6C4D75D6" w14:textId="487B14EB" w:rsidR="00E25E4A" w:rsidRDefault="00E25E4A" w:rsidP="00E25E4A">
      <w:pPr>
        <w:pStyle w:val="ListParagraph"/>
        <w:numPr>
          <w:ilvl w:val="1"/>
          <w:numId w:val="14"/>
        </w:numPr>
        <w:spacing w:line="360" w:lineRule="auto"/>
        <w:jc w:val="both"/>
      </w:pPr>
      <w:r>
        <w:t xml:space="preserve">The WG reviewed the consultation responses, noting that the majority felt that the change should apply to new SoLRs only. </w:t>
      </w:r>
    </w:p>
    <w:p w14:paraId="5AC6FBF1" w14:textId="301F3C6D" w:rsidR="00293C2D" w:rsidRDefault="00E25E4A" w:rsidP="00707ACD">
      <w:pPr>
        <w:pStyle w:val="ListParagraph"/>
        <w:numPr>
          <w:ilvl w:val="1"/>
          <w:numId w:val="14"/>
        </w:numPr>
        <w:spacing w:line="360" w:lineRule="auto"/>
        <w:jc w:val="both"/>
      </w:pPr>
      <w:r>
        <w:t xml:space="preserve">The WG </w:t>
      </w:r>
      <w:r w:rsidR="00293C2D">
        <w:t xml:space="preserve">discussed and </w:t>
      </w:r>
      <w:r>
        <w:t>agreed with the majority view for this to be applied to new SoLRs only rather than all.</w:t>
      </w:r>
      <w:bookmarkStart w:id="18" w:name="_Toc110371103"/>
      <w:bookmarkStart w:id="19" w:name="_Toc318967200"/>
      <w:bookmarkStart w:id="20" w:name="_Toc110371104"/>
      <w:bookmarkEnd w:id="17"/>
      <w:bookmarkEnd w:id="18"/>
    </w:p>
    <w:p w14:paraId="395DEA47" w14:textId="23143588" w:rsidR="00707ACD" w:rsidRDefault="00707ACD" w:rsidP="00707ACD">
      <w:pPr>
        <w:pStyle w:val="ListParagraph"/>
        <w:numPr>
          <w:ilvl w:val="1"/>
          <w:numId w:val="14"/>
        </w:numPr>
        <w:spacing w:line="360" w:lineRule="auto"/>
        <w:jc w:val="both"/>
      </w:pPr>
      <w:r>
        <w:t xml:space="preserve">The Proposer </w:t>
      </w:r>
      <w:r w:rsidR="00763F63">
        <w:t xml:space="preserve">agreed to for the alternative solution to apply to existing SoLRs. </w:t>
      </w:r>
    </w:p>
    <w:p w14:paraId="41B572EA" w14:textId="6E8AB823" w:rsidR="00263600" w:rsidRPr="00EB32BB" w:rsidRDefault="00E27FED" w:rsidP="00293C2D">
      <w:pPr>
        <w:pStyle w:val="Heading03"/>
        <w:ind w:left="567" w:hanging="567"/>
      </w:pPr>
      <w:r>
        <w:t>Re</w:t>
      </w:r>
      <w:r w:rsidR="00263600" w:rsidRPr="00EB32BB">
        <w:t>levant</w:t>
      </w:r>
      <w:r w:rsidR="00551BF6">
        <w:t xml:space="preserve"> </w:t>
      </w:r>
      <w:r w:rsidR="00263600" w:rsidRPr="00EB32BB">
        <w:t>Objectives</w:t>
      </w:r>
      <w:bookmarkEnd w:id="19"/>
      <w:bookmarkEnd w:id="20"/>
    </w:p>
    <w:p w14:paraId="69064722" w14:textId="77777777" w:rsidR="00F04DA2" w:rsidRDefault="00F04DA2" w:rsidP="001E6639">
      <w:pPr>
        <w:pStyle w:val="Heading4"/>
      </w:pPr>
      <w:r w:rsidRPr="00F04DA2">
        <w:t>A</w:t>
      </w:r>
      <w:r>
        <w:t>ssessment A</w:t>
      </w:r>
      <w:r w:rsidRPr="00F04DA2">
        <w:t xml:space="preserve">gainst the </w:t>
      </w:r>
      <w:r>
        <w:t>DCUSA O</w:t>
      </w:r>
      <w:r w:rsidRPr="00F04DA2">
        <w:t>bjectives</w:t>
      </w:r>
    </w:p>
    <w:p w14:paraId="30E3D22C" w14:textId="455BC129" w:rsidR="00F04DA2" w:rsidRPr="00293C2D" w:rsidRDefault="00056DDB" w:rsidP="00293C2D">
      <w:pPr>
        <w:pStyle w:val="ListParagraph"/>
        <w:numPr>
          <w:ilvl w:val="1"/>
          <w:numId w:val="14"/>
        </w:numPr>
        <w:spacing w:line="360" w:lineRule="auto"/>
        <w:jc w:val="both"/>
      </w:pPr>
      <w:r w:rsidRPr="00293C2D">
        <w:t xml:space="preserve">For a DCUSA Change Proposal to be approved it must be demonstrated that it better facilitates the DCUSA Objectives. There are five General Objectives and six Charging Objectives. The full list of objectives is documented in the CP form provided </w:t>
      </w:r>
      <w:r w:rsidRPr="00284F86">
        <w:t xml:space="preserve">as Attachment </w:t>
      </w:r>
      <w:r w:rsidR="00284F86" w:rsidRPr="00284F86">
        <w:t>4</w:t>
      </w:r>
      <w:r w:rsidRPr="00284F86">
        <w:t>.</w:t>
      </w:r>
    </w:p>
    <w:p w14:paraId="2F02AE43" w14:textId="2AF6280B" w:rsidR="003B5723" w:rsidRPr="00293C2D" w:rsidRDefault="00E64783" w:rsidP="00293C2D">
      <w:pPr>
        <w:pStyle w:val="ListParagraph"/>
        <w:numPr>
          <w:ilvl w:val="1"/>
          <w:numId w:val="14"/>
        </w:numPr>
        <w:spacing w:line="360" w:lineRule="auto"/>
        <w:jc w:val="both"/>
      </w:pPr>
      <w:r w:rsidRPr="00293C2D">
        <w:t>The Working Group considers that the following DCUSA Objectives are better facilitated by DCP 409.</w:t>
      </w:r>
    </w:p>
    <w:tbl>
      <w:tblPr>
        <w:tblW w:w="9639" w:type="dxa"/>
        <w:tblInd w:w="15"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Layout w:type="fixed"/>
        <w:tblCellMar>
          <w:left w:w="0" w:type="dxa"/>
          <w:right w:w="0" w:type="dxa"/>
        </w:tblCellMar>
        <w:tblLook w:val="01E0" w:firstRow="1" w:lastRow="1" w:firstColumn="1" w:lastColumn="1" w:noHBand="0" w:noVBand="0"/>
      </w:tblPr>
      <w:tblGrid>
        <w:gridCol w:w="7230"/>
        <w:gridCol w:w="2409"/>
      </w:tblGrid>
      <w:tr w:rsidR="003806D4" w:rsidRPr="00674659" w14:paraId="50ABB949" w14:textId="77777777" w:rsidTr="00260E70">
        <w:trPr>
          <w:cantSplit/>
          <w:trHeight w:val="397"/>
        </w:trPr>
        <w:tc>
          <w:tcPr>
            <w:tcW w:w="7230" w:type="dxa"/>
          </w:tcPr>
          <w:p w14:paraId="33A3D5F8" w14:textId="77777777" w:rsidR="003806D4" w:rsidRPr="00845FD4" w:rsidRDefault="003806D4" w:rsidP="009456EB">
            <w:pPr>
              <w:pStyle w:val="Heading4"/>
            </w:pPr>
            <w:r w:rsidRPr="00D30CB9">
              <w:t>DCUSA General Objectives</w:t>
            </w:r>
          </w:p>
        </w:tc>
        <w:tc>
          <w:tcPr>
            <w:tcW w:w="2409" w:type="dxa"/>
          </w:tcPr>
          <w:p w14:paraId="2F5450C7" w14:textId="77777777" w:rsidR="003806D4" w:rsidRPr="0060253F" w:rsidRDefault="003806D4" w:rsidP="00260E70">
            <w:pPr>
              <w:ind w:left="113" w:right="113"/>
              <w:rPr>
                <w:b/>
              </w:rPr>
            </w:pPr>
            <w:r w:rsidRPr="0060253F">
              <w:rPr>
                <w:b/>
              </w:rPr>
              <w:t>Identified impact</w:t>
            </w:r>
          </w:p>
        </w:tc>
      </w:tr>
      <w:tr w:rsidR="00DB5DF8" w:rsidRPr="00674659" w14:paraId="3F34908F" w14:textId="77777777" w:rsidTr="00260E70">
        <w:trPr>
          <w:cantSplit/>
          <w:trHeight w:val="397"/>
        </w:trPr>
        <w:tc>
          <w:tcPr>
            <w:tcW w:w="7230" w:type="dxa"/>
          </w:tcPr>
          <w:p w14:paraId="66EFFAF0" w14:textId="77777777" w:rsidR="00DB5DF8" w:rsidRPr="009146AA" w:rsidRDefault="00DB5DF8" w:rsidP="00DB5DF8">
            <w:pPr>
              <w:pStyle w:val="BodyText"/>
              <w:ind w:left="546" w:hanging="546"/>
              <w:rPr>
                <w:rFonts w:cs="Arial"/>
                <w:noProof/>
              </w:rPr>
            </w:pPr>
            <w:r w:rsidRPr="009146AA">
              <w:rPr>
                <w:rFonts w:cs="Arial"/>
                <w:noProof/>
              </w:rPr>
              <w:fldChar w:fldCharType="begin">
                <w:ffData>
                  <w:name w:val="Check5"/>
                  <w:enabled/>
                  <w:calcOnExit w:val="0"/>
                  <w:checkBox>
                    <w:sizeAuto/>
                    <w:default w:val="0"/>
                  </w:checkBox>
                </w:ffData>
              </w:fldChar>
            </w:r>
            <w:r w:rsidRPr="009146AA">
              <w:rPr>
                <w:rFonts w:cs="Arial"/>
                <w:noProof/>
              </w:rPr>
              <w:instrText xml:space="preserve"> FORMCHECKBOX </w:instrText>
            </w:r>
            <w:r w:rsidR="00284F86">
              <w:rPr>
                <w:rFonts w:cs="Arial"/>
                <w:noProof/>
              </w:rPr>
            </w:r>
            <w:r w:rsidR="00284F86">
              <w:rPr>
                <w:rFonts w:cs="Arial"/>
                <w:noProof/>
              </w:rPr>
              <w:fldChar w:fldCharType="separate"/>
            </w:r>
            <w:r w:rsidRPr="009146AA">
              <w:rPr>
                <w:rFonts w:cs="Arial"/>
                <w:noProof/>
              </w:rPr>
              <w:fldChar w:fldCharType="end"/>
            </w:r>
            <w:r w:rsidRPr="009146AA">
              <w:rPr>
                <w:rFonts w:cs="Arial"/>
                <w:noProof/>
              </w:rPr>
              <w:t xml:space="preserve"> 1 The development, maintenance and operation by the DNO Parties and IDNO Parties of efficient, co-ordinated, and economical Distribution Networks</w:t>
            </w:r>
          </w:p>
        </w:tc>
        <w:tc>
          <w:tcPr>
            <w:tcW w:w="2409" w:type="dxa"/>
          </w:tcPr>
          <w:p w14:paraId="1F7AA5BA" w14:textId="75EF5A3B" w:rsidR="00DB5DF8" w:rsidRPr="00EB32BB" w:rsidRDefault="00EF5AB0" w:rsidP="00DB5DF8">
            <w:pPr>
              <w:ind w:left="113" w:right="113"/>
            </w:pPr>
            <w:r>
              <w:rPr>
                <w:rFonts w:cs="Arial"/>
              </w:rPr>
              <w:t xml:space="preserve">Neutral </w:t>
            </w:r>
          </w:p>
        </w:tc>
      </w:tr>
      <w:tr w:rsidR="00DB5DF8" w:rsidRPr="00674659" w14:paraId="260981B3" w14:textId="77777777" w:rsidTr="00260E70">
        <w:trPr>
          <w:cantSplit/>
          <w:trHeight w:val="397"/>
        </w:trPr>
        <w:tc>
          <w:tcPr>
            <w:tcW w:w="7230" w:type="dxa"/>
          </w:tcPr>
          <w:p w14:paraId="5E9A9C6F" w14:textId="400E217D" w:rsidR="00DB5DF8" w:rsidRPr="009146AA" w:rsidRDefault="005A70A8" w:rsidP="00DB5DF8">
            <w:pPr>
              <w:pStyle w:val="BodyText"/>
              <w:ind w:left="546" w:hanging="546"/>
              <w:rPr>
                <w:rFonts w:cs="Arial"/>
                <w:noProof/>
              </w:rPr>
            </w:pPr>
            <w:r>
              <w:rPr>
                <w:rFonts w:cs="Arial"/>
                <w:noProof/>
              </w:rPr>
              <w:fldChar w:fldCharType="begin">
                <w:ffData>
                  <w:name w:val="Check6"/>
                  <w:enabled/>
                  <w:calcOnExit w:val="0"/>
                  <w:checkBox>
                    <w:sizeAuto/>
                    <w:default w:val="1"/>
                  </w:checkBox>
                </w:ffData>
              </w:fldChar>
            </w:r>
            <w:bookmarkStart w:id="21" w:name="Check6"/>
            <w:r>
              <w:rPr>
                <w:rFonts w:cs="Arial"/>
                <w:noProof/>
              </w:rPr>
              <w:instrText xml:space="preserve"> FORMCHECKBOX </w:instrText>
            </w:r>
            <w:r w:rsidR="00284F86">
              <w:rPr>
                <w:rFonts w:cs="Arial"/>
                <w:noProof/>
              </w:rPr>
            </w:r>
            <w:r w:rsidR="00284F86">
              <w:rPr>
                <w:rFonts w:cs="Arial"/>
                <w:noProof/>
              </w:rPr>
              <w:fldChar w:fldCharType="separate"/>
            </w:r>
            <w:r>
              <w:rPr>
                <w:rFonts w:cs="Arial"/>
                <w:noProof/>
              </w:rPr>
              <w:fldChar w:fldCharType="end"/>
            </w:r>
            <w:bookmarkEnd w:id="21"/>
            <w:r w:rsidR="00DB5DF8" w:rsidRPr="009146AA">
              <w:rPr>
                <w:rFonts w:cs="Arial"/>
                <w:noProof/>
              </w:rPr>
              <w:t xml:space="preserve"> 2 The facilitation of effective competition in the generation and supply of electricity and (so far as is consistent therewith) the promotion of such competition in the sale, distribution and purchase of electricity</w:t>
            </w:r>
          </w:p>
        </w:tc>
        <w:tc>
          <w:tcPr>
            <w:tcW w:w="2409" w:type="dxa"/>
          </w:tcPr>
          <w:p w14:paraId="6C702A09" w14:textId="77777777" w:rsidR="00DB5DF8" w:rsidRPr="00EB32BB" w:rsidRDefault="00DB5DF8" w:rsidP="00DB5DF8">
            <w:pPr>
              <w:ind w:left="113" w:right="113"/>
            </w:pPr>
            <w:r w:rsidRPr="004155E5">
              <w:rPr>
                <w:rFonts w:cs="Arial"/>
              </w:rPr>
              <w:t>Positive</w:t>
            </w:r>
          </w:p>
        </w:tc>
      </w:tr>
      <w:tr w:rsidR="00DB5DF8" w:rsidRPr="00674659" w14:paraId="6649711A" w14:textId="77777777" w:rsidTr="00260E70">
        <w:trPr>
          <w:cantSplit/>
          <w:trHeight w:val="397"/>
        </w:trPr>
        <w:tc>
          <w:tcPr>
            <w:tcW w:w="7230" w:type="dxa"/>
          </w:tcPr>
          <w:p w14:paraId="55C16F31" w14:textId="77777777" w:rsidR="00DB5DF8" w:rsidRPr="009146AA" w:rsidRDefault="00DB5DF8" w:rsidP="00DB5DF8">
            <w:pPr>
              <w:pStyle w:val="BodyText"/>
              <w:ind w:left="546" w:hanging="546"/>
              <w:rPr>
                <w:rFonts w:cs="Arial"/>
                <w:noProof/>
              </w:rPr>
            </w:pPr>
            <w:r w:rsidRPr="0060253F">
              <w:rPr>
                <w:rFonts w:cs="Arial"/>
                <w:noProof/>
              </w:rPr>
              <w:fldChar w:fldCharType="begin">
                <w:ffData>
                  <w:name w:val="Check6"/>
                  <w:enabled/>
                  <w:calcOnExit w:val="0"/>
                  <w:checkBox>
                    <w:sizeAuto/>
                    <w:default w:val="0"/>
                  </w:checkBox>
                </w:ffData>
              </w:fldChar>
            </w:r>
            <w:r w:rsidRPr="0060253F">
              <w:rPr>
                <w:rFonts w:cs="Arial"/>
                <w:noProof/>
              </w:rPr>
              <w:instrText xml:space="preserve"> FORMCHECKBOX </w:instrText>
            </w:r>
            <w:r w:rsidR="00284F86">
              <w:rPr>
                <w:rFonts w:cs="Arial"/>
                <w:noProof/>
              </w:rPr>
            </w:r>
            <w:r w:rsidR="00284F86">
              <w:rPr>
                <w:rFonts w:cs="Arial"/>
                <w:noProof/>
              </w:rPr>
              <w:fldChar w:fldCharType="separate"/>
            </w:r>
            <w:r w:rsidRPr="0060253F">
              <w:rPr>
                <w:rFonts w:cs="Arial"/>
                <w:noProof/>
              </w:rPr>
              <w:fldChar w:fldCharType="end"/>
            </w:r>
            <w:r>
              <w:rPr>
                <w:rFonts w:cs="Arial"/>
                <w:noProof/>
              </w:rPr>
              <w:t xml:space="preserve"> </w:t>
            </w:r>
            <w:r w:rsidRPr="009146AA">
              <w:rPr>
                <w:rFonts w:cs="Arial"/>
                <w:noProof/>
              </w:rPr>
              <w:t>3 The efficient discharge by the DNO Parties and IDNO Parties of obligations imposed upon them in their Distribution Licences</w:t>
            </w:r>
          </w:p>
        </w:tc>
        <w:tc>
          <w:tcPr>
            <w:tcW w:w="2409" w:type="dxa"/>
          </w:tcPr>
          <w:p w14:paraId="78D3895B" w14:textId="6B2EDE4F" w:rsidR="00DB5DF8" w:rsidRDefault="00EF5AB0" w:rsidP="00DB5DF8">
            <w:pPr>
              <w:ind w:left="113" w:right="113"/>
            </w:pPr>
            <w:r>
              <w:rPr>
                <w:rFonts w:cs="Arial"/>
              </w:rPr>
              <w:t>Neutral</w:t>
            </w:r>
          </w:p>
        </w:tc>
      </w:tr>
      <w:tr w:rsidR="00DB5DF8" w:rsidRPr="00674659" w14:paraId="2E84F825" w14:textId="77777777" w:rsidTr="00260E70">
        <w:trPr>
          <w:cantSplit/>
          <w:trHeight w:val="397"/>
        </w:trPr>
        <w:tc>
          <w:tcPr>
            <w:tcW w:w="7230" w:type="dxa"/>
          </w:tcPr>
          <w:p w14:paraId="2A84D4D4" w14:textId="77777777" w:rsidR="00DB5DF8" w:rsidRPr="009146AA" w:rsidRDefault="00DB5DF8" w:rsidP="00DB5DF8">
            <w:pPr>
              <w:pStyle w:val="BodyText"/>
              <w:ind w:left="546" w:hanging="546"/>
              <w:rPr>
                <w:rFonts w:cs="Arial"/>
                <w:noProof/>
              </w:rPr>
            </w:pPr>
            <w:r w:rsidRPr="009146AA">
              <w:rPr>
                <w:rFonts w:cs="Arial"/>
                <w:noProof/>
              </w:rPr>
              <w:fldChar w:fldCharType="begin">
                <w:ffData>
                  <w:name w:val="Check8"/>
                  <w:enabled/>
                  <w:calcOnExit w:val="0"/>
                  <w:checkBox>
                    <w:sizeAuto/>
                    <w:default w:val="0"/>
                  </w:checkBox>
                </w:ffData>
              </w:fldChar>
            </w:r>
            <w:r w:rsidRPr="009146AA">
              <w:rPr>
                <w:rFonts w:cs="Arial"/>
                <w:noProof/>
              </w:rPr>
              <w:instrText xml:space="preserve"> FORMCHECKBOX </w:instrText>
            </w:r>
            <w:r w:rsidR="00284F86">
              <w:rPr>
                <w:rFonts w:cs="Arial"/>
                <w:noProof/>
              </w:rPr>
            </w:r>
            <w:r w:rsidR="00284F86">
              <w:rPr>
                <w:rFonts w:cs="Arial"/>
                <w:noProof/>
              </w:rPr>
              <w:fldChar w:fldCharType="separate"/>
            </w:r>
            <w:r w:rsidRPr="009146AA">
              <w:rPr>
                <w:rFonts w:cs="Arial"/>
                <w:noProof/>
              </w:rPr>
              <w:fldChar w:fldCharType="end"/>
            </w:r>
            <w:r w:rsidRPr="009146AA">
              <w:rPr>
                <w:rFonts w:cs="Arial"/>
                <w:noProof/>
              </w:rPr>
              <w:t xml:space="preserve"> 4  The promotion of efficiency in the implementation and administration of </w:t>
            </w:r>
            <w:r>
              <w:rPr>
                <w:rFonts w:cs="Arial"/>
                <w:noProof/>
              </w:rPr>
              <w:t>the DCUSA</w:t>
            </w:r>
          </w:p>
        </w:tc>
        <w:tc>
          <w:tcPr>
            <w:tcW w:w="2409" w:type="dxa"/>
          </w:tcPr>
          <w:p w14:paraId="35BCFEBA" w14:textId="04CE5123" w:rsidR="00DB5DF8" w:rsidRDefault="00DB5DF8" w:rsidP="001021F6">
            <w:r>
              <w:rPr>
                <w:rFonts w:cs="Arial"/>
              </w:rPr>
              <w:t xml:space="preserve">  </w:t>
            </w:r>
            <w:r w:rsidR="00EF5AB0">
              <w:rPr>
                <w:rFonts w:cs="Arial"/>
              </w:rPr>
              <w:t>Neutral</w:t>
            </w:r>
          </w:p>
        </w:tc>
      </w:tr>
      <w:tr w:rsidR="00DB5DF8" w:rsidRPr="00674659" w14:paraId="55F0DCFB" w14:textId="77777777" w:rsidTr="00260E70">
        <w:trPr>
          <w:cantSplit/>
          <w:trHeight w:val="397"/>
        </w:trPr>
        <w:tc>
          <w:tcPr>
            <w:tcW w:w="7230" w:type="dxa"/>
          </w:tcPr>
          <w:p w14:paraId="3E305D5D" w14:textId="77777777" w:rsidR="00DB5DF8" w:rsidRPr="00E46C74" w:rsidRDefault="00DB5DF8" w:rsidP="00DB5DF8">
            <w:pPr>
              <w:pStyle w:val="BodyText"/>
              <w:ind w:left="546" w:hanging="546"/>
              <w:rPr>
                <w:rFonts w:cs="Arial"/>
                <w:noProof/>
              </w:rPr>
            </w:pPr>
            <w:r w:rsidRPr="009146AA">
              <w:rPr>
                <w:rFonts w:cs="Arial"/>
                <w:noProof/>
              </w:rPr>
              <w:fldChar w:fldCharType="begin">
                <w:ffData>
                  <w:name w:val="Check8"/>
                  <w:enabled/>
                  <w:calcOnExit w:val="0"/>
                  <w:checkBox>
                    <w:sizeAuto/>
                    <w:default w:val="0"/>
                  </w:checkBox>
                </w:ffData>
              </w:fldChar>
            </w:r>
            <w:r w:rsidRPr="009146AA">
              <w:rPr>
                <w:rFonts w:cs="Arial"/>
                <w:noProof/>
              </w:rPr>
              <w:instrText xml:space="preserve"> FORMCHECKBOX </w:instrText>
            </w:r>
            <w:r w:rsidR="00284F86">
              <w:rPr>
                <w:rFonts w:cs="Arial"/>
                <w:noProof/>
              </w:rPr>
            </w:r>
            <w:r w:rsidR="00284F86">
              <w:rPr>
                <w:rFonts w:cs="Arial"/>
                <w:noProof/>
              </w:rPr>
              <w:fldChar w:fldCharType="separate"/>
            </w:r>
            <w:r w:rsidRPr="009146AA">
              <w:rPr>
                <w:rFonts w:cs="Arial"/>
                <w:noProof/>
              </w:rPr>
              <w:fldChar w:fldCharType="end"/>
            </w:r>
            <w:r w:rsidRPr="009146AA">
              <w:rPr>
                <w:rFonts w:cs="Arial"/>
                <w:noProof/>
              </w:rPr>
              <w:t xml:space="preserve"> 5 </w:t>
            </w:r>
            <w:r w:rsidRPr="00E46C74">
              <w:rPr>
                <w:rFonts w:cs="Arial"/>
                <w:noProof/>
              </w:rPr>
              <w:t>Compliance with the Regulation on Cross-Border Exchange in Electricity and any relevant legally binding decisions of the European Commission and/or the Agency for the Co-operation of Energy Regulators.</w:t>
            </w:r>
          </w:p>
        </w:tc>
        <w:tc>
          <w:tcPr>
            <w:tcW w:w="2409" w:type="dxa"/>
          </w:tcPr>
          <w:p w14:paraId="607A7BEB" w14:textId="4ADDF77F" w:rsidR="00DB5DF8" w:rsidRDefault="00721D36" w:rsidP="00DB5DF8">
            <w:pPr>
              <w:ind w:left="113" w:right="113"/>
            </w:pPr>
            <w:r>
              <w:rPr>
                <w:rFonts w:cs="Arial"/>
              </w:rPr>
              <w:t>Neutral</w:t>
            </w:r>
          </w:p>
        </w:tc>
      </w:tr>
    </w:tbl>
    <w:p w14:paraId="324CF30F" w14:textId="422088DC" w:rsidR="00D33BDB" w:rsidRPr="00002699" w:rsidRDefault="00D33BDB" w:rsidP="00293C2D">
      <w:pPr>
        <w:pStyle w:val="ListParagraph"/>
        <w:numPr>
          <w:ilvl w:val="1"/>
          <w:numId w:val="14"/>
        </w:numPr>
        <w:spacing w:line="360" w:lineRule="auto"/>
        <w:jc w:val="both"/>
      </w:pPr>
      <w:r w:rsidRPr="00D33BDB">
        <w:t xml:space="preserve">This change will better facilitate DCUSA General Objective 2 in that by including Last Resort </w:t>
      </w:r>
      <w:r w:rsidR="009E78BD">
        <w:t>Supplier</w:t>
      </w:r>
      <w:r w:rsidRPr="00D33BDB">
        <w:t xml:space="preserve"> Payments in the calculation of Value at Risk, </w:t>
      </w:r>
      <w:r w:rsidR="009E78BD">
        <w:t>Supplier</w:t>
      </w:r>
      <w:r w:rsidRPr="00D33BDB">
        <w:t>s can reduce their costs of providing credit cover and thereby could reduce costs to consumers which will better facilitate competition in the Supply of electricity.</w:t>
      </w:r>
    </w:p>
    <w:p w14:paraId="6DAC2B49" w14:textId="4EF29EA4" w:rsidR="00574742" w:rsidRPr="00EB32BB" w:rsidRDefault="00574742" w:rsidP="006D62F9">
      <w:pPr>
        <w:pStyle w:val="Heading03"/>
        <w:rPr>
          <w:noProof/>
        </w:rPr>
      </w:pPr>
      <w:bookmarkStart w:id="22" w:name="_Toc110371105"/>
      <w:r w:rsidRPr="00EB32BB">
        <w:rPr>
          <w:noProof/>
        </w:rPr>
        <w:t xml:space="preserve">Impacts </w:t>
      </w:r>
      <w:r>
        <w:rPr>
          <w:noProof/>
        </w:rPr>
        <w:t>&amp; Other Considerations</w:t>
      </w:r>
      <w:bookmarkEnd w:id="22"/>
    </w:p>
    <w:p w14:paraId="01057A85" w14:textId="77777777" w:rsidR="00C479AA" w:rsidRPr="004155E5" w:rsidRDefault="00C479AA" w:rsidP="00C479AA">
      <w:pPr>
        <w:pStyle w:val="Heading4"/>
        <w:keepNext w:val="0"/>
        <w:rPr>
          <w:i/>
          <w:iCs/>
        </w:rPr>
      </w:pPr>
      <w:bookmarkStart w:id="23" w:name="_Toc318967201"/>
      <w:r w:rsidRPr="004155E5">
        <w:t>Who (i.e., which Industry roles) are impacted?</w:t>
      </w:r>
    </w:p>
    <w:p w14:paraId="4A3A027A" w14:textId="06E46482" w:rsidR="00C479AA" w:rsidRPr="00293C2D" w:rsidRDefault="00A847CD" w:rsidP="00C479AA">
      <w:pPr>
        <w:pStyle w:val="ListParagraph"/>
        <w:numPr>
          <w:ilvl w:val="1"/>
          <w:numId w:val="14"/>
        </w:numPr>
        <w:spacing w:line="360" w:lineRule="auto"/>
        <w:jc w:val="both"/>
      </w:pPr>
      <w:r w:rsidRPr="00293C2D">
        <w:t>N</w:t>
      </w:r>
      <w:r w:rsidR="00293C2D">
        <w:t xml:space="preserve">/a. </w:t>
      </w:r>
    </w:p>
    <w:p w14:paraId="2B348EE4" w14:textId="77777777" w:rsidR="00C479AA" w:rsidRPr="004155E5" w:rsidRDefault="00C479AA" w:rsidP="00C479AA">
      <w:pPr>
        <w:pStyle w:val="Heading4"/>
        <w:keepNext w:val="0"/>
        <w:rPr>
          <w:i/>
          <w:iCs/>
        </w:rPr>
      </w:pPr>
      <w:r w:rsidRPr="004155E5">
        <w:t>Does this Change Proposal impact Other Codes?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6"/>
        <w:gridCol w:w="1903"/>
      </w:tblGrid>
      <w:tr w:rsidR="00C479AA" w:rsidRPr="004155E5" w14:paraId="3CA978A7" w14:textId="77777777" w:rsidTr="007806BA">
        <w:trPr>
          <w:trHeight w:val="258"/>
        </w:trPr>
        <w:tc>
          <w:tcPr>
            <w:tcW w:w="1466" w:type="dxa"/>
            <w:tcBorders>
              <w:top w:val="nil"/>
              <w:left w:val="nil"/>
              <w:bottom w:val="nil"/>
              <w:right w:val="nil"/>
            </w:tcBorders>
          </w:tcPr>
          <w:p w14:paraId="1A5A94FA" w14:textId="77777777" w:rsidR="00C479AA" w:rsidRPr="004155E5" w:rsidRDefault="00C479AA" w:rsidP="007806BA">
            <w:pPr>
              <w:spacing w:line="240" w:lineRule="auto"/>
              <w:rPr>
                <w:rFonts w:cs="Arial"/>
                <w:noProof/>
                <w:szCs w:val="20"/>
              </w:rPr>
            </w:pPr>
            <w:r w:rsidRPr="004155E5">
              <w:rPr>
                <w:rFonts w:cs="Arial"/>
                <w:noProof/>
                <w:szCs w:val="20"/>
              </w:rPr>
              <w:lastRenderedPageBreak/>
              <w:t xml:space="preserve">BSC              </w:t>
            </w:r>
          </w:p>
          <w:p w14:paraId="2011EDA0" w14:textId="77777777" w:rsidR="00C479AA" w:rsidRPr="004155E5" w:rsidRDefault="00C479AA" w:rsidP="007806BA">
            <w:pPr>
              <w:spacing w:line="240" w:lineRule="auto"/>
              <w:rPr>
                <w:rFonts w:cs="Arial"/>
                <w:noProof/>
                <w:szCs w:val="20"/>
              </w:rPr>
            </w:pPr>
            <w:r w:rsidRPr="004155E5">
              <w:rPr>
                <w:rFonts w:cs="Arial"/>
                <w:noProof/>
                <w:szCs w:val="20"/>
              </w:rPr>
              <w:t xml:space="preserve">CUSC            </w:t>
            </w:r>
          </w:p>
          <w:p w14:paraId="6AD5CC71" w14:textId="77777777" w:rsidR="00C479AA" w:rsidRPr="004155E5" w:rsidRDefault="00C479AA" w:rsidP="007806BA">
            <w:pPr>
              <w:spacing w:line="240" w:lineRule="auto"/>
              <w:rPr>
                <w:rFonts w:cs="Arial"/>
                <w:noProof/>
                <w:szCs w:val="20"/>
              </w:rPr>
            </w:pPr>
            <w:r w:rsidRPr="004155E5">
              <w:rPr>
                <w:rFonts w:cs="Arial"/>
                <w:noProof/>
                <w:szCs w:val="20"/>
              </w:rPr>
              <w:t xml:space="preserve">Grid Code      </w:t>
            </w:r>
          </w:p>
          <w:p w14:paraId="27110988" w14:textId="77777777" w:rsidR="00C479AA" w:rsidRPr="004155E5" w:rsidRDefault="00C479AA" w:rsidP="007806BA">
            <w:pPr>
              <w:spacing w:line="240" w:lineRule="auto"/>
              <w:rPr>
                <w:rFonts w:cs="Arial"/>
                <w:noProof/>
                <w:szCs w:val="20"/>
              </w:rPr>
            </w:pPr>
            <w:r w:rsidRPr="004155E5">
              <w:rPr>
                <w:rFonts w:cs="Arial"/>
                <w:noProof/>
                <w:szCs w:val="20"/>
              </w:rPr>
              <w:t xml:space="preserve">MRA              </w:t>
            </w:r>
          </w:p>
          <w:p w14:paraId="53A77142" w14:textId="77777777" w:rsidR="00C479AA" w:rsidRPr="004155E5" w:rsidRDefault="00C479AA" w:rsidP="007806BA">
            <w:pPr>
              <w:spacing w:line="240" w:lineRule="auto"/>
              <w:rPr>
                <w:rFonts w:cs="Arial"/>
                <w:noProof/>
                <w:szCs w:val="20"/>
              </w:rPr>
            </w:pPr>
            <w:r w:rsidRPr="004155E5">
              <w:rPr>
                <w:rFonts w:cs="Arial"/>
                <w:noProof/>
                <w:szCs w:val="20"/>
              </w:rPr>
              <w:t>SEC</w:t>
            </w:r>
          </w:p>
          <w:p w14:paraId="59B0DC6C" w14:textId="77777777" w:rsidR="00C479AA" w:rsidRPr="004155E5" w:rsidRDefault="00C479AA" w:rsidP="007806BA">
            <w:pPr>
              <w:spacing w:line="240" w:lineRule="auto"/>
              <w:rPr>
                <w:rFonts w:cs="Arial"/>
                <w:noProof/>
                <w:szCs w:val="20"/>
              </w:rPr>
            </w:pPr>
            <w:r w:rsidRPr="004155E5">
              <w:rPr>
                <w:rFonts w:cs="Arial"/>
                <w:noProof/>
                <w:szCs w:val="20"/>
              </w:rPr>
              <w:t xml:space="preserve">Other          </w:t>
            </w:r>
          </w:p>
          <w:p w14:paraId="71050734" w14:textId="77777777" w:rsidR="00C479AA" w:rsidRPr="004155E5" w:rsidRDefault="00C479AA" w:rsidP="007806BA">
            <w:pPr>
              <w:spacing w:line="240" w:lineRule="auto"/>
              <w:rPr>
                <w:rFonts w:cs="Arial"/>
                <w:noProof/>
                <w:szCs w:val="20"/>
              </w:rPr>
            </w:pPr>
            <w:r w:rsidRPr="004155E5">
              <w:rPr>
                <w:rFonts w:cs="Arial"/>
                <w:noProof/>
                <w:szCs w:val="20"/>
              </w:rPr>
              <w:t>None</w:t>
            </w:r>
          </w:p>
        </w:tc>
        <w:tc>
          <w:tcPr>
            <w:tcW w:w="1903" w:type="dxa"/>
            <w:tcBorders>
              <w:top w:val="nil"/>
              <w:left w:val="nil"/>
              <w:bottom w:val="nil"/>
              <w:right w:val="nil"/>
            </w:tcBorders>
          </w:tcPr>
          <w:p w14:paraId="68F24C46" w14:textId="77777777" w:rsidR="00C479AA" w:rsidRPr="004155E5" w:rsidRDefault="00C479AA" w:rsidP="007806BA">
            <w:pPr>
              <w:spacing w:line="240" w:lineRule="auto"/>
              <w:rPr>
                <w:rFonts w:cs="Arial"/>
                <w:noProof/>
                <w:szCs w:val="20"/>
              </w:rPr>
            </w:pPr>
            <w:r w:rsidRPr="004155E5">
              <w:rPr>
                <w:rFonts w:cs="Arial"/>
                <w:noProof/>
                <w:szCs w:val="20"/>
              </w:rPr>
              <w:fldChar w:fldCharType="begin">
                <w:ffData>
                  <w:name w:val="Check9"/>
                  <w:enabled/>
                  <w:calcOnExit w:val="0"/>
                  <w:checkBox>
                    <w:sizeAuto/>
                    <w:default w:val="0"/>
                  </w:checkBox>
                </w:ffData>
              </w:fldChar>
            </w:r>
            <w:bookmarkStart w:id="24" w:name="Check9"/>
            <w:r w:rsidRPr="004155E5">
              <w:rPr>
                <w:rFonts w:cs="Arial"/>
                <w:noProof/>
                <w:szCs w:val="20"/>
              </w:rPr>
              <w:instrText xml:space="preserve"> FORMCHECKBOX </w:instrText>
            </w:r>
            <w:r w:rsidR="00284F86">
              <w:rPr>
                <w:rFonts w:cs="Arial"/>
                <w:noProof/>
                <w:szCs w:val="20"/>
              </w:rPr>
            </w:r>
            <w:r w:rsidR="00284F86">
              <w:rPr>
                <w:rFonts w:cs="Arial"/>
                <w:noProof/>
                <w:szCs w:val="20"/>
              </w:rPr>
              <w:fldChar w:fldCharType="separate"/>
            </w:r>
            <w:r w:rsidRPr="004155E5">
              <w:rPr>
                <w:rFonts w:cs="Arial"/>
                <w:noProof/>
                <w:szCs w:val="20"/>
              </w:rPr>
              <w:fldChar w:fldCharType="end"/>
            </w:r>
            <w:bookmarkEnd w:id="24"/>
          </w:p>
          <w:p w14:paraId="32651955" w14:textId="730AE9BE" w:rsidR="00C479AA" w:rsidRPr="004155E5" w:rsidRDefault="00DC6125" w:rsidP="007806BA">
            <w:pPr>
              <w:spacing w:line="240" w:lineRule="auto"/>
              <w:rPr>
                <w:rFonts w:cs="Arial"/>
                <w:noProof/>
                <w:szCs w:val="20"/>
              </w:rPr>
            </w:pPr>
            <w:r>
              <w:rPr>
                <w:rFonts w:cs="Arial"/>
                <w:noProof/>
                <w:szCs w:val="20"/>
              </w:rPr>
              <w:fldChar w:fldCharType="begin">
                <w:ffData>
                  <w:name w:val=""/>
                  <w:enabled w:val="0"/>
                  <w:calcOnExit w:val="0"/>
                  <w:checkBox>
                    <w:sizeAuto/>
                    <w:default w:val="0"/>
                  </w:checkBox>
                </w:ffData>
              </w:fldChar>
            </w:r>
            <w:r>
              <w:rPr>
                <w:rFonts w:cs="Arial"/>
                <w:noProof/>
                <w:szCs w:val="20"/>
              </w:rPr>
              <w:instrText xml:space="preserve"> FORMCHECKBOX </w:instrText>
            </w:r>
            <w:r w:rsidR="00284F86">
              <w:rPr>
                <w:rFonts w:cs="Arial"/>
                <w:noProof/>
                <w:szCs w:val="20"/>
              </w:rPr>
            </w:r>
            <w:r w:rsidR="00284F86">
              <w:rPr>
                <w:rFonts w:cs="Arial"/>
                <w:noProof/>
                <w:szCs w:val="20"/>
              </w:rPr>
              <w:fldChar w:fldCharType="separate"/>
            </w:r>
            <w:r>
              <w:rPr>
                <w:rFonts w:cs="Arial"/>
                <w:noProof/>
                <w:szCs w:val="20"/>
              </w:rPr>
              <w:fldChar w:fldCharType="end"/>
            </w:r>
          </w:p>
          <w:p w14:paraId="6B89AE0A" w14:textId="77777777" w:rsidR="00C479AA" w:rsidRPr="004155E5" w:rsidRDefault="00C479AA" w:rsidP="007806BA">
            <w:pPr>
              <w:spacing w:line="240" w:lineRule="auto"/>
              <w:rPr>
                <w:rFonts w:cs="Arial"/>
                <w:noProof/>
                <w:szCs w:val="20"/>
              </w:rPr>
            </w:pPr>
            <w:r w:rsidRPr="004155E5">
              <w:rPr>
                <w:rFonts w:cs="Arial"/>
                <w:noProof/>
                <w:szCs w:val="20"/>
              </w:rPr>
              <w:fldChar w:fldCharType="begin">
                <w:ffData>
                  <w:name w:val="Check11"/>
                  <w:enabled/>
                  <w:calcOnExit w:val="0"/>
                  <w:checkBox>
                    <w:sizeAuto/>
                    <w:default w:val="0"/>
                  </w:checkBox>
                </w:ffData>
              </w:fldChar>
            </w:r>
            <w:bookmarkStart w:id="25" w:name="Check11"/>
            <w:r w:rsidRPr="004155E5">
              <w:rPr>
                <w:rFonts w:cs="Arial"/>
                <w:noProof/>
                <w:szCs w:val="20"/>
              </w:rPr>
              <w:instrText xml:space="preserve"> FORMCHECKBOX </w:instrText>
            </w:r>
            <w:r w:rsidR="00284F86">
              <w:rPr>
                <w:rFonts w:cs="Arial"/>
                <w:noProof/>
                <w:szCs w:val="20"/>
              </w:rPr>
            </w:r>
            <w:r w:rsidR="00284F86">
              <w:rPr>
                <w:rFonts w:cs="Arial"/>
                <w:noProof/>
                <w:szCs w:val="20"/>
              </w:rPr>
              <w:fldChar w:fldCharType="separate"/>
            </w:r>
            <w:r w:rsidRPr="004155E5">
              <w:rPr>
                <w:rFonts w:cs="Arial"/>
                <w:noProof/>
                <w:szCs w:val="20"/>
              </w:rPr>
              <w:fldChar w:fldCharType="end"/>
            </w:r>
            <w:bookmarkEnd w:id="25"/>
          </w:p>
          <w:p w14:paraId="1BE69F82" w14:textId="77777777" w:rsidR="00C479AA" w:rsidRPr="004155E5" w:rsidRDefault="00C479AA" w:rsidP="007806BA">
            <w:pPr>
              <w:spacing w:line="240" w:lineRule="auto"/>
              <w:rPr>
                <w:rFonts w:cs="Arial"/>
                <w:noProof/>
                <w:szCs w:val="20"/>
              </w:rPr>
            </w:pPr>
            <w:r w:rsidRPr="004155E5">
              <w:rPr>
                <w:rFonts w:cs="Arial"/>
                <w:noProof/>
                <w:szCs w:val="20"/>
              </w:rPr>
              <w:fldChar w:fldCharType="begin">
                <w:ffData>
                  <w:name w:val="Check12"/>
                  <w:enabled/>
                  <w:calcOnExit w:val="0"/>
                  <w:checkBox>
                    <w:sizeAuto/>
                    <w:default w:val="0"/>
                  </w:checkBox>
                </w:ffData>
              </w:fldChar>
            </w:r>
            <w:bookmarkStart w:id="26" w:name="Check12"/>
            <w:r w:rsidRPr="004155E5">
              <w:rPr>
                <w:rFonts w:cs="Arial"/>
                <w:noProof/>
                <w:szCs w:val="20"/>
              </w:rPr>
              <w:instrText xml:space="preserve"> FORMCHECKBOX </w:instrText>
            </w:r>
            <w:r w:rsidR="00284F86">
              <w:rPr>
                <w:rFonts w:cs="Arial"/>
                <w:noProof/>
                <w:szCs w:val="20"/>
              </w:rPr>
            </w:r>
            <w:r w:rsidR="00284F86">
              <w:rPr>
                <w:rFonts w:cs="Arial"/>
                <w:noProof/>
                <w:szCs w:val="20"/>
              </w:rPr>
              <w:fldChar w:fldCharType="separate"/>
            </w:r>
            <w:r w:rsidRPr="004155E5">
              <w:rPr>
                <w:rFonts w:cs="Arial"/>
                <w:noProof/>
                <w:szCs w:val="20"/>
              </w:rPr>
              <w:fldChar w:fldCharType="end"/>
            </w:r>
            <w:bookmarkEnd w:id="26"/>
          </w:p>
          <w:p w14:paraId="79820B06" w14:textId="77777777" w:rsidR="00C479AA" w:rsidRPr="004155E5" w:rsidRDefault="00C479AA" w:rsidP="007806BA">
            <w:pPr>
              <w:spacing w:line="240" w:lineRule="auto"/>
              <w:rPr>
                <w:rFonts w:cs="Arial"/>
                <w:noProof/>
                <w:szCs w:val="20"/>
              </w:rPr>
            </w:pPr>
            <w:r w:rsidRPr="004155E5">
              <w:rPr>
                <w:rFonts w:cs="Arial"/>
                <w:noProof/>
                <w:szCs w:val="20"/>
              </w:rPr>
              <w:fldChar w:fldCharType="begin">
                <w:ffData>
                  <w:name w:val="Check12"/>
                  <w:enabled/>
                  <w:calcOnExit w:val="0"/>
                  <w:checkBox>
                    <w:sizeAuto/>
                    <w:default w:val="0"/>
                  </w:checkBox>
                </w:ffData>
              </w:fldChar>
            </w:r>
            <w:r w:rsidRPr="004155E5">
              <w:rPr>
                <w:rFonts w:cs="Arial"/>
                <w:noProof/>
                <w:szCs w:val="20"/>
              </w:rPr>
              <w:instrText xml:space="preserve"> FORMCHECKBOX </w:instrText>
            </w:r>
            <w:r w:rsidR="00284F86">
              <w:rPr>
                <w:rFonts w:cs="Arial"/>
                <w:noProof/>
                <w:szCs w:val="20"/>
              </w:rPr>
            </w:r>
            <w:r w:rsidR="00284F86">
              <w:rPr>
                <w:rFonts w:cs="Arial"/>
                <w:noProof/>
                <w:szCs w:val="20"/>
              </w:rPr>
              <w:fldChar w:fldCharType="separate"/>
            </w:r>
            <w:r w:rsidRPr="004155E5">
              <w:rPr>
                <w:rFonts w:cs="Arial"/>
                <w:noProof/>
                <w:szCs w:val="20"/>
              </w:rPr>
              <w:fldChar w:fldCharType="end"/>
            </w:r>
          </w:p>
          <w:p w14:paraId="0CEDEC5B" w14:textId="77777777" w:rsidR="00C479AA" w:rsidRPr="004155E5" w:rsidRDefault="00C479AA" w:rsidP="007806BA">
            <w:pPr>
              <w:spacing w:line="240" w:lineRule="auto"/>
              <w:rPr>
                <w:rFonts w:cs="Arial"/>
                <w:noProof/>
                <w:szCs w:val="20"/>
              </w:rPr>
            </w:pPr>
            <w:r w:rsidRPr="004155E5">
              <w:rPr>
                <w:rFonts w:cs="Arial"/>
                <w:noProof/>
                <w:szCs w:val="20"/>
              </w:rPr>
              <w:fldChar w:fldCharType="begin">
                <w:ffData>
                  <w:name w:val="Check13"/>
                  <w:enabled/>
                  <w:calcOnExit w:val="0"/>
                  <w:checkBox>
                    <w:sizeAuto/>
                    <w:default w:val="0"/>
                  </w:checkBox>
                </w:ffData>
              </w:fldChar>
            </w:r>
            <w:bookmarkStart w:id="27" w:name="Check13"/>
            <w:r w:rsidRPr="004155E5">
              <w:rPr>
                <w:rFonts w:cs="Arial"/>
                <w:noProof/>
                <w:szCs w:val="20"/>
              </w:rPr>
              <w:instrText xml:space="preserve"> FORMCHECKBOX </w:instrText>
            </w:r>
            <w:r w:rsidR="00284F86">
              <w:rPr>
                <w:rFonts w:cs="Arial"/>
                <w:noProof/>
                <w:szCs w:val="20"/>
              </w:rPr>
            </w:r>
            <w:r w:rsidR="00284F86">
              <w:rPr>
                <w:rFonts w:cs="Arial"/>
                <w:noProof/>
                <w:szCs w:val="20"/>
              </w:rPr>
              <w:fldChar w:fldCharType="separate"/>
            </w:r>
            <w:r w:rsidRPr="004155E5">
              <w:rPr>
                <w:rFonts w:cs="Arial"/>
                <w:noProof/>
                <w:szCs w:val="20"/>
              </w:rPr>
              <w:fldChar w:fldCharType="end"/>
            </w:r>
            <w:bookmarkEnd w:id="27"/>
          </w:p>
          <w:p w14:paraId="1E910640" w14:textId="77777777" w:rsidR="00C479AA" w:rsidRPr="004155E5" w:rsidRDefault="00C479AA" w:rsidP="007806BA">
            <w:pPr>
              <w:spacing w:line="240" w:lineRule="auto"/>
              <w:rPr>
                <w:rFonts w:cs="Arial"/>
                <w:noProof/>
                <w:szCs w:val="20"/>
              </w:rPr>
            </w:pPr>
            <w:r w:rsidRPr="004155E5">
              <w:rPr>
                <w:rFonts w:cs="Arial"/>
                <w:noProof/>
                <w:szCs w:val="20"/>
              </w:rPr>
              <w:fldChar w:fldCharType="begin">
                <w:ffData>
                  <w:name w:val="Check14"/>
                  <w:enabled/>
                  <w:calcOnExit w:val="0"/>
                  <w:checkBox>
                    <w:sizeAuto/>
                    <w:default w:val="0"/>
                  </w:checkBox>
                </w:ffData>
              </w:fldChar>
            </w:r>
            <w:bookmarkStart w:id="28" w:name="Check14"/>
            <w:r w:rsidRPr="004155E5">
              <w:rPr>
                <w:rFonts w:cs="Arial"/>
                <w:noProof/>
                <w:szCs w:val="20"/>
              </w:rPr>
              <w:instrText xml:space="preserve"> FORMCHECKBOX </w:instrText>
            </w:r>
            <w:r w:rsidR="00284F86">
              <w:rPr>
                <w:rFonts w:cs="Arial"/>
                <w:noProof/>
                <w:szCs w:val="20"/>
              </w:rPr>
            </w:r>
            <w:r w:rsidR="00284F86">
              <w:rPr>
                <w:rFonts w:cs="Arial"/>
                <w:noProof/>
                <w:szCs w:val="20"/>
              </w:rPr>
              <w:fldChar w:fldCharType="separate"/>
            </w:r>
            <w:r w:rsidRPr="004155E5">
              <w:rPr>
                <w:rFonts w:cs="Arial"/>
                <w:noProof/>
                <w:szCs w:val="20"/>
              </w:rPr>
              <w:fldChar w:fldCharType="end"/>
            </w:r>
            <w:bookmarkEnd w:id="28"/>
          </w:p>
        </w:tc>
      </w:tr>
    </w:tbl>
    <w:p w14:paraId="6E2EEB2B" w14:textId="3EF16CB0" w:rsidR="00C479AA" w:rsidRPr="004155E5" w:rsidRDefault="00C479AA" w:rsidP="00C479AA">
      <w:pPr>
        <w:pStyle w:val="Heading4"/>
        <w:keepNext w:val="0"/>
        <w:rPr>
          <w:i/>
          <w:iCs/>
        </w:rPr>
      </w:pPr>
      <w:r w:rsidRPr="004155E5">
        <w:t>Consideration of Wider Industry Impacts?</w:t>
      </w:r>
    </w:p>
    <w:p w14:paraId="66C50437" w14:textId="1341DE2A" w:rsidR="00C479AA" w:rsidRPr="00293C2D" w:rsidRDefault="00942D68" w:rsidP="00F94F84">
      <w:pPr>
        <w:pStyle w:val="ListParagraph"/>
        <w:numPr>
          <w:ilvl w:val="1"/>
          <w:numId w:val="14"/>
        </w:numPr>
        <w:spacing w:line="360" w:lineRule="auto"/>
        <w:jc w:val="both"/>
      </w:pPr>
      <w:r w:rsidRPr="00293C2D">
        <w:t xml:space="preserve">The Working Group did not identify any additional wider industry impacts other than those already highlighted in other areas of the Change Report. </w:t>
      </w:r>
    </w:p>
    <w:p w14:paraId="2F3FAEBD" w14:textId="77777777" w:rsidR="00450385" w:rsidRPr="00EB32BB" w:rsidRDefault="00C31A20" w:rsidP="006D62F9">
      <w:pPr>
        <w:pStyle w:val="Heading03"/>
        <w:rPr>
          <w:noProof/>
        </w:rPr>
      </w:pPr>
      <w:bookmarkStart w:id="29" w:name="_Toc110371106"/>
      <w:r w:rsidRPr="00EB32BB">
        <w:rPr>
          <w:noProof/>
        </w:rPr>
        <w:t>Imple</w:t>
      </w:r>
      <w:r w:rsidR="00461C2F" w:rsidRPr="00EB32BB">
        <w:rPr>
          <w:noProof/>
        </w:rPr>
        <w:t>me</w:t>
      </w:r>
      <w:r w:rsidRPr="00EB32BB">
        <w:rPr>
          <w:noProof/>
        </w:rPr>
        <w:t>ntation</w:t>
      </w:r>
      <w:bookmarkEnd w:id="23"/>
      <w:bookmarkEnd w:id="29"/>
    </w:p>
    <w:p w14:paraId="391F4CB2" w14:textId="06307F90" w:rsidR="00574742" w:rsidRPr="00845FD4" w:rsidRDefault="00453452" w:rsidP="00293C2D">
      <w:pPr>
        <w:pStyle w:val="ListParagraph"/>
        <w:numPr>
          <w:ilvl w:val="1"/>
          <w:numId w:val="14"/>
        </w:numPr>
        <w:spacing w:line="360" w:lineRule="auto"/>
        <w:jc w:val="both"/>
      </w:pPr>
      <w:r w:rsidRPr="00453452">
        <w:t xml:space="preserve">The proposed implementation date for DCP 409 is </w:t>
      </w:r>
      <w:r w:rsidR="003D0359" w:rsidRPr="00293C2D">
        <w:t>the next scheduled release or within one month of the Authority Decision, whichever is the sooner</w:t>
      </w:r>
      <w:r w:rsidRPr="00453452">
        <w:t>.</w:t>
      </w:r>
    </w:p>
    <w:p w14:paraId="00CE1FCF" w14:textId="49C77C79" w:rsidR="00F007A0" w:rsidRPr="00EB32BB" w:rsidRDefault="00F007A0" w:rsidP="006D62F9">
      <w:pPr>
        <w:pStyle w:val="Heading03"/>
      </w:pPr>
      <w:bookmarkStart w:id="30" w:name="_Toc156882583"/>
      <w:bookmarkStart w:id="31" w:name="_Toc163008071"/>
      <w:bookmarkStart w:id="32" w:name="_Toc318967202"/>
      <w:bookmarkStart w:id="33" w:name="_Toc110371107"/>
      <w:r w:rsidRPr="00EB32BB">
        <w:t>Legal Text</w:t>
      </w:r>
      <w:bookmarkEnd w:id="30"/>
      <w:bookmarkEnd w:id="31"/>
      <w:bookmarkEnd w:id="32"/>
      <w:bookmarkEnd w:id="33"/>
    </w:p>
    <w:p w14:paraId="0C322901" w14:textId="2A08545C" w:rsidR="003D0359" w:rsidRDefault="003D0359" w:rsidP="003D0359">
      <w:pPr>
        <w:numPr>
          <w:ilvl w:val="1"/>
          <w:numId w:val="14"/>
        </w:numPr>
        <w:tabs>
          <w:tab w:val="left" w:pos="567"/>
        </w:tabs>
        <w:spacing w:line="360" w:lineRule="auto"/>
        <w:jc w:val="both"/>
        <w:rPr>
          <w:rFonts w:cs="Arial"/>
          <w:bCs/>
          <w:iCs/>
          <w:szCs w:val="20"/>
        </w:rPr>
      </w:pPr>
      <w:r w:rsidRPr="003D0359">
        <w:rPr>
          <w:rFonts w:cs="Arial"/>
          <w:bCs/>
          <w:iCs/>
          <w:szCs w:val="20"/>
        </w:rPr>
        <w:t xml:space="preserve">After consideration of the consultation responses, the Working Group identified the following legal text in response to the consultation responses and further deliberations thereafter. </w:t>
      </w:r>
    </w:p>
    <w:p w14:paraId="5351C855" w14:textId="77777777" w:rsidR="00707ACD" w:rsidRPr="00284F86" w:rsidRDefault="003D0359" w:rsidP="00707ACD">
      <w:pPr>
        <w:pStyle w:val="ListParagraph"/>
        <w:numPr>
          <w:ilvl w:val="1"/>
          <w:numId w:val="14"/>
        </w:numPr>
        <w:tabs>
          <w:tab w:val="left" w:pos="567"/>
        </w:tabs>
        <w:spacing w:line="360" w:lineRule="auto"/>
        <w:jc w:val="both"/>
      </w:pPr>
      <w:r w:rsidRPr="00284F86">
        <w:t>The legal text for DCP 409 has been reviewed by the DCUSA legal advisors and is provided as Attachment 1.</w:t>
      </w:r>
    </w:p>
    <w:p w14:paraId="26454E57" w14:textId="702840FB" w:rsidR="003D0359" w:rsidRPr="00707ACD" w:rsidRDefault="003D0359" w:rsidP="00707ACD">
      <w:pPr>
        <w:pStyle w:val="ListParagraph"/>
        <w:numPr>
          <w:ilvl w:val="1"/>
          <w:numId w:val="14"/>
        </w:numPr>
        <w:tabs>
          <w:tab w:val="left" w:pos="567"/>
        </w:tabs>
        <w:spacing w:line="360" w:lineRule="auto"/>
        <w:jc w:val="both"/>
      </w:pPr>
      <w:r w:rsidRPr="00707ACD">
        <w:rPr>
          <w:rFonts w:cs="Arial"/>
          <w:szCs w:val="20"/>
        </w:rPr>
        <w:t>The DCP 409 legal text introduces a change to schedule 1 as below.</w:t>
      </w:r>
    </w:p>
    <w:p w14:paraId="4225FB12" w14:textId="77777777" w:rsidR="00707ACD" w:rsidRDefault="00707ACD" w:rsidP="003D0359">
      <w:pPr>
        <w:tabs>
          <w:tab w:val="left" w:pos="567"/>
        </w:tabs>
        <w:spacing w:line="360" w:lineRule="auto"/>
        <w:jc w:val="both"/>
        <w:rPr>
          <w:rFonts w:cs="Arial"/>
          <w:b/>
          <w:bCs/>
          <w:szCs w:val="20"/>
        </w:rPr>
      </w:pPr>
    </w:p>
    <w:p w14:paraId="7B5BB7DE" w14:textId="037F3522" w:rsidR="003D0359" w:rsidRPr="003D0359" w:rsidRDefault="003D0359" w:rsidP="003D0359">
      <w:pPr>
        <w:tabs>
          <w:tab w:val="left" w:pos="567"/>
        </w:tabs>
        <w:spacing w:line="360" w:lineRule="auto"/>
        <w:jc w:val="both"/>
        <w:rPr>
          <w:rFonts w:cs="Arial"/>
          <w:b/>
          <w:bCs/>
          <w:szCs w:val="20"/>
        </w:rPr>
      </w:pPr>
      <w:bookmarkStart w:id="34" w:name="_Hlk112941167"/>
      <w:r w:rsidRPr="003D0359">
        <w:rPr>
          <w:rFonts w:cs="Arial"/>
          <w:b/>
          <w:bCs/>
          <w:szCs w:val="20"/>
        </w:rPr>
        <w:t>The User's Value at Risk</w:t>
      </w:r>
    </w:p>
    <w:p w14:paraId="08A9BBCF" w14:textId="77777777" w:rsidR="003D0359" w:rsidRPr="003D0359" w:rsidRDefault="003D0359" w:rsidP="003D0359">
      <w:pPr>
        <w:tabs>
          <w:tab w:val="left" w:pos="567"/>
        </w:tabs>
        <w:spacing w:line="360" w:lineRule="auto"/>
        <w:jc w:val="both"/>
        <w:rPr>
          <w:rFonts w:cs="Arial"/>
          <w:b/>
          <w:bCs/>
          <w:szCs w:val="20"/>
        </w:rPr>
      </w:pPr>
      <w:r w:rsidRPr="003D0359">
        <w:rPr>
          <w:rFonts w:cs="Arial"/>
          <w:szCs w:val="20"/>
        </w:rPr>
        <w:t xml:space="preserve">2.2         </w:t>
      </w:r>
      <w:r w:rsidRPr="003D0359">
        <w:rPr>
          <w:rFonts w:cs="Arial"/>
          <w:i/>
          <w:iCs/>
          <w:szCs w:val="20"/>
        </w:rPr>
        <w:t>At any time, the User's Value at Risk shall be the aggregate of</w:t>
      </w:r>
      <w:r w:rsidRPr="003D0359">
        <w:rPr>
          <w:rFonts w:cs="Arial"/>
          <w:szCs w:val="20"/>
        </w:rPr>
        <w:t>:</w:t>
      </w:r>
    </w:p>
    <w:p w14:paraId="7296A6EC" w14:textId="77777777" w:rsidR="003D0359" w:rsidRPr="003D0359" w:rsidRDefault="003D0359" w:rsidP="003D0359">
      <w:pPr>
        <w:numPr>
          <w:ilvl w:val="0"/>
          <w:numId w:val="37"/>
        </w:numPr>
        <w:tabs>
          <w:tab w:val="left" w:pos="567"/>
        </w:tabs>
        <w:spacing w:line="360" w:lineRule="auto"/>
        <w:jc w:val="both"/>
        <w:rPr>
          <w:rFonts w:cs="Arial"/>
          <w:i/>
          <w:iCs/>
          <w:szCs w:val="20"/>
        </w:rPr>
      </w:pPr>
      <w:r w:rsidRPr="003D0359">
        <w:rPr>
          <w:rFonts w:cs="Arial"/>
          <w:i/>
          <w:iCs/>
          <w:szCs w:val="20"/>
        </w:rPr>
        <w:t xml:space="preserve">  billed but unpaid Charges which are not currently subject to a Designated Dispute (as defined in Schedule 4</w:t>
      </w:r>
      <w:proofErr w:type="gramStart"/>
      <w:r w:rsidRPr="003D0359">
        <w:rPr>
          <w:rFonts w:cs="Arial"/>
          <w:i/>
          <w:iCs/>
          <w:szCs w:val="20"/>
        </w:rPr>
        <w:t>)</w:t>
      </w:r>
      <w:proofErr w:type="gramEnd"/>
      <w:r w:rsidRPr="003D0359">
        <w:rPr>
          <w:rFonts w:cs="Arial"/>
          <w:i/>
          <w:iCs/>
          <w:szCs w:val="20"/>
        </w:rPr>
        <w:t xml:space="preserve"> and which have been billed to the User according to an established billing cycle operated by the Company pursuant to this Agreement;</w:t>
      </w:r>
    </w:p>
    <w:p w14:paraId="188EAAD1" w14:textId="77777777" w:rsidR="003D0359" w:rsidRPr="003D0359" w:rsidRDefault="003D0359" w:rsidP="003D0359">
      <w:pPr>
        <w:tabs>
          <w:tab w:val="left" w:pos="567"/>
        </w:tabs>
        <w:spacing w:line="360" w:lineRule="auto"/>
        <w:jc w:val="both"/>
        <w:rPr>
          <w:rFonts w:cs="Arial"/>
          <w:i/>
          <w:iCs/>
          <w:szCs w:val="20"/>
        </w:rPr>
      </w:pPr>
      <w:r w:rsidRPr="003D0359">
        <w:rPr>
          <w:rFonts w:cs="Arial"/>
          <w:i/>
          <w:iCs/>
          <w:szCs w:val="20"/>
        </w:rPr>
        <w:t>plus</w:t>
      </w:r>
    </w:p>
    <w:p w14:paraId="343BC9CD" w14:textId="77777777" w:rsidR="003D0359" w:rsidRPr="003D0359" w:rsidRDefault="003D0359" w:rsidP="003D0359">
      <w:pPr>
        <w:numPr>
          <w:ilvl w:val="0"/>
          <w:numId w:val="37"/>
        </w:numPr>
        <w:tabs>
          <w:tab w:val="left" w:pos="567"/>
        </w:tabs>
        <w:spacing w:line="360" w:lineRule="auto"/>
        <w:jc w:val="both"/>
        <w:rPr>
          <w:rFonts w:cs="Arial"/>
          <w:i/>
          <w:iCs/>
          <w:szCs w:val="20"/>
        </w:rPr>
      </w:pPr>
      <w:r w:rsidRPr="003D0359">
        <w:rPr>
          <w:rFonts w:cs="Arial"/>
          <w:i/>
          <w:iCs/>
          <w:szCs w:val="20"/>
        </w:rPr>
        <w:t xml:space="preserve">  the Fifteen Days' Value, which shall be the estimated value of the Charges that would be incurred by the User for a further 15 days from that time, based on the average daily Charges billed to the User (whether under this Agreement or any use of system agreement applying between the User and the Company immediately before this Agreement became effective) using the latest available bill raised in respect of a full calendar month (or a number of days that approximates to a full calendar month), according to the established billing cycle operated by the Company;</w:t>
      </w:r>
    </w:p>
    <w:p w14:paraId="74B987F3" w14:textId="77777777" w:rsidR="003D0359" w:rsidRPr="003D0359" w:rsidRDefault="003D0359" w:rsidP="003D0359">
      <w:pPr>
        <w:tabs>
          <w:tab w:val="left" w:pos="567"/>
        </w:tabs>
        <w:spacing w:line="360" w:lineRule="auto"/>
        <w:jc w:val="both"/>
        <w:rPr>
          <w:rFonts w:cs="Arial"/>
          <w:i/>
          <w:iCs/>
          <w:szCs w:val="20"/>
        </w:rPr>
      </w:pPr>
      <w:r w:rsidRPr="003D0359">
        <w:rPr>
          <w:rFonts w:cs="Arial"/>
          <w:i/>
          <w:iCs/>
          <w:szCs w:val="20"/>
        </w:rPr>
        <w:t>less</w:t>
      </w:r>
    </w:p>
    <w:p w14:paraId="0CA16440" w14:textId="77777777" w:rsidR="003D0359" w:rsidRPr="003D0359" w:rsidRDefault="003D0359" w:rsidP="003D0359">
      <w:pPr>
        <w:numPr>
          <w:ilvl w:val="0"/>
          <w:numId w:val="37"/>
        </w:numPr>
        <w:tabs>
          <w:tab w:val="left" w:pos="567"/>
        </w:tabs>
        <w:spacing w:line="360" w:lineRule="auto"/>
        <w:jc w:val="both"/>
        <w:rPr>
          <w:rFonts w:cs="Arial"/>
          <w:i/>
          <w:iCs/>
          <w:szCs w:val="20"/>
        </w:rPr>
      </w:pPr>
      <w:r w:rsidRPr="003D0359">
        <w:rPr>
          <w:rFonts w:cs="Arial"/>
          <w:i/>
          <w:iCs/>
          <w:szCs w:val="20"/>
        </w:rPr>
        <w:lastRenderedPageBreak/>
        <w:t xml:space="preserve">  any credit notes and any amounts paid to the Company by the User in the form of a Prepayment or an Advance Payment.</w:t>
      </w:r>
    </w:p>
    <w:p w14:paraId="268F9F2D" w14:textId="77777777" w:rsidR="003D0359" w:rsidRPr="00293C2D" w:rsidRDefault="003D0359" w:rsidP="003D0359">
      <w:pPr>
        <w:numPr>
          <w:ilvl w:val="0"/>
          <w:numId w:val="37"/>
        </w:numPr>
        <w:tabs>
          <w:tab w:val="left" w:pos="567"/>
        </w:tabs>
        <w:spacing w:line="360" w:lineRule="auto"/>
        <w:jc w:val="both"/>
        <w:rPr>
          <w:rFonts w:cs="Arial"/>
          <w:i/>
          <w:iCs/>
          <w:color w:val="FF0000"/>
          <w:szCs w:val="20"/>
        </w:rPr>
      </w:pPr>
      <w:r w:rsidRPr="00293C2D">
        <w:rPr>
          <w:rFonts w:cs="Arial"/>
          <w:i/>
          <w:iCs/>
          <w:color w:val="FF0000"/>
          <w:szCs w:val="20"/>
        </w:rPr>
        <w:t xml:space="preserve">  The monthly value of payments due to the User </w:t>
      </w:r>
      <w:proofErr w:type="gramStart"/>
      <w:r w:rsidRPr="00293C2D">
        <w:rPr>
          <w:rFonts w:cs="Arial"/>
          <w:i/>
          <w:iCs/>
          <w:color w:val="FF0000"/>
          <w:szCs w:val="20"/>
        </w:rPr>
        <w:t>as a result of</w:t>
      </w:r>
      <w:proofErr w:type="gramEnd"/>
      <w:r w:rsidRPr="00293C2D">
        <w:rPr>
          <w:rFonts w:cs="Arial"/>
          <w:i/>
          <w:iCs/>
          <w:color w:val="FF0000"/>
          <w:szCs w:val="20"/>
        </w:rPr>
        <w:t xml:space="preserve"> receipt of a Valid Claim received by the Company under Condition 38B of the Electricity Distribution Licence after 01 December 2022.</w:t>
      </w:r>
    </w:p>
    <w:p w14:paraId="6EDA5677" w14:textId="77777777" w:rsidR="003D0359" w:rsidRPr="00293C2D" w:rsidRDefault="003D0359" w:rsidP="003D0359">
      <w:pPr>
        <w:tabs>
          <w:tab w:val="left" w:pos="567"/>
        </w:tabs>
        <w:spacing w:line="360" w:lineRule="auto"/>
        <w:jc w:val="both"/>
        <w:rPr>
          <w:rFonts w:cs="Arial"/>
          <w:b/>
          <w:bCs/>
          <w:color w:val="FF0000"/>
          <w:szCs w:val="20"/>
        </w:rPr>
      </w:pPr>
      <w:r w:rsidRPr="00293C2D">
        <w:rPr>
          <w:rFonts w:cs="Arial"/>
          <w:b/>
          <w:bCs/>
          <w:color w:val="FF0000"/>
          <w:szCs w:val="20"/>
        </w:rPr>
        <w:t>Add to definitions</w:t>
      </w:r>
    </w:p>
    <w:p w14:paraId="4933FA42" w14:textId="461DB156" w:rsidR="003D0359" w:rsidRDefault="003D0359" w:rsidP="003D0359">
      <w:pPr>
        <w:tabs>
          <w:tab w:val="left" w:pos="567"/>
        </w:tabs>
        <w:spacing w:line="360" w:lineRule="auto"/>
        <w:jc w:val="both"/>
        <w:rPr>
          <w:rFonts w:cs="Arial"/>
          <w:color w:val="FF0000"/>
          <w:szCs w:val="20"/>
        </w:rPr>
      </w:pPr>
      <w:r w:rsidRPr="00293C2D">
        <w:rPr>
          <w:rFonts w:cs="Arial"/>
          <w:color w:val="FF0000"/>
          <w:szCs w:val="20"/>
        </w:rPr>
        <w:t>Valid Claim – as defined in the Electricity Distribution Licence</w:t>
      </w:r>
    </w:p>
    <w:p w14:paraId="7C291B3D" w14:textId="77777777" w:rsidR="00707ACD" w:rsidRPr="00293C2D" w:rsidRDefault="00707ACD" w:rsidP="003D0359">
      <w:pPr>
        <w:tabs>
          <w:tab w:val="left" w:pos="567"/>
        </w:tabs>
        <w:spacing w:line="360" w:lineRule="auto"/>
        <w:jc w:val="both"/>
        <w:rPr>
          <w:rFonts w:cs="Arial"/>
          <w:color w:val="FF0000"/>
          <w:szCs w:val="20"/>
        </w:rPr>
      </w:pPr>
    </w:p>
    <w:p w14:paraId="6A148686" w14:textId="5006DBAF" w:rsidR="003D0359" w:rsidRDefault="003D0359" w:rsidP="003D0359">
      <w:pPr>
        <w:numPr>
          <w:ilvl w:val="1"/>
          <w:numId w:val="14"/>
        </w:numPr>
        <w:tabs>
          <w:tab w:val="left" w:pos="567"/>
        </w:tabs>
        <w:spacing w:line="360" w:lineRule="auto"/>
        <w:jc w:val="both"/>
        <w:rPr>
          <w:rFonts w:cs="Arial"/>
          <w:szCs w:val="20"/>
        </w:rPr>
      </w:pPr>
      <w:r w:rsidRPr="003D0359">
        <w:rPr>
          <w:rFonts w:cs="Arial"/>
          <w:szCs w:val="20"/>
        </w:rPr>
        <w:t>One of the Working Group members proposed an alternative solution which was aligned to the original proposal and the legal text for that is shown below.</w:t>
      </w:r>
    </w:p>
    <w:bookmarkEnd w:id="34"/>
    <w:p w14:paraId="3226B166" w14:textId="11707451" w:rsidR="00707ACD" w:rsidRDefault="00707ACD" w:rsidP="00707ACD">
      <w:pPr>
        <w:tabs>
          <w:tab w:val="left" w:pos="567"/>
        </w:tabs>
        <w:spacing w:line="360" w:lineRule="auto"/>
        <w:jc w:val="both"/>
        <w:rPr>
          <w:rFonts w:cs="Arial"/>
          <w:szCs w:val="20"/>
        </w:rPr>
      </w:pPr>
    </w:p>
    <w:p w14:paraId="11B27D27" w14:textId="77777777" w:rsidR="00707ACD" w:rsidRPr="00707ACD" w:rsidRDefault="00707ACD" w:rsidP="00707ACD">
      <w:pPr>
        <w:tabs>
          <w:tab w:val="left" w:pos="567"/>
        </w:tabs>
        <w:spacing w:line="360" w:lineRule="auto"/>
        <w:jc w:val="both"/>
        <w:rPr>
          <w:rFonts w:cs="Arial"/>
          <w:b/>
          <w:bCs/>
          <w:szCs w:val="20"/>
        </w:rPr>
      </w:pPr>
      <w:r w:rsidRPr="00707ACD">
        <w:rPr>
          <w:rFonts w:cs="Arial"/>
          <w:b/>
          <w:bCs/>
          <w:szCs w:val="20"/>
        </w:rPr>
        <w:t>The User's Value at Risk</w:t>
      </w:r>
    </w:p>
    <w:p w14:paraId="07780282" w14:textId="77777777" w:rsidR="00707ACD" w:rsidRPr="00707ACD" w:rsidRDefault="00707ACD" w:rsidP="00707ACD">
      <w:pPr>
        <w:tabs>
          <w:tab w:val="left" w:pos="567"/>
        </w:tabs>
        <w:spacing w:line="360" w:lineRule="auto"/>
        <w:jc w:val="both"/>
        <w:rPr>
          <w:rFonts w:cs="Arial"/>
          <w:b/>
          <w:bCs/>
          <w:szCs w:val="20"/>
        </w:rPr>
      </w:pPr>
      <w:r w:rsidRPr="00707ACD">
        <w:rPr>
          <w:rFonts w:cs="Arial"/>
          <w:szCs w:val="20"/>
        </w:rPr>
        <w:t xml:space="preserve">2.2         </w:t>
      </w:r>
      <w:r w:rsidRPr="00707ACD">
        <w:rPr>
          <w:rFonts w:cs="Arial"/>
          <w:i/>
          <w:iCs/>
          <w:szCs w:val="20"/>
        </w:rPr>
        <w:t>At any time, the User's Value at Risk shall be the aggregate of</w:t>
      </w:r>
      <w:r w:rsidRPr="00707ACD">
        <w:rPr>
          <w:rFonts w:cs="Arial"/>
          <w:szCs w:val="20"/>
        </w:rPr>
        <w:t>:</w:t>
      </w:r>
    </w:p>
    <w:p w14:paraId="2204F7B1" w14:textId="77777777" w:rsidR="00707ACD" w:rsidRPr="00707ACD" w:rsidRDefault="00707ACD" w:rsidP="00707ACD">
      <w:pPr>
        <w:numPr>
          <w:ilvl w:val="0"/>
          <w:numId w:val="41"/>
        </w:numPr>
        <w:tabs>
          <w:tab w:val="left" w:pos="567"/>
        </w:tabs>
        <w:spacing w:line="360" w:lineRule="auto"/>
        <w:jc w:val="both"/>
        <w:rPr>
          <w:rFonts w:cs="Arial"/>
          <w:i/>
          <w:iCs/>
          <w:szCs w:val="20"/>
        </w:rPr>
      </w:pPr>
      <w:r w:rsidRPr="00707ACD">
        <w:rPr>
          <w:rFonts w:cs="Arial"/>
          <w:i/>
          <w:iCs/>
          <w:szCs w:val="20"/>
        </w:rPr>
        <w:t xml:space="preserve">  billed but unpaid Charges which are not currently subject to a Designated Dispute (as defined in Schedule 4</w:t>
      </w:r>
      <w:proofErr w:type="gramStart"/>
      <w:r w:rsidRPr="00707ACD">
        <w:rPr>
          <w:rFonts w:cs="Arial"/>
          <w:i/>
          <w:iCs/>
          <w:szCs w:val="20"/>
        </w:rPr>
        <w:t>)</w:t>
      </w:r>
      <w:proofErr w:type="gramEnd"/>
      <w:r w:rsidRPr="00707ACD">
        <w:rPr>
          <w:rFonts w:cs="Arial"/>
          <w:i/>
          <w:iCs/>
          <w:szCs w:val="20"/>
        </w:rPr>
        <w:t xml:space="preserve"> and which have been billed to the User according to an established billing cycle operated by the Company pursuant to this Agreement;</w:t>
      </w:r>
    </w:p>
    <w:p w14:paraId="339EF933" w14:textId="77777777" w:rsidR="00707ACD" w:rsidRPr="00707ACD" w:rsidRDefault="00707ACD" w:rsidP="00707ACD">
      <w:pPr>
        <w:tabs>
          <w:tab w:val="left" w:pos="567"/>
        </w:tabs>
        <w:spacing w:line="360" w:lineRule="auto"/>
        <w:jc w:val="both"/>
        <w:rPr>
          <w:rFonts w:cs="Arial"/>
          <w:i/>
          <w:iCs/>
          <w:szCs w:val="20"/>
        </w:rPr>
      </w:pPr>
      <w:r w:rsidRPr="00707ACD">
        <w:rPr>
          <w:rFonts w:cs="Arial"/>
          <w:i/>
          <w:iCs/>
          <w:szCs w:val="20"/>
        </w:rPr>
        <w:t>plus</w:t>
      </w:r>
    </w:p>
    <w:p w14:paraId="74CAE055" w14:textId="77777777" w:rsidR="00707ACD" w:rsidRPr="00707ACD" w:rsidRDefault="00707ACD" w:rsidP="00707ACD">
      <w:pPr>
        <w:numPr>
          <w:ilvl w:val="0"/>
          <w:numId w:val="41"/>
        </w:numPr>
        <w:tabs>
          <w:tab w:val="left" w:pos="567"/>
        </w:tabs>
        <w:spacing w:line="360" w:lineRule="auto"/>
        <w:jc w:val="both"/>
        <w:rPr>
          <w:rFonts w:cs="Arial"/>
          <w:i/>
          <w:iCs/>
          <w:szCs w:val="20"/>
        </w:rPr>
      </w:pPr>
      <w:r w:rsidRPr="00707ACD">
        <w:rPr>
          <w:rFonts w:cs="Arial"/>
          <w:i/>
          <w:iCs/>
          <w:szCs w:val="20"/>
        </w:rPr>
        <w:t xml:space="preserve">  the Fifteen Days' Value, which shall be the estimated value of the Charges that would be incurred by the User for a further 15 days from that time, based on the average daily Charges billed to the User (whether under this Agreement or any use of system agreement applying between the User and the Company immediately before this Agreement became effective) using the latest available bill raised in respect of a full calendar month (or a number of days that approximates to a full calendar month), according to the established billing cycle operated by the Company;</w:t>
      </w:r>
    </w:p>
    <w:p w14:paraId="260D0FAC" w14:textId="77777777" w:rsidR="00707ACD" w:rsidRPr="00707ACD" w:rsidRDefault="00707ACD" w:rsidP="00707ACD">
      <w:pPr>
        <w:tabs>
          <w:tab w:val="left" w:pos="567"/>
        </w:tabs>
        <w:spacing w:line="360" w:lineRule="auto"/>
        <w:jc w:val="both"/>
        <w:rPr>
          <w:rFonts w:cs="Arial"/>
          <w:i/>
          <w:iCs/>
          <w:szCs w:val="20"/>
        </w:rPr>
      </w:pPr>
      <w:r w:rsidRPr="00707ACD">
        <w:rPr>
          <w:rFonts w:cs="Arial"/>
          <w:i/>
          <w:iCs/>
          <w:szCs w:val="20"/>
        </w:rPr>
        <w:t>less</w:t>
      </w:r>
    </w:p>
    <w:p w14:paraId="5E1EF773" w14:textId="77777777" w:rsidR="00707ACD" w:rsidRPr="00707ACD" w:rsidRDefault="00707ACD" w:rsidP="00707ACD">
      <w:pPr>
        <w:numPr>
          <w:ilvl w:val="0"/>
          <w:numId w:val="41"/>
        </w:numPr>
        <w:tabs>
          <w:tab w:val="left" w:pos="567"/>
        </w:tabs>
        <w:spacing w:line="360" w:lineRule="auto"/>
        <w:jc w:val="both"/>
        <w:rPr>
          <w:rFonts w:cs="Arial"/>
          <w:i/>
          <w:iCs/>
          <w:szCs w:val="20"/>
        </w:rPr>
      </w:pPr>
      <w:r w:rsidRPr="00707ACD">
        <w:rPr>
          <w:rFonts w:cs="Arial"/>
          <w:i/>
          <w:iCs/>
          <w:szCs w:val="20"/>
        </w:rPr>
        <w:t xml:space="preserve">  any credit notes and any amounts paid to the Company by the User in the form of a Prepayment or an Advance Payment.</w:t>
      </w:r>
    </w:p>
    <w:p w14:paraId="6507D8EE" w14:textId="46908A81" w:rsidR="00707ACD" w:rsidRPr="00707ACD" w:rsidRDefault="00707ACD" w:rsidP="00707ACD">
      <w:pPr>
        <w:numPr>
          <w:ilvl w:val="0"/>
          <w:numId w:val="41"/>
        </w:numPr>
        <w:tabs>
          <w:tab w:val="left" w:pos="567"/>
        </w:tabs>
        <w:spacing w:line="360" w:lineRule="auto"/>
        <w:jc w:val="both"/>
        <w:rPr>
          <w:rFonts w:cs="Arial"/>
          <w:i/>
          <w:iCs/>
          <w:color w:val="FF0000"/>
          <w:szCs w:val="20"/>
        </w:rPr>
      </w:pPr>
      <w:r w:rsidRPr="00707ACD">
        <w:rPr>
          <w:rFonts w:cs="Arial"/>
          <w:i/>
          <w:iCs/>
          <w:color w:val="FF0000"/>
          <w:szCs w:val="20"/>
        </w:rPr>
        <w:t xml:space="preserve">  The </w:t>
      </w:r>
      <w:r>
        <w:rPr>
          <w:rFonts w:cs="Arial"/>
          <w:i/>
          <w:iCs/>
          <w:color w:val="FF0000"/>
          <w:szCs w:val="20"/>
        </w:rPr>
        <w:t xml:space="preserve">full </w:t>
      </w:r>
      <w:r w:rsidRPr="00707ACD">
        <w:rPr>
          <w:rFonts w:cs="Arial"/>
          <w:i/>
          <w:iCs/>
          <w:color w:val="FF0000"/>
          <w:szCs w:val="20"/>
        </w:rPr>
        <w:t xml:space="preserve">value of payments due to the User </w:t>
      </w:r>
      <w:proofErr w:type="gramStart"/>
      <w:r w:rsidRPr="00707ACD">
        <w:rPr>
          <w:rFonts w:cs="Arial"/>
          <w:i/>
          <w:iCs/>
          <w:color w:val="FF0000"/>
          <w:szCs w:val="20"/>
        </w:rPr>
        <w:t>as a result of</w:t>
      </w:r>
      <w:proofErr w:type="gramEnd"/>
      <w:r w:rsidRPr="00707ACD">
        <w:rPr>
          <w:rFonts w:cs="Arial"/>
          <w:i/>
          <w:iCs/>
          <w:color w:val="FF0000"/>
          <w:szCs w:val="20"/>
        </w:rPr>
        <w:t xml:space="preserve"> receipt of a Valid Claim under Condition 38B of the Electricity Distribution Licence.</w:t>
      </w:r>
    </w:p>
    <w:p w14:paraId="791A20B6" w14:textId="77777777" w:rsidR="00707ACD" w:rsidRPr="00707ACD" w:rsidRDefault="00707ACD" w:rsidP="00707ACD">
      <w:pPr>
        <w:tabs>
          <w:tab w:val="left" w:pos="567"/>
        </w:tabs>
        <w:spacing w:line="360" w:lineRule="auto"/>
        <w:jc w:val="both"/>
        <w:rPr>
          <w:rFonts w:cs="Arial"/>
          <w:b/>
          <w:bCs/>
          <w:color w:val="FF0000"/>
          <w:szCs w:val="20"/>
        </w:rPr>
      </w:pPr>
      <w:r w:rsidRPr="00707ACD">
        <w:rPr>
          <w:rFonts w:cs="Arial"/>
          <w:b/>
          <w:bCs/>
          <w:color w:val="FF0000"/>
          <w:szCs w:val="20"/>
        </w:rPr>
        <w:t>Add to definitions</w:t>
      </w:r>
    </w:p>
    <w:p w14:paraId="7A65E8CA" w14:textId="77777777" w:rsidR="00707ACD" w:rsidRPr="00707ACD" w:rsidRDefault="00707ACD" w:rsidP="00707ACD">
      <w:pPr>
        <w:tabs>
          <w:tab w:val="left" w:pos="567"/>
        </w:tabs>
        <w:spacing w:line="360" w:lineRule="auto"/>
        <w:jc w:val="both"/>
        <w:rPr>
          <w:rFonts w:cs="Arial"/>
          <w:color w:val="FF0000"/>
          <w:szCs w:val="20"/>
        </w:rPr>
      </w:pPr>
      <w:r w:rsidRPr="00707ACD">
        <w:rPr>
          <w:rFonts w:cs="Arial"/>
          <w:color w:val="FF0000"/>
          <w:szCs w:val="20"/>
        </w:rPr>
        <w:t>Valid Claim – as defined in the Electricity Distribution Licence</w:t>
      </w:r>
    </w:p>
    <w:p w14:paraId="32A08532" w14:textId="77777777" w:rsidR="00707ACD" w:rsidRPr="00707ACD" w:rsidRDefault="00707ACD" w:rsidP="00707ACD">
      <w:pPr>
        <w:tabs>
          <w:tab w:val="left" w:pos="567"/>
        </w:tabs>
        <w:spacing w:line="360" w:lineRule="auto"/>
        <w:jc w:val="both"/>
        <w:rPr>
          <w:rFonts w:cs="Arial"/>
          <w:szCs w:val="20"/>
        </w:rPr>
      </w:pPr>
    </w:p>
    <w:p w14:paraId="59D11C99" w14:textId="65F0A286" w:rsidR="00574742" w:rsidRDefault="00574742" w:rsidP="000C4FB8">
      <w:pPr>
        <w:pStyle w:val="ListParagraph"/>
        <w:numPr>
          <w:ilvl w:val="1"/>
          <w:numId w:val="14"/>
        </w:numPr>
        <w:tabs>
          <w:tab w:val="left" w:pos="567"/>
        </w:tabs>
        <w:spacing w:line="360" w:lineRule="auto"/>
        <w:jc w:val="both"/>
      </w:pPr>
      <w:r w:rsidRPr="002733C1">
        <w:t xml:space="preserve">The </w:t>
      </w:r>
      <w:r w:rsidR="0078738F">
        <w:t>Working Group</w:t>
      </w:r>
      <w:r w:rsidRPr="002733C1">
        <w:t xml:space="preserve"> has considered the </w:t>
      </w:r>
      <w:r w:rsidR="006A14BF">
        <w:t>l</w:t>
      </w:r>
      <w:r w:rsidRPr="002733C1">
        <w:t xml:space="preserve">egal </w:t>
      </w:r>
      <w:r w:rsidR="006A14BF">
        <w:t>t</w:t>
      </w:r>
      <w:r w:rsidRPr="002733C1">
        <w:t xml:space="preserve">ext and is satisfied that it meets the intent of the </w:t>
      </w:r>
      <w:r w:rsidR="006A14BF">
        <w:t>s</w:t>
      </w:r>
      <w:r w:rsidRPr="002733C1">
        <w:t>olution.</w:t>
      </w:r>
    </w:p>
    <w:p w14:paraId="46430CF9" w14:textId="06863D6D" w:rsidR="005F5231" w:rsidRDefault="005F5231" w:rsidP="006D62F9">
      <w:pPr>
        <w:pStyle w:val="Heading03"/>
      </w:pPr>
      <w:bookmarkStart w:id="35" w:name="_Toc110371108"/>
      <w:r>
        <w:t>Code Specific Matters</w:t>
      </w:r>
      <w:bookmarkEnd w:id="35"/>
    </w:p>
    <w:p w14:paraId="15557BCF" w14:textId="77777777" w:rsidR="005F5231" w:rsidRPr="00284F86" w:rsidRDefault="005F5231" w:rsidP="00E45140">
      <w:pPr>
        <w:pStyle w:val="Heading4"/>
      </w:pPr>
      <w:r w:rsidRPr="00284F86">
        <w:t>Modelling Specification Documents</w:t>
      </w:r>
    </w:p>
    <w:p w14:paraId="0B7B7564" w14:textId="77777777" w:rsidR="005F5231" w:rsidRPr="00763F63" w:rsidRDefault="00FB4511" w:rsidP="00763F63">
      <w:pPr>
        <w:numPr>
          <w:ilvl w:val="1"/>
          <w:numId w:val="14"/>
        </w:numPr>
        <w:tabs>
          <w:tab w:val="left" w:pos="567"/>
        </w:tabs>
        <w:spacing w:line="360" w:lineRule="auto"/>
        <w:jc w:val="both"/>
        <w:rPr>
          <w:rFonts w:cs="Arial"/>
          <w:bCs/>
          <w:iCs/>
          <w:szCs w:val="20"/>
        </w:rPr>
      </w:pPr>
      <w:r w:rsidRPr="00763F63">
        <w:rPr>
          <w:rFonts w:cs="Arial"/>
          <w:bCs/>
          <w:iCs/>
          <w:szCs w:val="20"/>
        </w:rPr>
        <w:t>N/a</w:t>
      </w:r>
    </w:p>
    <w:p w14:paraId="1A5331DB" w14:textId="77777777" w:rsidR="005F5231" w:rsidRPr="00284F86" w:rsidRDefault="005F5231" w:rsidP="00E45140">
      <w:pPr>
        <w:pStyle w:val="Heading4"/>
      </w:pPr>
      <w:r w:rsidRPr="00284F86">
        <w:t>Reference Documents</w:t>
      </w:r>
    </w:p>
    <w:p w14:paraId="04AC5EB3" w14:textId="77777777" w:rsidR="00FB4511" w:rsidRPr="00763F63" w:rsidRDefault="00FB4511" w:rsidP="00763F63">
      <w:pPr>
        <w:numPr>
          <w:ilvl w:val="1"/>
          <w:numId w:val="14"/>
        </w:numPr>
        <w:tabs>
          <w:tab w:val="left" w:pos="567"/>
        </w:tabs>
        <w:spacing w:line="360" w:lineRule="auto"/>
        <w:jc w:val="both"/>
        <w:rPr>
          <w:rFonts w:cs="Arial"/>
          <w:bCs/>
          <w:iCs/>
          <w:szCs w:val="20"/>
        </w:rPr>
      </w:pPr>
      <w:bookmarkStart w:id="36" w:name="_Toc318967203"/>
      <w:r w:rsidRPr="00763F63">
        <w:rPr>
          <w:rFonts w:cs="Arial"/>
          <w:bCs/>
          <w:iCs/>
          <w:szCs w:val="20"/>
        </w:rPr>
        <w:t>N/a</w:t>
      </w:r>
    </w:p>
    <w:p w14:paraId="63B9BF15" w14:textId="6458719E" w:rsidR="00F73FD6" w:rsidRPr="00EB32BB" w:rsidRDefault="00A00B4A" w:rsidP="006D62F9">
      <w:pPr>
        <w:pStyle w:val="Heading03"/>
      </w:pPr>
      <w:bookmarkStart w:id="37" w:name="_Toc110371109"/>
      <w:r w:rsidRPr="00EB32BB">
        <w:t>Recommendation</w:t>
      </w:r>
      <w:r w:rsidR="006D75CD">
        <w:t>s</w:t>
      </w:r>
      <w:bookmarkEnd w:id="36"/>
      <w:bookmarkEnd w:id="37"/>
      <w:r w:rsidRPr="00EB32BB">
        <w:t xml:space="preserve"> </w:t>
      </w:r>
    </w:p>
    <w:p w14:paraId="67E48276" w14:textId="26ED50B9" w:rsidR="00D22CEB" w:rsidRDefault="00D10E24" w:rsidP="00E45140">
      <w:pPr>
        <w:pStyle w:val="Heading4"/>
      </w:pPr>
      <w:r>
        <w:t>Panel’s</w:t>
      </w:r>
      <w:r w:rsidR="00D22CEB">
        <w:t xml:space="preserve"> Recommendatio</w:t>
      </w:r>
      <w:r w:rsidR="00206A74">
        <w:t>n</w:t>
      </w:r>
    </w:p>
    <w:p w14:paraId="446DD00B" w14:textId="4F60ED5F" w:rsidR="00684433" w:rsidRPr="00763F63" w:rsidRDefault="00684433" w:rsidP="00763F63">
      <w:pPr>
        <w:numPr>
          <w:ilvl w:val="1"/>
          <w:numId w:val="14"/>
        </w:numPr>
        <w:tabs>
          <w:tab w:val="left" w:pos="567"/>
        </w:tabs>
        <w:spacing w:line="360" w:lineRule="auto"/>
        <w:jc w:val="both"/>
        <w:rPr>
          <w:rFonts w:cs="Arial"/>
          <w:bCs/>
          <w:iCs/>
          <w:szCs w:val="20"/>
        </w:rPr>
      </w:pPr>
      <w:r w:rsidRPr="00763F63">
        <w:rPr>
          <w:rFonts w:cs="Arial"/>
          <w:bCs/>
          <w:iCs/>
          <w:szCs w:val="20"/>
        </w:rPr>
        <w:t>The Panel approved this Change Report</w:t>
      </w:r>
      <w:r w:rsidR="00370EB1" w:rsidRPr="00763F63">
        <w:rPr>
          <w:rFonts w:cs="Arial"/>
          <w:bCs/>
          <w:iCs/>
          <w:szCs w:val="20"/>
        </w:rPr>
        <w:t xml:space="preserve"> </w:t>
      </w:r>
      <w:r w:rsidRPr="00763F63">
        <w:rPr>
          <w:rFonts w:cs="Arial"/>
          <w:bCs/>
          <w:iCs/>
          <w:szCs w:val="20"/>
        </w:rPr>
        <w:t xml:space="preserve">on </w:t>
      </w:r>
      <w:r w:rsidR="007D2270" w:rsidRPr="00763F63">
        <w:rPr>
          <w:rFonts w:cs="Arial"/>
          <w:bCs/>
          <w:iCs/>
          <w:szCs w:val="20"/>
        </w:rPr>
        <w:t>2</w:t>
      </w:r>
      <w:r w:rsidR="00206A74" w:rsidRPr="00763F63">
        <w:rPr>
          <w:rFonts w:cs="Arial"/>
          <w:bCs/>
          <w:iCs/>
          <w:szCs w:val="20"/>
        </w:rPr>
        <w:t>1</w:t>
      </w:r>
      <w:r w:rsidR="007D2270" w:rsidRPr="00763F63">
        <w:rPr>
          <w:rFonts w:cs="Arial"/>
          <w:bCs/>
          <w:iCs/>
          <w:szCs w:val="20"/>
        </w:rPr>
        <w:t xml:space="preserve"> </w:t>
      </w:r>
      <w:r w:rsidR="00206A74" w:rsidRPr="00763F63">
        <w:rPr>
          <w:rFonts w:cs="Arial"/>
          <w:bCs/>
          <w:iCs/>
          <w:szCs w:val="20"/>
        </w:rPr>
        <w:t>September</w:t>
      </w:r>
      <w:r w:rsidR="007D2270" w:rsidRPr="00763F63">
        <w:rPr>
          <w:rFonts w:cs="Arial"/>
          <w:bCs/>
          <w:iCs/>
          <w:szCs w:val="20"/>
        </w:rPr>
        <w:t xml:space="preserve"> 2022</w:t>
      </w:r>
      <w:r w:rsidRPr="00763F63">
        <w:rPr>
          <w:rFonts w:cs="Arial"/>
          <w:bCs/>
          <w:iCs/>
          <w:szCs w:val="20"/>
        </w:rPr>
        <w:t xml:space="preserve">. The Panel considered that the </w:t>
      </w:r>
      <w:r w:rsidR="0078738F" w:rsidRPr="00763F63">
        <w:rPr>
          <w:rFonts w:cs="Arial"/>
          <w:bCs/>
          <w:iCs/>
          <w:szCs w:val="20"/>
        </w:rPr>
        <w:t>Working Group</w:t>
      </w:r>
      <w:r w:rsidRPr="00763F63">
        <w:rPr>
          <w:rFonts w:cs="Arial"/>
          <w:bCs/>
          <w:iCs/>
          <w:szCs w:val="20"/>
        </w:rPr>
        <w:t xml:space="preserve"> has carried out the level of analysis required to enable Parties to understand the impact of the proposed amendment and to vote on DCP </w:t>
      </w:r>
      <w:r w:rsidR="00A52F37" w:rsidRPr="00763F63">
        <w:rPr>
          <w:rFonts w:cs="Arial"/>
          <w:bCs/>
          <w:iCs/>
          <w:szCs w:val="20"/>
        </w:rPr>
        <w:t>409</w:t>
      </w:r>
      <w:r w:rsidRPr="00763F63">
        <w:rPr>
          <w:rFonts w:cs="Arial"/>
          <w:bCs/>
          <w:iCs/>
          <w:szCs w:val="20"/>
        </w:rPr>
        <w:t>.</w:t>
      </w:r>
    </w:p>
    <w:p w14:paraId="43D31468" w14:textId="233FB6EE" w:rsidR="00945537" w:rsidRPr="00763F63" w:rsidRDefault="00D10E24" w:rsidP="00763F63">
      <w:pPr>
        <w:numPr>
          <w:ilvl w:val="1"/>
          <w:numId w:val="14"/>
        </w:numPr>
        <w:tabs>
          <w:tab w:val="left" w:pos="567"/>
        </w:tabs>
        <w:spacing w:line="360" w:lineRule="auto"/>
        <w:jc w:val="both"/>
        <w:rPr>
          <w:rFonts w:cs="Arial"/>
          <w:bCs/>
          <w:iCs/>
          <w:szCs w:val="20"/>
        </w:rPr>
      </w:pPr>
      <w:r w:rsidRPr="00763F63">
        <w:rPr>
          <w:rFonts w:cs="Arial"/>
          <w:bCs/>
          <w:iCs/>
          <w:szCs w:val="20"/>
        </w:rPr>
        <w:t xml:space="preserve">The Panel have recommended that this report is issued </w:t>
      </w:r>
      <w:r w:rsidR="00684433" w:rsidRPr="00763F63">
        <w:rPr>
          <w:rFonts w:cs="Arial"/>
          <w:bCs/>
          <w:iCs/>
          <w:szCs w:val="20"/>
        </w:rPr>
        <w:t>for Voting and DCUSA P</w:t>
      </w:r>
      <w:r w:rsidRPr="00763F63">
        <w:rPr>
          <w:rFonts w:cs="Arial"/>
          <w:bCs/>
          <w:iCs/>
          <w:szCs w:val="20"/>
        </w:rPr>
        <w:t xml:space="preserve">arties should consider whether they wish to submit views regarding this </w:t>
      </w:r>
      <w:r w:rsidR="00945537" w:rsidRPr="00763F63">
        <w:rPr>
          <w:rFonts w:cs="Arial"/>
          <w:bCs/>
          <w:iCs/>
          <w:szCs w:val="20"/>
        </w:rPr>
        <w:t>Change Proposal.</w:t>
      </w:r>
    </w:p>
    <w:p w14:paraId="16B0440A" w14:textId="1A30C394" w:rsidR="003D0359" w:rsidRPr="00763F63" w:rsidRDefault="003D0359" w:rsidP="00763F63">
      <w:pPr>
        <w:numPr>
          <w:ilvl w:val="1"/>
          <w:numId w:val="14"/>
        </w:numPr>
        <w:tabs>
          <w:tab w:val="left" w:pos="567"/>
        </w:tabs>
        <w:spacing w:line="360" w:lineRule="auto"/>
        <w:jc w:val="both"/>
        <w:rPr>
          <w:rFonts w:cs="Arial"/>
          <w:bCs/>
          <w:iCs/>
          <w:szCs w:val="20"/>
        </w:rPr>
      </w:pPr>
      <w:r w:rsidRPr="00763F63">
        <w:rPr>
          <w:rFonts w:cs="Arial"/>
          <w:bCs/>
          <w:iCs/>
          <w:szCs w:val="20"/>
        </w:rPr>
        <w:t>Parties are invited to vote in favour of either alternative solution</w:t>
      </w:r>
      <w:r w:rsidR="00DF4FDE" w:rsidRPr="00763F63">
        <w:rPr>
          <w:rFonts w:cs="Arial"/>
          <w:bCs/>
          <w:iCs/>
          <w:szCs w:val="20"/>
        </w:rPr>
        <w:t>, both solutions expressing a preference</w:t>
      </w:r>
      <w:r w:rsidR="00763F63">
        <w:rPr>
          <w:rFonts w:cs="Arial"/>
          <w:bCs/>
          <w:iCs/>
          <w:szCs w:val="20"/>
        </w:rPr>
        <w:t>,</w:t>
      </w:r>
      <w:r w:rsidRPr="00763F63">
        <w:rPr>
          <w:rFonts w:cs="Arial"/>
          <w:bCs/>
          <w:iCs/>
          <w:szCs w:val="20"/>
        </w:rPr>
        <w:t xml:space="preserve"> </w:t>
      </w:r>
      <w:proofErr w:type="gramStart"/>
      <w:r w:rsidRPr="00763F63">
        <w:rPr>
          <w:rFonts w:cs="Arial"/>
          <w:bCs/>
          <w:iCs/>
          <w:szCs w:val="20"/>
        </w:rPr>
        <w:t>or</w:t>
      </w:r>
      <w:proofErr w:type="gramEnd"/>
      <w:r w:rsidRPr="00763F63">
        <w:rPr>
          <w:rFonts w:cs="Arial"/>
          <w:bCs/>
          <w:iCs/>
          <w:szCs w:val="20"/>
        </w:rPr>
        <w:t xml:space="preserve"> to reject both</w:t>
      </w:r>
      <w:r w:rsidR="00DF4FDE" w:rsidRPr="00763F63">
        <w:rPr>
          <w:rFonts w:cs="Arial"/>
          <w:bCs/>
          <w:iCs/>
          <w:szCs w:val="20"/>
        </w:rPr>
        <w:t xml:space="preserve">. </w:t>
      </w:r>
      <w:r w:rsidRPr="00763F63">
        <w:rPr>
          <w:rFonts w:cs="Arial"/>
          <w:bCs/>
          <w:iCs/>
          <w:szCs w:val="20"/>
        </w:rPr>
        <w:t xml:space="preserve"> </w:t>
      </w:r>
    </w:p>
    <w:p w14:paraId="13C2AE87" w14:textId="77777777" w:rsidR="00684433" w:rsidRDefault="00684433" w:rsidP="009456EB">
      <w:pPr>
        <w:pStyle w:val="Heading03"/>
      </w:pPr>
      <w:bookmarkStart w:id="38" w:name="_Toc110371110"/>
      <w:r w:rsidRPr="00FD64CC">
        <w:t>Attachments</w:t>
      </w:r>
      <w:bookmarkEnd w:id="38"/>
      <w:r w:rsidRPr="00FD64CC">
        <w:t xml:space="preserve"> </w:t>
      </w:r>
    </w:p>
    <w:p w14:paraId="2EAE353B" w14:textId="355D2BA0" w:rsidR="00574742" w:rsidRPr="00284F86" w:rsidRDefault="00574742" w:rsidP="00845FD4">
      <w:pPr>
        <w:pStyle w:val="ListBullet2"/>
      </w:pPr>
      <w:r w:rsidRPr="00284F86">
        <w:t>Attachment 1</w:t>
      </w:r>
      <w:r w:rsidR="00DF4FDE" w:rsidRPr="00284F86">
        <w:t>a</w:t>
      </w:r>
      <w:r w:rsidRPr="00284F86">
        <w:t xml:space="preserve"> </w:t>
      </w:r>
      <w:r w:rsidR="00C90A25" w:rsidRPr="00284F86">
        <w:t xml:space="preserve">- DCP </w:t>
      </w:r>
      <w:r w:rsidR="00A52F37" w:rsidRPr="00284F86">
        <w:t xml:space="preserve">409 </w:t>
      </w:r>
      <w:r w:rsidR="00C90A25" w:rsidRPr="00284F86">
        <w:t>Legal Text</w:t>
      </w:r>
    </w:p>
    <w:p w14:paraId="525F63C1" w14:textId="4B27885A" w:rsidR="00DF4FDE" w:rsidRPr="00284F86" w:rsidRDefault="00DF4FDE" w:rsidP="00DF4FDE">
      <w:pPr>
        <w:pStyle w:val="ListBullet2"/>
      </w:pPr>
      <w:r w:rsidRPr="00284F86">
        <w:t>Attachment 1b - DCP 409 Alternative Legal Text</w:t>
      </w:r>
    </w:p>
    <w:p w14:paraId="6C3CD725" w14:textId="77777777" w:rsidR="00574742" w:rsidRPr="00284F86" w:rsidRDefault="00574742" w:rsidP="00845FD4">
      <w:pPr>
        <w:pStyle w:val="ListBullet2"/>
      </w:pPr>
      <w:r w:rsidRPr="00284F86">
        <w:t xml:space="preserve">Attachment 2 </w:t>
      </w:r>
      <w:r w:rsidR="008B1393" w:rsidRPr="00284F86">
        <w:t xml:space="preserve">- </w:t>
      </w:r>
      <w:r w:rsidRPr="00284F86">
        <w:t>Voting Form</w:t>
      </w:r>
    </w:p>
    <w:p w14:paraId="5E6D3DA4" w14:textId="2E68754C" w:rsidR="007D2270" w:rsidRPr="00284F86" w:rsidRDefault="007D2270" w:rsidP="007D2270">
      <w:pPr>
        <w:pStyle w:val="ListBullet2"/>
      </w:pPr>
      <w:r w:rsidRPr="00284F86">
        <w:t xml:space="preserve">Attachment </w:t>
      </w:r>
      <w:r w:rsidR="00A52F37" w:rsidRPr="00284F86">
        <w:t>3</w:t>
      </w:r>
      <w:r w:rsidRPr="00284F86">
        <w:t xml:space="preserve"> </w:t>
      </w:r>
      <w:r w:rsidR="008B1393" w:rsidRPr="00284F86">
        <w:t>-</w:t>
      </w:r>
      <w:r w:rsidRPr="00284F86">
        <w:t xml:space="preserve"> </w:t>
      </w:r>
      <w:r w:rsidR="00C90A25" w:rsidRPr="00284F86">
        <w:t xml:space="preserve">Consultation Responses &amp; WG Comments </w:t>
      </w:r>
    </w:p>
    <w:p w14:paraId="1FE29825" w14:textId="6B1F6B27" w:rsidR="00574742" w:rsidRPr="00284F86" w:rsidRDefault="007D2270" w:rsidP="00490F6C">
      <w:pPr>
        <w:pStyle w:val="ListBullet2"/>
      </w:pPr>
      <w:r w:rsidRPr="00284F86">
        <w:t xml:space="preserve">Attachment </w:t>
      </w:r>
      <w:r w:rsidR="00A52F37" w:rsidRPr="00284F86">
        <w:t>4</w:t>
      </w:r>
      <w:r w:rsidR="00474DED" w:rsidRPr="00284F86">
        <w:t xml:space="preserve"> </w:t>
      </w:r>
      <w:r w:rsidRPr="00284F86">
        <w:t xml:space="preserve">- </w:t>
      </w:r>
      <w:r w:rsidR="008B1393" w:rsidRPr="00284F86">
        <w:t xml:space="preserve">DCP </w:t>
      </w:r>
      <w:r w:rsidR="00A52F37" w:rsidRPr="00284F86">
        <w:t>409</w:t>
      </w:r>
      <w:r w:rsidR="008B1393" w:rsidRPr="00284F86">
        <w:t xml:space="preserve"> Change Proposal</w:t>
      </w:r>
    </w:p>
    <w:sectPr w:rsidR="00574742" w:rsidRPr="00284F86" w:rsidSect="00FF6C79">
      <w:headerReference w:type="default" r:id="rId21"/>
      <w:footerReference w:type="default" r:id="rId22"/>
      <w:pgSz w:w="11906" w:h="16838"/>
      <w:pgMar w:top="1418" w:right="1416" w:bottom="567" w:left="1134" w:header="142" w:footer="70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Hannah Proffitt" w:date="2022-09-01T14:55:00Z" w:initials="HP">
    <w:p w14:paraId="41FAC421" w14:textId="77777777" w:rsidR="00DA7E9E" w:rsidRDefault="00DA7E9E" w:rsidP="00CC4D5B">
      <w:pPr>
        <w:pStyle w:val="CommentText"/>
      </w:pPr>
      <w:r>
        <w:rPr>
          <w:rStyle w:val="CommentReference"/>
        </w:rPr>
        <w:annotationRef/>
      </w:r>
      <w:r>
        <w:t>What is appendix 4? Should this be an additional Attachment?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1FAC42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B466D" w16cex:dateUtc="2022-09-01T13: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FAC421" w16cid:durableId="26BB466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3BA26" w14:textId="77777777" w:rsidR="0053467B" w:rsidRDefault="0053467B">
      <w:pPr>
        <w:spacing w:line="240" w:lineRule="auto"/>
      </w:pPr>
      <w:r>
        <w:separator/>
      </w:r>
    </w:p>
    <w:p w14:paraId="37592E94" w14:textId="77777777" w:rsidR="0053467B" w:rsidRDefault="0053467B"/>
  </w:endnote>
  <w:endnote w:type="continuationSeparator" w:id="0">
    <w:p w14:paraId="46F41FB7" w14:textId="77777777" w:rsidR="0053467B" w:rsidRDefault="0053467B">
      <w:pPr>
        <w:spacing w:line="240" w:lineRule="auto"/>
      </w:pPr>
      <w:r>
        <w:continuationSeparator/>
      </w:r>
    </w:p>
    <w:p w14:paraId="1E7185BA" w14:textId="77777777" w:rsidR="0053467B" w:rsidRDefault="0053467B"/>
  </w:endnote>
  <w:endnote w:type="continuationNotice" w:id="1">
    <w:p w14:paraId="70550D81" w14:textId="77777777" w:rsidR="0053467B" w:rsidRDefault="0053467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BBB19" w14:textId="764E9237" w:rsidR="007044BE" w:rsidRDefault="00A77FCF"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 xml:space="preserve">DCP </w:t>
    </w:r>
    <w:r w:rsidR="00453452">
      <w:rPr>
        <w:rFonts w:cs="Arial"/>
        <w:sz w:val="16"/>
        <w:szCs w:val="16"/>
      </w:rPr>
      <w:t>409</w:t>
    </w:r>
    <w:r w:rsidR="007044BE">
      <w:rPr>
        <w:rFonts w:cs="Arial"/>
        <w:sz w:val="16"/>
        <w:szCs w:val="16"/>
      </w:rPr>
      <w:tab/>
    </w:r>
    <w:r w:rsidR="007044BE">
      <w:rPr>
        <w:rFonts w:cs="Arial"/>
        <w:sz w:val="16"/>
        <w:szCs w:val="16"/>
      </w:rPr>
      <w:tab/>
    </w:r>
    <w:r w:rsidR="007044BE" w:rsidRPr="000660DF">
      <w:rPr>
        <w:rFonts w:cs="Arial"/>
        <w:sz w:val="16"/>
        <w:szCs w:val="16"/>
        <w:lang w:val="en-US"/>
      </w:rPr>
      <w:t xml:space="preserve">Page </w:t>
    </w:r>
    <w:r w:rsidR="007044BE" w:rsidRPr="000660DF">
      <w:rPr>
        <w:rFonts w:cs="Arial"/>
        <w:sz w:val="16"/>
        <w:szCs w:val="16"/>
        <w:lang w:val="en-US"/>
      </w:rPr>
      <w:fldChar w:fldCharType="begin"/>
    </w:r>
    <w:r w:rsidR="007044BE" w:rsidRPr="000660DF">
      <w:rPr>
        <w:rFonts w:cs="Arial"/>
        <w:sz w:val="16"/>
        <w:szCs w:val="16"/>
        <w:lang w:val="en-US"/>
      </w:rPr>
      <w:instrText xml:space="preserve"> PAGE </w:instrText>
    </w:r>
    <w:r w:rsidR="007044BE" w:rsidRPr="000660DF">
      <w:rPr>
        <w:rFonts w:cs="Arial"/>
        <w:sz w:val="16"/>
        <w:szCs w:val="16"/>
        <w:lang w:val="en-US"/>
      </w:rPr>
      <w:fldChar w:fldCharType="separate"/>
    </w:r>
    <w:r w:rsidR="0050697B">
      <w:rPr>
        <w:rFonts w:cs="Arial"/>
        <w:noProof/>
        <w:sz w:val="16"/>
        <w:szCs w:val="16"/>
        <w:lang w:val="en-US"/>
      </w:rPr>
      <w:t>6</w:t>
    </w:r>
    <w:r w:rsidR="007044BE" w:rsidRPr="000660DF">
      <w:rPr>
        <w:rFonts w:cs="Arial"/>
        <w:sz w:val="16"/>
        <w:szCs w:val="16"/>
        <w:lang w:val="en-US"/>
      </w:rPr>
      <w:fldChar w:fldCharType="end"/>
    </w:r>
    <w:r w:rsidR="007044BE" w:rsidRPr="000660DF">
      <w:rPr>
        <w:rFonts w:cs="Arial"/>
        <w:sz w:val="16"/>
        <w:szCs w:val="16"/>
        <w:lang w:val="en-US"/>
      </w:rPr>
      <w:t xml:space="preserve"> of </w:t>
    </w:r>
    <w:r w:rsidR="007044BE" w:rsidRPr="000660DF">
      <w:rPr>
        <w:rFonts w:cs="Arial"/>
        <w:sz w:val="16"/>
        <w:szCs w:val="16"/>
        <w:lang w:val="en-US"/>
      </w:rPr>
      <w:fldChar w:fldCharType="begin"/>
    </w:r>
    <w:r w:rsidR="007044BE" w:rsidRPr="000660DF">
      <w:rPr>
        <w:rFonts w:cs="Arial"/>
        <w:sz w:val="16"/>
        <w:szCs w:val="16"/>
        <w:lang w:val="en-US"/>
      </w:rPr>
      <w:instrText xml:space="preserve"> NUMPAGES </w:instrText>
    </w:r>
    <w:r w:rsidR="007044BE" w:rsidRPr="000660DF">
      <w:rPr>
        <w:rFonts w:cs="Arial"/>
        <w:sz w:val="16"/>
        <w:szCs w:val="16"/>
        <w:lang w:val="en-US"/>
      </w:rPr>
      <w:fldChar w:fldCharType="separate"/>
    </w:r>
    <w:r w:rsidR="0050697B">
      <w:rPr>
        <w:rFonts w:cs="Arial"/>
        <w:noProof/>
        <w:sz w:val="16"/>
        <w:szCs w:val="16"/>
        <w:lang w:val="en-US"/>
      </w:rPr>
      <w:t>7</w:t>
    </w:r>
    <w:r w:rsidR="007044BE" w:rsidRPr="000660DF">
      <w:rPr>
        <w:rFonts w:cs="Arial"/>
        <w:sz w:val="16"/>
        <w:szCs w:val="16"/>
        <w:lang w:val="en-US"/>
      </w:rPr>
      <w:fldChar w:fldCharType="end"/>
    </w:r>
    <w:r w:rsidR="003C4891">
      <w:rPr>
        <w:rFonts w:cs="Arial"/>
        <w:sz w:val="16"/>
        <w:szCs w:val="16"/>
        <w:lang w:val="en-US"/>
      </w:rPr>
      <w:tab/>
      <w:t>Version 1.0</w:t>
    </w:r>
  </w:p>
  <w:p w14:paraId="518578DC" w14:textId="77777777" w:rsidR="007044BE" w:rsidRPr="000660DF" w:rsidRDefault="00AA7E89" w:rsidP="00FD0418">
    <w:pPr>
      <w:pStyle w:val="Footer"/>
      <w:pBdr>
        <w:top w:val="single" w:sz="4" w:space="1" w:color="auto"/>
      </w:pBdr>
      <w:tabs>
        <w:tab w:val="clear" w:pos="4320"/>
        <w:tab w:val="clear" w:pos="8640"/>
        <w:tab w:val="center" w:pos="4962"/>
        <w:tab w:val="right" w:pos="9356"/>
      </w:tabs>
      <w:spacing w:before="0" w:after="0" w:line="240" w:lineRule="auto"/>
      <w:jc w:val="center"/>
      <w:rPr>
        <w:rFonts w:cs="Arial"/>
        <w:sz w:val="16"/>
        <w:szCs w:val="16"/>
      </w:rPr>
    </w:pPr>
    <w:r>
      <w:rPr>
        <w:rFonts w:cs="Arial"/>
        <w:sz w:val="16"/>
        <w:szCs w:val="16"/>
        <w:lang w:val="en-US"/>
      </w:rPr>
      <w:t>Change</w:t>
    </w:r>
    <w:r w:rsidR="00B52A9E">
      <w:rPr>
        <w:rFonts w:cs="Arial"/>
        <w:sz w:val="16"/>
        <w:szCs w:val="16"/>
        <w:lang w:val="en-US"/>
      </w:rPr>
      <w:t xml:space="preserve"> Report</w:t>
    </w:r>
    <w:r w:rsidR="007044BE">
      <w:rPr>
        <w:rFonts w:cs="Arial"/>
        <w:sz w:val="16"/>
        <w:szCs w:val="16"/>
        <w:lang w:val="en-US"/>
      </w:rPr>
      <w:tab/>
    </w:r>
    <w:r w:rsidR="007044BE" w:rsidRPr="000660DF">
      <w:rPr>
        <w:rFonts w:cs="Arial"/>
        <w:sz w:val="16"/>
        <w:szCs w:val="16"/>
      </w:rPr>
      <w:t xml:space="preserve">© </w:t>
    </w:r>
    <w:r w:rsidR="007044BE">
      <w:rPr>
        <w:rFonts w:cs="Arial"/>
        <w:sz w:val="16"/>
        <w:szCs w:val="16"/>
      </w:rPr>
      <w:t xml:space="preserve">2016 </w:t>
    </w:r>
    <w:r w:rsidR="007044BE" w:rsidRPr="000660DF">
      <w:rPr>
        <w:rFonts w:cs="Arial"/>
        <w:sz w:val="16"/>
        <w:szCs w:val="16"/>
      </w:rPr>
      <w:t>all rights reserved</w:t>
    </w:r>
    <w:r w:rsidR="007044BE">
      <w:rPr>
        <w:rFonts w:cs="Arial"/>
        <w:sz w:val="16"/>
        <w:szCs w:val="16"/>
      </w:rPr>
      <w:tab/>
    </w:r>
    <w:r w:rsidR="00C90A25">
      <w:rPr>
        <w:rFonts w:cs="Arial"/>
        <w:sz w:val="16"/>
        <w:szCs w:val="16"/>
        <w:lang w:val="en-US"/>
      </w:rPr>
      <w:t>20 July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A2B70" w14:textId="77777777" w:rsidR="0053467B" w:rsidRDefault="0053467B">
      <w:pPr>
        <w:spacing w:line="240" w:lineRule="auto"/>
      </w:pPr>
      <w:r>
        <w:separator/>
      </w:r>
    </w:p>
    <w:p w14:paraId="5DD11E9C" w14:textId="77777777" w:rsidR="0053467B" w:rsidRDefault="0053467B"/>
  </w:footnote>
  <w:footnote w:type="continuationSeparator" w:id="0">
    <w:p w14:paraId="470DE9D2" w14:textId="77777777" w:rsidR="0053467B" w:rsidRDefault="0053467B">
      <w:pPr>
        <w:spacing w:line="240" w:lineRule="auto"/>
      </w:pPr>
      <w:r>
        <w:continuationSeparator/>
      </w:r>
    </w:p>
    <w:p w14:paraId="7BCFFCBF" w14:textId="77777777" w:rsidR="0053467B" w:rsidRDefault="0053467B"/>
  </w:footnote>
  <w:footnote w:type="continuationNotice" w:id="1">
    <w:p w14:paraId="6AD0F8A8" w14:textId="77777777" w:rsidR="0053467B" w:rsidRDefault="0053467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7F9B1" w14:textId="04179016" w:rsidR="000E1892" w:rsidRDefault="008B547E">
    <w:pPr>
      <w:pStyle w:val="Header"/>
    </w:pPr>
    <w:r>
      <w:rPr>
        <w:noProof/>
      </w:rPr>
      <w:drawing>
        <wp:anchor distT="0" distB="0" distL="114300" distR="114300" simplePos="0" relativeHeight="251657728" behindDoc="0" locked="0" layoutInCell="1" allowOverlap="1" wp14:anchorId="01DD6C93" wp14:editId="5BB684F5">
          <wp:simplePos x="0" y="0"/>
          <wp:positionH relativeFrom="column">
            <wp:posOffset>4118610</wp:posOffset>
          </wp:positionH>
          <wp:positionV relativeFrom="paragraph">
            <wp:posOffset>-17780</wp:posOffset>
          </wp:positionV>
          <wp:extent cx="2317750" cy="784860"/>
          <wp:effectExtent l="0" t="0" r="0" b="0"/>
          <wp:wrapNone/>
          <wp:docPr id="3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7750" cy="784860"/>
                  </a:xfrm>
                  <a:prstGeom prst="rect">
                    <a:avLst/>
                  </a:prstGeom>
                  <a:noFill/>
                  <a:ln>
                    <a:noFill/>
                  </a:ln>
                </pic:spPr>
              </pic:pic>
            </a:graphicData>
          </a:graphic>
          <wp14:sizeRelH relativeFrom="page">
            <wp14:pctWidth>0</wp14:pctWidth>
          </wp14:sizeRelH>
          <wp14:sizeRelV relativeFrom="page">
            <wp14:pctHeight>0</wp14:pctHeight>
          </wp14:sizeRelV>
        </wp:anchor>
      </w:drawing>
    </w:r>
    <w:r w:rsidR="000E1892">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A8CABE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06314909"/>
    <w:multiLevelType w:val="multilevel"/>
    <w:tmpl w:val="FA00912E"/>
    <w:lvl w:ilvl="0">
      <w:start w:val="1"/>
      <w:numFmt w:val="decimal"/>
      <w:pStyle w:val="Heading03"/>
      <w:lvlText w:val="%1"/>
      <w:lvlJc w:val="left"/>
      <w:pPr>
        <w:ind w:left="432" w:hanging="432"/>
      </w:pPr>
      <w:rPr>
        <w:rFonts w:hint="default"/>
      </w:rPr>
    </w:lvl>
    <w:lvl w:ilvl="1">
      <w:start w:val="1"/>
      <w:numFmt w:val="decimal"/>
      <w:lvlText w:val="%1.%2"/>
      <w:lvlJc w:val="left"/>
      <w:pPr>
        <w:ind w:left="576" w:hanging="576"/>
      </w:pPr>
      <w:rPr>
        <w:rFonts w:ascii="Arial" w:hAnsi="Arial" w:cs="Arial" w:hint="default"/>
        <w:b w:val="0"/>
        <w:bCs/>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4" w15:restartNumberingAfterBreak="0">
    <w:nsid w:val="0FA302AA"/>
    <w:multiLevelType w:val="hybridMultilevel"/>
    <w:tmpl w:val="6BFC3544"/>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5" w15:restartNumberingAfterBreak="0">
    <w:nsid w:val="14485274"/>
    <w:multiLevelType w:val="hybridMultilevel"/>
    <w:tmpl w:val="206E734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66459F"/>
    <w:multiLevelType w:val="hybridMultilevel"/>
    <w:tmpl w:val="35AA061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6FF71D5"/>
    <w:multiLevelType w:val="multilevel"/>
    <w:tmpl w:val="0A0E2236"/>
    <w:lvl w:ilvl="0">
      <w:start w:val="1"/>
      <w:numFmt w:val="decimal"/>
      <w:lvlText w:val="%1"/>
      <w:lvlJc w:val="left"/>
      <w:pPr>
        <w:ind w:left="432" w:hanging="432"/>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E526FE"/>
    <w:multiLevelType w:val="hybridMultilevel"/>
    <w:tmpl w:val="206E734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ACF00A8"/>
    <w:multiLevelType w:val="hybridMultilevel"/>
    <w:tmpl w:val="C9C2ACB0"/>
    <w:lvl w:ilvl="0" w:tplc="1C2E7206">
      <w:start w:val="1"/>
      <w:numFmt w:val="lowerLetter"/>
      <w:lvlText w:val="(%1)"/>
      <w:lvlJc w:val="left"/>
      <w:pPr>
        <w:ind w:left="720" w:hanging="360"/>
      </w:pPr>
      <w:rPr>
        <w:rFonts w:eastAsiaTheme="minorHAnsi"/>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B896B52"/>
    <w:multiLevelType w:val="hybridMultilevel"/>
    <w:tmpl w:val="D40423D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2EE53BAE"/>
    <w:multiLevelType w:val="multilevel"/>
    <w:tmpl w:val="8F227D00"/>
    <w:lvl w:ilvl="0">
      <w:start w:val="1"/>
      <w:numFmt w:val="lowerLetter"/>
      <w:pStyle w:val="DCUSATableTexta"/>
      <w:lvlText w:val="(%1)"/>
      <w:lvlJc w:val="left"/>
      <w:pPr>
        <w:ind w:left="1208" w:hanging="357"/>
      </w:pPr>
      <w:rPr>
        <w:b w:val="0"/>
      </w:rPr>
    </w:lvl>
    <w:lvl w:ilvl="1">
      <w:start w:val="1"/>
      <w:numFmt w:val="bullet"/>
      <w:pStyle w:val="DCUSATableTextbulletpt"/>
      <w:lvlText w:val=""/>
      <w:lvlJc w:val="left"/>
      <w:pPr>
        <w:ind w:left="1208" w:hanging="357"/>
      </w:pPr>
      <w:rPr>
        <w:rFonts w:ascii="Symbol" w:hAnsi="Symbol" w:hint="default"/>
      </w:rPr>
    </w:lvl>
    <w:lvl w:ilvl="2">
      <w:start w:val="1"/>
      <w:numFmt w:val="lowerRoman"/>
      <w:lvlText w:val="%3)"/>
      <w:lvlJc w:val="left"/>
      <w:pPr>
        <w:ind w:left="1208" w:hanging="357"/>
      </w:pPr>
    </w:lvl>
    <w:lvl w:ilvl="3">
      <w:start w:val="1"/>
      <w:numFmt w:val="decimal"/>
      <w:lvlText w:val="(%4)"/>
      <w:lvlJc w:val="left"/>
      <w:pPr>
        <w:ind w:left="1208" w:hanging="357"/>
      </w:pPr>
    </w:lvl>
    <w:lvl w:ilvl="4">
      <w:start w:val="1"/>
      <w:numFmt w:val="lowerLetter"/>
      <w:lvlText w:val="(%5)"/>
      <w:lvlJc w:val="left"/>
      <w:pPr>
        <w:ind w:left="1208" w:hanging="357"/>
      </w:pPr>
    </w:lvl>
    <w:lvl w:ilvl="5">
      <w:start w:val="1"/>
      <w:numFmt w:val="lowerRoman"/>
      <w:lvlText w:val="(%6)"/>
      <w:lvlJc w:val="left"/>
      <w:pPr>
        <w:ind w:left="1208" w:hanging="357"/>
      </w:pPr>
    </w:lvl>
    <w:lvl w:ilvl="6">
      <w:start w:val="1"/>
      <w:numFmt w:val="decimal"/>
      <w:lvlText w:val="%7."/>
      <w:lvlJc w:val="left"/>
      <w:pPr>
        <w:ind w:left="1208" w:hanging="357"/>
      </w:pPr>
    </w:lvl>
    <w:lvl w:ilvl="7">
      <w:start w:val="1"/>
      <w:numFmt w:val="lowerLetter"/>
      <w:lvlText w:val="%8."/>
      <w:lvlJc w:val="left"/>
      <w:pPr>
        <w:ind w:left="1208" w:hanging="357"/>
      </w:pPr>
    </w:lvl>
    <w:lvl w:ilvl="8">
      <w:start w:val="1"/>
      <w:numFmt w:val="lowerRoman"/>
      <w:lvlText w:val="%9."/>
      <w:lvlJc w:val="left"/>
      <w:pPr>
        <w:ind w:left="1208" w:hanging="357"/>
      </w:pPr>
    </w:lvl>
  </w:abstractNum>
  <w:abstractNum w:abstractNumId="15"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34241123"/>
    <w:multiLevelType w:val="hybridMultilevel"/>
    <w:tmpl w:val="55DEA4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010CC2"/>
    <w:multiLevelType w:val="hybridMultilevel"/>
    <w:tmpl w:val="1EF025EE"/>
    <w:lvl w:ilvl="0" w:tplc="0809000F">
      <w:start w:val="1"/>
      <w:numFmt w:val="decimal"/>
      <w:lvlText w:val="%1."/>
      <w:lvlJc w:val="left"/>
      <w:pPr>
        <w:ind w:left="720" w:hanging="360"/>
      </w:pPr>
    </w:lvl>
    <w:lvl w:ilvl="1" w:tplc="8C6699A2">
      <w:start w:val="1"/>
      <w:numFmt w:val="lowerRoman"/>
      <w:lvlText w:val="(%2)"/>
      <w:lvlJc w:val="left"/>
      <w:pPr>
        <w:ind w:left="1800" w:hanging="720"/>
      </w:pPr>
      <w:rPr>
        <w:rFonts w:eastAsiaTheme="minorHAnsi"/>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3D867850"/>
    <w:multiLevelType w:val="multilevel"/>
    <w:tmpl w:val="1EC4A242"/>
    <w:lvl w:ilvl="0">
      <w:start w:val="1"/>
      <w:numFmt w:val="decimal"/>
      <w:pStyle w:val="Heading1"/>
      <w:lvlText w:val="%1"/>
      <w:lvlJc w:val="left"/>
      <w:pPr>
        <w:ind w:left="716" w:hanging="432"/>
      </w:pPr>
      <w:rPr>
        <w:rFonts w:hint="default"/>
      </w:rPr>
    </w:lvl>
    <w:lvl w:ilvl="1">
      <w:start w:val="1"/>
      <w:numFmt w:val="decimal"/>
      <w:lvlText w:val="%1.%2"/>
      <w:lvlJc w:val="left"/>
      <w:pPr>
        <w:ind w:left="576" w:hanging="576"/>
      </w:pPr>
      <w:rPr>
        <w:rFonts w:ascii="Arial" w:hAnsi="Arial" w:cs="Aria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857"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0" w15:restartNumberingAfterBreak="0">
    <w:nsid w:val="41146455"/>
    <w:multiLevelType w:val="hybridMultilevel"/>
    <w:tmpl w:val="1E24925A"/>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437176B6"/>
    <w:multiLevelType w:val="hybridMultilevel"/>
    <w:tmpl w:val="E796F10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5935154F"/>
    <w:multiLevelType w:val="hybridMultilevel"/>
    <w:tmpl w:val="5D4EED54"/>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23" w15:restartNumberingAfterBreak="0">
    <w:nsid w:val="5AD732A4"/>
    <w:multiLevelType w:val="hybridMultilevel"/>
    <w:tmpl w:val="C414E07A"/>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4" w15:restartNumberingAfterBreak="0">
    <w:nsid w:val="5B022EB5"/>
    <w:multiLevelType w:val="multilevel"/>
    <w:tmpl w:val="B4B8648C"/>
    <w:lvl w:ilvl="0">
      <w:start w:val="1"/>
      <w:numFmt w:val="decimal"/>
      <w:lvlText w:val="%1"/>
      <w:lvlJc w:val="left"/>
      <w:pPr>
        <w:ind w:left="432" w:hanging="432"/>
      </w:pPr>
      <w:rPr>
        <w:rFonts w:hint="default"/>
      </w:rPr>
    </w:lvl>
    <w:lvl w:ilvl="1">
      <w:start w:val="1"/>
      <w:numFmt w:val="bullet"/>
      <w:lvlText w:val=""/>
      <w:lvlJc w:val="left"/>
      <w:pPr>
        <w:ind w:left="36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26"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7F047C"/>
    <w:multiLevelType w:val="hybridMultilevel"/>
    <w:tmpl w:val="7B225CB2"/>
    <w:lvl w:ilvl="0" w:tplc="08090001">
      <w:start w:val="1"/>
      <w:numFmt w:val="bullet"/>
      <w:lvlText w:val=""/>
      <w:lvlJc w:val="left"/>
      <w:pPr>
        <w:ind w:left="927" w:hanging="360"/>
      </w:pPr>
      <w:rPr>
        <w:rFonts w:ascii="Symbol" w:hAnsi="Symbol" w:hint="default"/>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1" w15:restartNumberingAfterBreak="0">
    <w:nsid w:val="6D104157"/>
    <w:multiLevelType w:val="multilevel"/>
    <w:tmpl w:val="FEE8D3FC"/>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bCs w:val="0"/>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1F6441F"/>
    <w:multiLevelType w:val="hybridMultilevel"/>
    <w:tmpl w:val="63A4F0C2"/>
    <w:lvl w:ilvl="0" w:tplc="BA8E5496">
      <w:start w:val="1"/>
      <w:numFmt w:val="lowerLetter"/>
      <w:lvlText w:val="(%1)"/>
      <w:lvlJc w:val="left"/>
      <w:pPr>
        <w:ind w:left="396" w:hanging="360"/>
      </w:pPr>
      <w:rPr>
        <w:rFonts w:hint="default"/>
      </w:rPr>
    </w:lvl>
    <w:lvl w:ilvl="1" w:tplc="08090019" w:tentative="1">
      <w:start w:val="1"/>
      <w:numFmt w:val="lowerLetter"/>
      <w:lvlText w:val="%2."/>
      <w:lvlJc w:val="left"/>
      <w:pPr>
        <w:ind w:left="1116" w:hanging="360"/>
      </w:pPr>
    </w:lvl>
    <w:lvl w:ilvl="2" w:tplc="0809001B" w:tentative="1">
      <w:start w:val="1"/>
      <w:numFmt w:val="lowerRoman"/>
      <w:lvlText w:val="%3."/>
      <w:lvlJc w:val="right"/>
      <w:pPr>
        <w:ind w:left="1836" w:hanging="180"/>
      </w:pPr>
    </w:lvl>
    <w:lvl w:ilvl="3" w:tplc="0809000F" w:tentative="1">
      <w:start w:val="1"/>
      <w:numFmt w:val="decimal"/>
      <w:lvlText w:val="%4."/>
      <w:lvlJc w:val="left"/>
      <w:pPr>
        <w:ind w:left="2556" w:hanging="360"/>
      </w:pPr>
    </w:lvl>
    <w:lvl w:ilvl="4" w:tplc="08090019" w:tentative="1">
      <w:start w:val="1"/>
      <w:numFmt w:val="lowerLetter"/>
      <w:lvlText w:val="%5."/>
      <w:lvlJc w:val="left"/>
      <w:pPr>
        <w:ind w:left="3276" w:hanging="360"/>
      </w:pPr>
    </w:lvl>
    <w:lvl w:ilvl="5" w:tplc="0809001B" w:tentative="1">
      <w:start w:val="1"/>
      <w:numFmt w:val="lowerRoman"/>
      <w:lvlText w:val="%6."/>
      <w:lvlJc w:val="right"/>
      <w:pPr>
        <w:ind w:left="3996" w:hanging="180"/>
      </w:pPr>
    </w:lvl>
    <w:lvl w:ilvl="6" w:tplc="0809000F" w:tentative="1">
      <w:start w:val="1"/>
      <w:numFmt w:val="decimal"/>
      <w:lvlText w:val="%7."/>
      <w:lvlJc w:val="left"/>
      <w:pPr>
        <w:ind w:left="4716" w:hanging="360"/>
      </w:pPr>
    </w:lvl>
    <w:lvl w:ilvl="7" w:tplc="08090019" w:tentative="1">
      <w:start w:val="1"/>
      <w:numFmt w:val="lowerLetter"/>
      <w:lvlText w:val="%8."/>
      <w:lvlJc w:val="left"/>
      <w:pPr>
        <w:ind w:left="5436" w:hanging="360"/>
      </w:pPr>
    </w:lvl>
    <w:lvl w:ilvl="8" w:tplc="0809001B" w:tentative="1">
      <w:start w:val="1"/>
      <w:numFmt w:val="lowerRoman"/>
      <w:lvlText w:val="%9."/>
      <w:lvlJc w:val="right"/>
      <w:pPr>
        <w:ind w:left="6156" w:hanging="180"/>
      </w:pPr>
    </w:lvl>
  </w:abstractNum>
  <w:abstractNum w:abstractNumId="33" w15:restartNumberingAfterBreak="0">
    <w:nsid w:val="738F79EB"/>
    <w:multiLevelType w:val="hybridMultilevel"/>
    <w:tmpl w:val="C76AC42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4" w15:restartNumberingAfterBreak="0">
    <w:nsid w:val="74971866"/>
    <w:multiLevelType w:val="hybridMultilevel"/>
    <w:tmpl w:val="DE76DC62"/>
    <w:lvl w:ilvl="0" w:tplc="EC2E24C4">
      <w:start w:val="1"/>
      <w:numFmt w:val="lowerRoman"/>
      <w:lvlText w:val="%1."/>
      <w:lvlJc w:val="left"/>
      <w:pPr>
        <w:ind w:left="1429"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5" w15:restartNumberingAfterBreak="0">
    <w:nsid w:val="76A86190"/>
    <w:multiLevelType w:val="multilevel"/>
    <w:tmpl w:val="88A25760"/>
    <w:lvl w:ilvl="0">
      <w:start w:val="1"/>
      <w:numFmt w:val="bullet"/>
      <w:pStyle w:val="ListBullet2"/>
      <w:lvlText w:val=""/>
      <w:lvlJc w:val="left"/>
      <w:pPr>
        <w:tabs>
          <w:tab w:val="num" w:pos="284"/>
        </w:tabs>
        <w:ind w:left="284" w:hanging="284"/>
      </w:pPr>
      <w:rPr>
        <w:rFonts w:ascii="Symbol" w:hAnsi="Symbol" w:hint="default"/>
        <w:b w:val="0"/>
        <w:i w:val="0"/>
        <w:color w:val="auto"/>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36" w15:restartNumberingAfterBreak="0">
    <w:nsid w:val="7A210585"/>
    <w:multiLevelType w:val="multilevel"/>
    <w:tmpl w:val="C2A4AA40"/>
    <w:lvl w:ilvl="0">
      <w:start w:val="1"/>
      <w:numFmt w:val="decimal"/>
      <w:pStyle w:val="GSHeading1withnumb"/>
      <w:lvlText w:val="%1."/>
      <w:lvlJc w:val="left"/>
      <w:pPr>
        <w:tabs>
          <w:tab w:val="num" w:pos="567"/>
        </w:tabs>
        <w:ind w:left="567" w:hanging="567"/>
      </w:pPr>
      <w:rPr>
        <w:rFonts w:hint="default"/>
        <w:b w:val="0"/>
        <w:bCs w:val="0"/>
        <w:sz w:val="24"/>
      </w:rPr>
    </w:lvl>
    <w:lvl w:ilvl="1">
      <w:start w:val="1"/>
      <w:numFmt w:val="decimal"/>
      <w:pStyle w:val="GSBodyParawithnumb"/>
      <w:lvlText w:val="%1.%2"/>
      <w:lvlJc w:val="left"/>
      <w:pPr>
        <w:tabs>
          <w:tab w:val="num" w:pos="567"/>
        </w:tabs>
        <w:ind w:left="567" w:hanging="567"/>
      </w:pPr>
      <w:rPr>
        <w:rFonts w:asciiTheme="minorHAnsi" w:hAnsiTheme="minorHAnsi" w:cstheme="minorHAnsi" w:hint="default"/>
        <w:b w:val="0"/>
        <w:i w:val="0"/>
        <w:iCs w:val="0"/>
        <w:color w:val="4D4D4D"/>
        <w:sz w:val="22"/>
        <w:szCs w:val="22"/>
      </w:rPr>
    </w:lvl>
    <w:lvl w:ilvl="2">
      <w:start w:val="1"/>
      <w:numFmt w:val="decimal"/>
      <w:lvlText w:val="%1.%2.%3"/>
      <w:lvlJc w:val="left"/>
      <w:pPr>
        <w:tabs>
          <w:tab w:val="num" w:pos="567"/>
        </w:tabs>
        <w:ind w:left="567" w:hanging="567"/>
      </w:pPr>
      <w:rPr>
        <w:rFonts w:ascii="Arial" w:hAnsi="Arial" w:cs="Arial" w:hint="default"/>
        <w:sz w:val="24"/>
      </w:rPr>
    </w:lvl>
    <w:lvl w:ilvl="3">
      <w:start w:val="1"/>
      <w:numFmt w:val="decimal"/>
      <w:lvlText w:val="%4."/>
      <w:lvlJc w:val="left"/>
      <w:pPr>
        <w:tabs>
          <w:tab w:val="num" w:pos="1134"/>
        </w:tabs>
        <w:ind w:left="1134" w:hanging="283"/>
      </w:pPr>
      <w:rPr>
        <w:rFonts w:asciiTheme="minorHAnsi" w:eastAsiaTheme="minorHAnsi" w:hAnsiTheme="minorHAnsi" w:cstheme="minorHAnsi"/>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16cid:durableId="806973828">
    <w:abstractNumId w:val="35"/>
  </w:num>
  <w:num w:numId="2" w16cid:durableId="752433472">
    <w:abstractNumId w:val="28"/>
  </w:num>
  <w:num w:numId="3" w16cid:durableId="28917828">
    <w:abstractNumId w:val="12"/>
  </w:num>
  <w:num w:numId="4" w16cid:durableId="795871560">
    <w:abstractNumId w:val="15"/>
  </w:num>
  <w:num w:numId="5" w16cid:durableId="885873766">
    <w:abstractNumId w:val="7"/>
  </w:num>
  <w:num w:numId="6" w16cid:durableId="35936866">
    <w:abstractNumId w:val="29"/>
  </w:num>
  <w:num w:numId="7" w16cid:durableId="515047597">
    <w:abstractNumId w:val="17"/>
  </w:num>
  <w:num w:numId="8" w16cid:durableId="564339369">
    <w:abstractNumId w:val="9"/>
  </w:num>
  <w:num w:numId="9" w16cid:durableId="1429227800">
    <w:abstractNumId w:val="27"/>
  </w:num>
  <w:num w:numId="10" w16cid:durableId="1506896740">
    <w:abstractNumId w:val="25"/>
  </w:num>
  <w:num w:numId="11" w16cid:durableId="613486932">
    <w:abstractNumId w:val="3"/>
  </w:num>
  <w:num w:numId="12" w16cid:durableId="2093694327">
    <w:abstractNumId w:val="2"/>
  </w:num>
  <w:num w:numId="13" w16cid:durableId="788596678">
    <w:abstractNumId w:val="26"/>
  </w:num>
  <w:num w:numId="14" w16cid:durableId="1563372645">
    <w:abstractNumId w:val="1"/>
  </w:num>
  <w:num w:numId="15" w16cid:durableId="1420323430">
    <w:abstractNumId w:val="19"/>
  </w:num>
  <w:num w:numId="16" w16cid:durableId="139008497">
    <w:abstractNumId w:val="20"/>
  </w:num>
  <w:num w:numId="17" w16cid:durableId="18987091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895729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23105167">
    <w:abstractNumId w:val="6"/>
  </w:num>
  <w:num w:numId="20" w16cid:durableId="1228493812">
    <w:abstractNumId w:val="31"/>
  </w:num>
  <w:num w:numId="21" w16cid:durableId="617106424">
    <w:abstractNumId w:val="13"/>
  </w:num>
  <w:num w:numId="22" w16cid:durableId="1034501440">
    <w:abstractNumId w:val="30"/>
  </w:num>
  <w:num w:numId="23" w16cid:durableId="2083209717">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68603214">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78360439">
    <w:abstractNumId w:val="16"/>
  </w:num>
  <w:num w:numId="26" w16cid:durableId="115412778">
    <w:abstractNumId w:val="24"/>
  </w:num>
  <w:num w:numId="27" w16cid:durableId="1518084590">
    <w:abstractNumId w:val="33"/>
  </w:num>
  <w:num w:numId="28" w16cid:durableId="295567835">
    <w:abstractNumId w:val="22"/>
  </w:num>
  <w:num w:numId="29" w16cid:durableId="8023120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9427077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60660647">
    <w:abstractNumId w:val="32"/>
  </w:num>
  <w:num w:numId="32" w16cid:durableId="1693608993">
    <w:abstractNumId w:val="0"/>
  </w:num>
  <w:num w:numId="33" w16cid:durableId="1060708194">
    <w:abstractNumId w:val="11"/>
  </w:num>
  <w:num w:numId="34" w16cid:durableId="1002202204">
    <w:abstractNumId w:val="21"/>
  </w:num>
  <w:num w:numId="35" w16cid:durableId="474569170">
    <w:abstractNumId w:val="4"/>
  </w:num>
  <w:num w:numId="36" w16cid:durableId="1360159350">
    <w:abstractNumId w:val="8"/>
  </w:num>
  <w:num w:numId="37" w16cid:durableId="636565891">
    <w:abstractNumId w:val="5"/>
  </w:num>
  <w:num w:numId="38" w16cid:durableId="750079143">
    <w:abstractNumId w:val="23"/>
  </w:num>
  <w:num w:numId="39" w16cid:durableId="422606432">
    <w:abstractNumId w:val="36"/>
  </w:num>
  <w:num w:numId="40" w16cid:durableId="450981899">
    <w:abstractNumId w:val="1"/>
  </w:num>
  <w:num w:numId="41" w16cid:durableId="141391797">
    <w:abstractNumId w:val="10"/>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nnah Proffitt">
    <w15:presenceInfo w15:providerId="AD" w15:userId="S::Hannah.Proffitt@electralink.co.uk::987e97a0-1405-4485-b4fa-9864e592c3b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B99"/>
    <w:rsid w:val="00002699"/>
    <w:rsid w:val="00003462"/>
    <w:rsid w:val="000035EE"/>
    <w:rsid w:val="00004426"/>
    <w:rsid w:val="00004A78"/>
    <w:rsid w:val="00005C2A"/>
    <w:rsid w:val="000078E8"/>
    <w:rsid w:val="00011883"/>
    <w:rsid w:val="0001312A"/>
    <w:rsid w:val="000131C0"/>
    <w:rsid w:val="00014A06"/>
    <w:rsid w:val="00015DC1"/>
    <w:rsid w:val="00021E27"/>
    <w:rsid w:val="00022B81"/>
    <w:rsid w:val="0002309B"/>
    <w:rsid w:val="00023D7F"/>
    <w:rsid w:val="000255CA"/>
    <w:rsid w:val="00026A6A"/>
    <w:rsid w:val="00031B44"/>
    <w:rsid w:val="000333B9"/>
    <w:rsid w:val="00034F8A"/>
    <w:rsid w:val="000363FA"/>
    <w:rsid w:val="00041A17"/>
    <w:rsid w:val="000427B0"/>
    <w:rsid w:val="00051908"/>
    <w:rsid w:val="00051A75"/>
    <w:rsid w:val="000530FC"/>
    <w:rsid w:val="000546C7"/>
    <w:rsid w:val="00055793"/>
    <w:rsid w:val="0005617C"/>
    <w:rsid w:val="000561DC"/>
    <w:rsid w:val="00056DDB"/>
    <w:rsid w:val="00057C9D"/>
    <w:rsid w:val="00062418"/>
    <w:rsid w:val="00062E0D"/>
    <w:rsid w:val="00063FEF"/>
    <w:rsid w:val="000644BF"/>
    <w:rsid w:val="00074800"/>
    <w:rsid w:val="0007540E"/>
    <w:rsid w:val="00082674"/>
    <w:rsid w:val="00082F1D"/>
    <w:rsid w:val="00084A3B"/>
    <w:rsid w:val="000909B0"/>
    <w:rsid w:val="00094032"/>
    <w:rsid w:val="00096C4E"/>
    <w:rsid w:val="000A36A8"/>
    <w:rsid w:val="000A6E3A"/>
    <w:rsid w:val="000B007D"/>
    <w:rsid w:val="000B265D"/>
    <w:rsid w:val="000B2E3D"/>
    <w:rsid w:val="000B5D6C"/>
    <w:rsid w:val="000C09EE"/>
    <w:rsid w:val="000C2A59"/>
    <w:rsid w:val="000C3207"/>
    <w:rsid w:val="000C4FB8"/>
    <w:rsid w:val="000C755D"/>
    <w:rsid w:val="000C7DBA"/>
    <w:rsid w:val="000D0228"/>
    <w:rsid w:val="000D1ECA"/>
    <w:rsid w:val="000D5720"/>
    <w:rsid w:val="000E0100"/>
    <w:rsid w:val="000E034A"/>
    <w:rsid w:val="000E1892"/>
    <w:rsid w:val="000E2E48"/>
    <w:rsid w:val="000E3F5B"/>
    <w:rsid w:val="000E76BF"/>
    <w:rsid w:val="000F1FBF"/>
    <w:rsid w:val="001021F6"/>
    <w:rsid w:val="001060C1"/>
    <w:rsid w:val="00111F27"/>
    <w:rsid w:val="00112F45"/>
    <w:rsid w:val="00116E9B"/>
    <w:rsid w:val="0011733C"/>
    <w:rsid w:val="001216C5"/>
    <w:rsid w:val="0012496E"/>
    <w:rsid w:val="00142F3B"/>
    <w:rsid w:val="00143041"/>
    <w:rsid w:val="0014327C"/>
    <w:rsid w:val="001445A0"/>
    <w:rsid w:val="001451F4"/>
    <w:rsid w:val="00147DAF"/>
    <w:rsid w:val="00153B91"/>
    <w:rsid w:val="0015749A"/>
    <w:rsid w:val="001619C3"/>
    <w:rsid w:val="00163588"/>
    <w:rsid w:val="00164E30"/>
    <w:rsid w:val="00174D21"/>
    <w:rsid w:val="00180C4A"/>
    <w:rsid w:val="00182A0C"/>
    <w:rsid w:val="0018581B"/>
    <w:rsid w:val="00187E2F"/>
    <w:rsid w:val="001937A0"/>
    <w:rsid w:val="00193F47"/>
    <w:rsid w:val="00194C6A"/>
    <w:rsid w:val="00194C79"/>
    <w:rsid w:val="00195416"/>
    <w:rsid w:val="00197A37"/>
    <w:rsid w:val="001A1612"/>
    <w:rsid w:val="001A44AB"/>
    <w:rsid w:val="001A564E"/>
    <w:rsid w:val="001A5839"/>
    <w:rsid w:val="001A6F74"/>
    <w:rsid w:val="001B2D7A"/>
    <w:rsid w:val="001B6C3E"/>
    <w:rsid w:val="001C01D5"/>
    <w:rsid w:val="001C0AAE"/>
    <w:rsid w:val="001C0C6E"/>
    <w:rsid w:val="001C207A"/>
    <w:rsid w:val="001C22BF"/>
    <w:rsid w:val="001C665E"/>
    <w:rsid w:val="001D0B92"/>
    <w:rsid w:val="001D3EFD"/>
    <w:rsid w:val="001D7EC5"/>
    <w:rsid w:val="001E162B"/>
    <w:rsid w:val="001E276F"/>
    <w:rsid w:val="001E32D7"/>
    <w:rsid w:val="001E5C4B"/>
    <w:rsid w:val="001E5D9F"/>
    <w:rsid w:val="001E6639"/>
    <w:rsid w:val="001E6DCF"/>
    <w:rsid w:val="001F36FC"/>
    <w:rsid w:val="001F3812"/>
    <w:rsid w:val="001F4DA0"/>
    <w:rsid w:val="001F6DA9"/>
    <w:rsid w:val="001F7908"/>
    <w:rsid w:val="001F7D0E"/>
    <w:rsid w:val="002036BB"/>
    <w:rsid w:val="002047E2"/>
    <w:rsid w:val="00205E60"/>
    <w:rsid w:val="00206A74"/>
    <w:rsid w:val="002126D4"/>
    <w:rsid w:val="00212BF5"/>
    <w:rsid w:val="0021418F"/>
    <w:rsid w:val="002148B6"/>
    <w:rsid w:val="00215877"/>
    <w:rsid w:val="002161A4"/>
    <w:rsid w:val="0022587A"/>
    <w:rsid w:val="00225F2B"/>
    <w:rsid w:val="002272EF"/>
    <w:rsid w:val="00230857"/>
    <w:rsid w:val="00236DCB"/>
    <w:rsid w:val="0024000A"/>
    <w:rsid w:val="002426A7"/>
    <w:rsid w:val="00243DF1"/>
    <w:rsid w:val="00251F86"/>
    <w:rsid w:val="00252B7D"/>
    <w:rsid w:val="0025406B"/>
    <w:rsid w:val="00254DCB"/>
    <w:rsid w:val="00256075"/>
    <w:rsid w:val="00256566"/>
    <w:rsid w:val="00260BAE"/>
    <w:rsid w:val="00260C2C"/>
    <w:rsid w:val="00260E70"/>
    <w:rsid w:val="002612FD"/>
    <w:rsid w:val="00262CF5"/>
    <w:rsid w:val="00263600"/>
    <w:rsid w:val="00266BC0"/>
    <w:rsid w:val="002675D1"/>
    <w:rsid w:val="00270B15"/>
    <w:rsid w:val="00271F8C"/>
    <w:rsid w:val="00272979"/>
    <w:rsid w:val="002758A6"/>
    <w:rsid w:val="00276D1A"/>
    <w:rsid w:val="00277121"/>
    <w:rsid w:val="0027771E"/>
    <w:rsid w:val="00281CF1"/>
    <w:rsid w:val="00281F45"/>
    <w:rsid w:val="00282180"/>
    <w:rsid w:val="00282977"/>
    <w:rsid w:val="00284F86"/>
    <w:rsid w:val="00286CBD"/>
    <w:rsid w:val="00290F86"/>
    <w:rsid w:val="00291083"/>
    <w:rsid w:val="00291632"/>
    <w:rsid w:val="00293C2D"/>
    <w:rsid w:val="00293CB4"/>
    <w:rsid w:val="00294835"/>
    <w:rsid w:val="0029721F"/>
    <w:rsid w:val="00297758"/>
    <w:rsid w:val="002A119C"/>
    <w:rsid w:val="002A369F"/>
    <w:rsid w:val="002A41E9"/>
    <w:rsid w:val="002A559F"/>
    <w:rsid w:val="002A6C41"/>
    <w:rsid w:val="002B2188"/>
    <w:rsid w:val="002B4393"/>
    <w:rsid w:val="002B6671"/>
    <w:rsid w:val="002B68DB"/>
    <w:rsid w:val="002C1553"/>
    <w:rsid w:val="002C1A5C"/>
    <w:rsid w:val="002D25F9"/>
    <w:rsid w:val="002D575C"/>
    <w:rsid w:val="002D584E"/>
    <w:rsid w:val="002D5DFC"/>
    <w:rsid w:val="002D6272"/>
    <w:rsid w:val="002D6521"/>
    <w:rsid w:val="002E2ECA"/>
    <w:rsid w:val="002F0224"/>
    <w:rsid w:val="002F13B8"/>
    <w:rsid w:val="002F357D"/>
    <w:rsid w:val="002F40F9"/>
    <w:rsid w:val="002F670B"/>
    <w:rsid w:val="002F6CD0"/>
    <w:rsid w:val="00301DAF"/>
    <w:rsid w:val="00302F67"/>
    <w:rsid w:val="0030347F"/>
    <w:rsid w:val="00305AC5"/>
    <w:rsid w:val="00306BF5"/>
    <w:rsid w:val="0030788E"/>
    <w:rsid w:val="00307AB3"/>
    <w:rsid w:val="00312477"/>
    <w:rsid w:val="00313E9E"/>
    <w:rsid w:val="00313FE4"/>
    <w:rsid w:val="00316676"/>
    <w:rsid w:val="00320457"/>
    <w:rsid w:val="0032174D"/>
    <w:rsid w:val="003221E9"/>
    <w:rsid w:val="0033097B"/>
    <w:rsid w:val="00332FE3"/>
    <w:rsid w:val="00334581"/>
    <w:rsid w:val="00335582"/>
    <w:rsid w:val="00336821"/>
    <w:rsid w:val="00341CAD"/>
    <w:rsid w:val="00344FDC"/>
    <w:rsid w:val="00345EE1"/>
    <w:rsid w:val="00351769"/>
    <w:rsid w:val="00351960"/>
    <w:rsid w:val="00352A27"/>
    <w:rsid w:val="00354303"/>
    <w:rsid w:val="0035487C"/>
    <w:rsid w:val="003557B1"/>
    <w:rsid w:val="00357570"/>
    <w:rsid w:val="0035786F"/>
    <w:rsid w:val="00362030"/>
    <w:rsid w:val="00363FE9"/>
    <w:rsid w:val="003650F6"/>
    <w:rsid w:val="003656A5"/>
    <w:rsid w:val="00367606"/>
    <w:rsid w:val="00367F60"/>
    <w:rsid w:val="0037034E"/>
    <w:rsid w:val="00370EB1"/>
    <w:rsid w:val="003711F3"/>
    <w:rsid w:val="00377752"/>
    <w:rsid w:val="003806D4"/>
    <w:rsid w:val="00380C64"/>
    <w:rsid w:val="00381EB7"/>
    <w:rsid w:val="00382814"/>
    <w:rsid w:val="00383DEB"/>
    <w:rsid w:val="00386096"/>
    <w:rsid w:val="00390D19"/>
    <w:rsid w:val="003920ED"/>
    <w:rsid w:val="003971AB"/>
    <w:rsid w:val="00397BC7"/>
    <w:rsid w:val="003A016A"/>
    <w:rsid w:val="003A0F21"/>
    <w:rsid w:val="003A26BF"/>
    <w:rsid w:val="003A2AA8"/>
    <w:rsid w:val="003A2BCC"/>
    <w:rsid w:val="003A4FC7"/>
    <w:rsid w:val="003A6CCA"/>
    <w:rsid w:val="003B0780"/>
    <w:rsid w:val="003B1A71"/>
    <w:rsid w:val="003B4359"/>
    <w:rsid w:val="003B44D0"/>
    <w:rsid w:val="003B5723"/>
    <w:rsid w:val="003B5816"/>
    <w:rsid w:val="003C1BBC"/>
    <w:rsid w:val="003C1E4D"/>
    <w:rsid w:val="003C22DF"/>
    <w:rsid w:val="003C457B"/>
    <w:rsid w:val="003C4891"/>
    <w:rsid w:val="003C6AB2"/>
    <w:rsid w:val="003D0281"/>
    <w:rsid w:val="003D0359"/>
    <w:rsid w:val="003D41D8"/>
    <w:rsid w:val="003D42CC"/>
    <w:rsid w:val="003D5877"/>
    <w:rsid w:val="003D5AB3"/>
    <w:rsid w:val="003D5EBC"/>
    <w:rsid w:val="003D6504"/>
    <w:rsid w:val="003D7D58"/>
    <w:rsid w:val="003E0757"/>
    <w:rsid w:val="003E0B53"/>
    <w:rsid w:val="003E0CEE"/>
    <w:rsid w:val="003E16D8"/>
    <w:rsid w:val="003E1B16"/>
    <w:rsid w:val="003F030F"/>
    <w:rsid w:val="003F0B70"/>
    <w:rsid w:val="003F2A86"/>
    <w:rsid w:val="004010EF"/>
    <w:rsid w:val="004028D5"/>
    <w:rsid w:val="004045E4"/>
    <w:rsid w:val="00405D8A"/>
    <w:rsid w:val="00407A93"/>
    <w:rsid w:val="00411E73"/>
    <w:rsid w:val="00413790"/>
    <w:rsid w:val="004142E7"/>
    <w:rsid w:val="00415742"/>
    <w:rsid w:val="00416FC8"/>
    <w:rsid w:val="00420FB8"/>
    <w:rsid w:val="00421B40"/>
    <w:rsid w:val="00422258"/>
    <w:rsid w:val="004226A8"/>
    <w:rsid w:val="0042584E"/>
    <w:rsid w:val="00426FD6"/>
    <w:rsid w:val="00430E90"/>
    <w:rsid w:val="00432081"/>
    <w:rsid w:val="00433909"/>
    <w:rsid w:val="00433CFE"/>
    <w:rsid w:val="00434F19"/>
    <w:rsid w:val="00435C42"/>
    <w:rsid w:val="00435CF2"/>
    <w:rsid w:val="00436AEA"/>
    <w:rsid w:val="00436BE7"/>
    <w:rsid w:val="004428DE"/>
    <w:rsid w:val="00443D57"/>
    <w:rsid w:val="00446636"/>
    <w:rsid w:val="00447064"/>
    <w:rsid w:val="00450385"/>
    <w:rsid w:val="004504EA"/>
    <w:rsid w:val="0045172D"/>
    <w:rsid w:val="00453452"/>
    <w:rsid w:val="004570AC"/>
    <w:rsid w:val="004579CF"/>
    <w:rsid w:val="0046001A"/>
    <w:rsid w:val="00461063"/>
    <w:rsid w:val="00461C2F"/>
    <w:rsid w:val="00463EF6"/>
    <w:rsid w:val="00464782"/>
    <w:rsid w:val="0046650B"/>
    <w:rsid w:val="00467FF9"/>
    <w:rsid w:val="00473B9D"/>
    <w:rsid w:val="00474090"/>
    <w:rsid w:val="00474DED"/>
    <w:rsid w:val="00480F9A"/>
    <w:rsid w:val="0048657A"/>
    <w:rsid w:val="00490F6C"/>
    <w:rsid w:val="00492D24"/>
    <w:rsid w:val="00494730"/>
    <w:rsid w:val="004948C3"/>
    <w:rsid w:val="004958FC"/>
    <w:rsid w:val="004A0E5A"/>
    <w:rsid w:val="004A105A"/>
    <w:rsid w:val="004A22E8"/>
    <w:rsid w:val="004A3386"/>
    <w:rsid w:val="004A5970"/>
    <w:rsid w:val="004A631D"/>
    <w:rsid w:val="004B0369"/>
    <w:rsid w:val="004B0EA7"/>
    <w:rsid w:val="004B27FB"/>
    <w:rsid w:val="004B318C"/>
    <w:rsid w:val="004B376C"/>
    <w:rsid w:val="004B53C8"/>
    <w:rsid w:val="004B7ABF"/>
    <w:rsid w:val="004C2609"/>
    <w:rsid w:val="004C262E"/>
    <w:rsid w:val="004C29B3"/>
    <w:rsid w:val="004C3B1D"/>
    <w:rsid w:val="004C4371"/>
    <w:rsid w:val="004C4481"/>
    <w:rsid w:val="004C5F98"/>
    <w:rsid w:val="004C6117"/>
    <w:rsid w:val="004C66D0"/>
    <w:rsid w:val="004D09F0"/>
    <w:rsid w:val="004D0D74"/>
    <w:rsid w:val="004D149E"/>
    <w:rsid w:val="004D1CB3"/>
    <w:rsid w:val="004D430C"/>
    <w:rsid w:val="004E2468"/>
    <w:rsid w:val="004F358E"/>
    <w:rsid w:val="004F4A12"/>
    <w:rsid w:val="00500707"/>
    <w:rsid w:val="005023B5"/>
    <w:rsid w:val="00502763"/>
    <w:rsid w:val="00504125"/>
    <w:rsid w:val="00504E6C"/>
    <w:rsid w:val="0050697B"/>
    <w:rsid w:val="005079E0"/>
    <w:rsid w:val="00511414"/>
    <w:rsid w:val="00513062"/>
    <w:rsid w:val="00513631"/>
    <w:rsid w:val="0051566C"/>
    <w:rsid w:val="005171DE"/>
    <w:rsid w:val="005177DA"/>
    <w:rsid w:val="00521E18"/>
    <w:rsid w:val="005251AD"/>
    <w:rsid w:val="005309E2"/>
    <w:rsid w:val="005310CC"/>
    <w:rsid w:val="00531B35"/>
    <w:rsid w:val="0053467B"/>
    <w:rsid w:val="005352A6"/>
    <w:rsid w:val="005357A0"/>
    <w:rsid w:val="00540357"/>
    <w:rsid w:val="005445B1"/>
    <w:rsid w:val="0054531B"/>
    <w:rsid w:val="0054675B"/>
    <w:rsid w:val="005469C0"/>
    <w:rsid w:val="0055068A"/>
    <w:rsid w:val="00551BF6"/>
    <w:rsid w:val="00554B13"/>
    <w:rsid w:val="00554CF5"/>
    <w:rsid w:val="00555F2A"/>
    <w:rsid w:val="0055672D"/>
    <w:rsid w:val="00560EF2"/>
    <w:rsid w:val="005649CA"/>
    <w:rsid w:val="0056694C"/>
    <w:rsid w:val="00570056"/>
    <w:rsid w:val="005703B3"/>
    <w:rsid w:val="00571BDA"/>
    <w:rsid w:val="005734BD"/>
    <w:rsid w:val="00574742"/>
    <w:rsid w:val="00580218"/>
    <w:rsid w:val="00583C1F"/>
    <w:rsid w:val="005857FC"/>
    <w:rsid w:val="00586610"/>
    <w:rsid w:val="00587E1E"/>
    <w:rsid w:val="005967C2"/>
    <w:rsid w:val="00597D29"/>
    <w:rsid w:val="00597E76"/>
    <w:rsid w:val="005A0143"/>
    <w:rsid w:val="005A1E00"/>
    <w:rsid w:val="005A21BE"/>
    <w:rsid w:val="005A326F"/>
    <w:rsid w:val="005A4046"/>
    <w:rsid w:val="005A4F5D"/>
    <w:rsid w:val="005A6174"/>
    <w:rsid w:val="005A70A8"/>
    <w:rsid w:val="005A7145"/>
    <w:rsid w:val="005B0B30"/>
    <w:rsid w:val="005B105E"/>
    <w:rsid w:val="005B3435"/>
    <w:rsid w:val="005B378E"/>
    <w:rsid w:val="005B3B26"/>
    <w:rsid w:val="005B54EF"/>
    <w:rsid w:val="005C2175"/>
    <w:rsid w:val="005C22EF"/>
    <w:rsid w:val="005C57E3"/>
    <w:rsid w:val="005D4418"/>
    <w:rsid w:val="005D4631"/>
    <w:rsid w:val="005D4958"/>
    <w:rsid w:val="005D4A2B"/>
    <w:rsid w:val="005D4C81"/>
    <w:rsid w:val="005D5CA9"/>
    <w:rsid w:val="005D72CA"/>
    <w:rsid w:val="005E0601"/>
    <w:rsid w:val="005E0C62"/>
    <w:rsid w:val="005E103C"/>
    <w:rsid w:val="005E3915"/>
    <w:rsid w:val="005E661A"/>
    <w:rsid w:val="005E7981"/>
    <w:rsid w:val="005F22A7"/>
    <w:rsid w:val="005F2D11"/>
    <w:rsid w:val="005F3932"/>
    <w:rsid w:val="005F4AE3"/>
    <w:rsid w:val="005F5231"/>
    <w:rsid w:val="00600756"/>
    <w:rsid w:val="00600B78"/>
    <w:rsid w:val="006076BF"/>
    <w:rsid w:val="00610C8D"/>
    <w:rsid w:val="00611CA8"/>
    <w:rsid w:val="00613074"/>
    <w:rsid w:val="0061622B"/>
    <w:rsid w:val="00617B79"/>
    <w:rsid w:val="0062062A"/>
    <w:rsid w:val="00621E6E"/>
    <w:rsid w:val="00622259"/>
    <w:rsid w:val="00622DC8"/>
    <w:rsid w:val="00623022"/>
    <w:rsid w:val="006243EB"/>
    <w:rsid w:val="00624FA6"/>
    <w:rsid w:val="00627983"/>
    <w:rsid w:val="00630F15"/>
    <w:rsid w:val="00631710"/>
    <w:rsid w:val="0063186C"/>
    <w:rsid w:val="00631EBB"/>
    <w:rsid w:val="006361BA"/>
    <w:rsid w:val="00636220"/>
    <w:rsid w:val="006377B6"/>
    <w:rsid w:val="00637CD6"/>
    <w:rsid w:val="006446DD"/>
    <w:rsid w:val="00647335"/>
    <w:rsid w:val="00650186"/>
    <w:rsid w:val="00650F1C"/>
    <w:rsid w:val="00652D78"/>
    <w:rsid w:val="00652EB9"/>
    <w:rsid w:val="006533C3"/>
    <w:rsid w:val="006551B8"/>
    <w:rsid w:val="006622BA"/>
    <w:rsid w:val="00664485"/>
    <w:rsid w:val="0066493A"/>
    <w:rsid w:val="00665358"/>
    <w:rsid w:val="006653B5"/>
    <w:rsid w:val="00672FE8"/>
    <w:rsid w:val="0067455A"/>
    <w:rsid w:val="00674659"/>
    <w:rsid w:val="00684433"/>
    <w:rsid w:val="00686835"/>
    <w:rsid w:val="006876B6"/>
    <w:rsid w:val="00691A06"/>
    <w:rsid w:val="00694865"/>
    <w:rsid w:val="006949DF"/>
    <w:rsid w:val="00697683"/>
    <w:rsid w:val="006A0767"/>
    <w:rsid w:val="006A14BF"/>
    <w:rsid w:val="006A348B"/>
    <w:rsid w:val="006A5279"/>
    <w:rsid w:val="006B1883"/>
    <w:rsid w:val="006B68D8"/>
    <w:rsid w:val="006B6D83"/>
    <w:rsid w:val="006C1856"/>
    <w:rsid w:val="006C5683"/>
    <w:rsid w:val="006D0CC1"/>
    <w:rsid w:val="006D0E98"/>
    <w:rsid w:val="006D0FB6"/>
    <w:rsid w:val="006D1979"/>
    <w:rsid w:val="006D1F16"/>
    <w:rsid w:val="006D3676"/>
    <w:rsid w:val="006D62F9"/>
    <w:rsid w:val="006D75CD"/>
    <w:rsid w:val="006E6353"/>
    <w:rsid w:val="006E6595"/>
    <w:rsid w:val="006E7327"/>
    <w:rsid w:val="006E7560"/>
    <w:rsid w:val="006E7A7E"/>
    <w:rsid w:val="006E7CA8"/>
    <w:rsid w:val="006F000A"/>
    <w:rsid w:val="006F19E3"/>
    <w:rsid w:val="006F4689"/>
    <w:rsid w:val="006F4798"/>
    <w:rsid w:val="007015FF"/>
    <w:rsid w:val="00701D85"/>
    <w:rsid w:val="00701E18"/>
    <w:rsid w:val="007021E2"/>
    <w:rsid w:val="00703818"/>
    <w:rsid w:val="007044BE"/>
    <w:rsid w:val="00706916"/>
    <w:rsid w:val="00707ACD"/>
    <w:rsid w:val="007105B3"/>
    <w:rsid w:val="00710E92"/>
    <w:rsid w:val="0071122B"/>
    <w:rsid w:val="0071547D"/>
    <w:rsid w:val="0071735E"/>
    <w:rsid w:val="00721D36"/>
    <w:rsid w:val="00722FCE"/>
    <w:rsid w:val="0072385C"/>
    <w:rsid w:val="00726171"/>
    <w:rsid w:val="00731B99"/>
    <w:rsid w:val="00733D46"/>
    <w:rsid w:val="00733F4B"/>
    <w:rsid w:val="00734630"/>
    <w:rsid w:val="007362EC"/>
    <w:rsid w:val="007374B9"/>
    <w:rsid w:val="00740587"/>
    <w:rsid w:val="00740A8F"/>
    <w:rsid w:val="00742876"/>
    <w:rsid w:val="007443A5"/>
    <w:rsid w:val="00747A24"/>
    <w:rsid w:val="007511CF"/>
    <w:rsid w:val="00751F87"/>
    <w:rsid w:val="0076023E"/>
    <w:rsid w:val="007607E8"/>
    <w:rsid w:val="007608FF"/>
    <w:rsid w:val="00760BD6"/>
    <w:rsid w:val="007626D9"/>
    <w:rsid w:val="00763F63"/>
    <w:rsid w:val="00764579"/>
    <w:rsid w:val="007653B2"/>
    <w:rsid w:val="00771ACE"/>
    <w:rsid w:val="00772942"/>
    <w:rsid w:val="00774F15"/>
    <w:rsid w:val="00775EF4"/>
    <w:rsid w:val="00775FB2"/>
    <w:rsid w:val="00780130"/>
    <w:rsid w:val="007806BA"/>
    <w:rsid w:val="00784486"/>
    <w:rsid w:val="0078738F"/>
    <w:rsid w:val="0079113B"/>
    <w:rsid w:val="00792539"/>
    <w:rsid w:val="00794D7B"/>
    <w:rsid w:val="00797AA8"/>
    <w:rsid w:val="007A0FB2"/>
    <w:rsid w:val="007A4F58"/>
    <w:rsid w:val="007A6725"/>
    <w:rsid w:val="007A794B"/>
    <w:rsid w:val="007A7ADD"/>
    <w:rsid w:val="007B002D"/>
    <w:rsid w:val="007B0171"/>
    <w:rsid w:val="007B2962"/>
    <w:rsid w:val="007B4476"/>
    <w:rsid w:val="007C00DA"/>
    <w:rsid w:val="007C0929"/>
    <w:rsid w:val="007C0E16"/>
    <w:rsid w:val="007C3F94"/>
    <w:rsid w:val="007C4E06"/>
    <w:rsid w:val="007D1EAD"/>
    <w:rsid w:val="007D2270"/>
    <w:rsid w:val="007D7C47"/>
    <w:rsid w:val="007E1A43"/>
    <w:rsid w:val="007E3C0E"/>
    <w:rsid w:val="007E506D"/>
    <w:rsid w:val="007E572E"/>
    <w:rsid w:val="007E718E"/>
    <w:rsid w:val="007F39CE"/>
    <w:rsid w:val="007F41DB"/>
    <w:rsid w:val="007F5606"/>
    <w:rsid w:val="008001B9"/>
    <w:rsid w:val="008033D8"/>
    <w:rsid w:val="008115C5"/>
    <w:rsid w:val="008122AD"/>
    <w:rsid w:val="00812C70"/>
    <w:rsid w:val="008135BE"/>
    <w:rsid w:val="0081418A"/>
    <w:rsid w:val="008149B0"/>
    <w:rsid w:val="008177D7"/>
    <w:rsid w:val="00822D9F"/>
    <w:rsid w:val="00826203"/>
    <w:rsid w:val="008272A5"/>
    <w:rsid w:val="008277A6"/>
    <w:rsid w:val="00831644"/>
    <w:rsid w:val="00833183"/>
    <w:rsid w:val="0083599D"/>
    <w:rsid w:val="008423A3"/>
    <w:rsid w:val="00844F2B"/>
    <w:rsid w:val="00845FD4"/>
    <w:rsid w:val="00846D9D"/>
    <w:rsid w:val="0085211A"/>
    <w:rsid w:val="008533C2"/>
    <w:rsid w:val="00853657"/>
    <w:rsid w:val="0085587F"/>
    <w:rsid w:val="00856C0B"/>
    <w:rsid w:val="0086142A"/>
    <w:rsid w:val="00861D88"/>
    <w:rsid w:val="00862111"/>
    <w:rsid w:val="00862D16"/>
    <w:rsid w:val="0086473B"/>
    <w:rsid w:val="008647B0"/>
    <w:rsid w:val="00865300"/>
    <w:rsid w:val="00865B73"/>
    <w:rsid w:val="008667CC"/>
    <w:rsid w:val="0087280E"/>
    <w:rsid w:val="00872F09"/>
    <w:rsid w:val="0087362B"/>
    <w:rsid w:val="00876442"/>
    <w:rsid w:val="00876FA4"/>
    <w:rsid w:val="00880168"/>
    <w:rsid w:val="008825E4"/>
    <w:rsid w:val="00882D3C"/>
    <w:rsid w:val="00884155"/>
    <w:rsid w:val="008847ED"/>
    <w:rsid w:val="00887D24"/>
    <w:rsid w:val="00892D3B"/>
    <w:rsid w:val="00895154"/>
    <w:rsid w:val="00897EDC"/>
    <w:rsid w:val="008A17EB"/>
    <w:rsid w:val="008A2824"/>
    <w:rsid w:val="008A2C2E"/>
    <w:rsid w:val="008A2F12"/>
    <w:rsid w:val="008A3853"/>
    <w:rsid w:val="008A38AE"/>
    <w:rsid w:val="008A3C81"/>
    <w:rsid w:val="008A44D8"/>
    <w:rsid w:val="008A5134"/>
    <w:rsid w:val="008A51AD"/>
    <w:rsid w:val="008B1393"/>
    <w:rsid w:val="008B3D74"/>
    <w:rsid w:val="008B4953"/>
    <w:rsid w:val="008B547E"/>
    <w:rsid w:val="008B55D7"/>
    <w:rsid w:val="008B6CCD"/>
    <w:rsid w:val="008C5774"/>
    <w:rsid w:val="008C579E"/>
    <w:rsid w:val="008D0FCF"/>
    <w:rsid w:val="008D37F6"/>
    <w:rsid w:val="008D5B54"/>
    <w:rsid w:val="008D6266"/>
    <w:rsid w:val="008D7983"/>
    <w:rsid w:val="008E34D4"/>
    <w:rsid w:val="008E5AD8"/>
    <w:rsid w:val="008F09A9"/>
    <w:rsid w:val="008F2E36"/>
    <w:rsid w:val="008F3B20"/>
    <w:rsid w:val="008F3D78"/>
    <w:rsid w:val="00900963"/>
    <w:rsid w:val="00900D5B"/>
    <w:rsid w:val="009047F7"/>
    <w:rsid w:val="0090492C"/>
    <w:rsid w:val="009121FF"/>
    <w:rsid w:val="009129DC"/>
    <w:rsid w:val="00912D7B"/>
    <w:rsid w:val="00913148"/>
    <w:rsid w:val="009139D9"/>
    <w:rsid w:val="009208D8"/>
    <w:rsid w:val="00922DBD"/>
    <w:rsid w:val="0092387F"/>
    <w:rsid w:val="00925F3A"/>
    <w:rsid w:val="00926505"/>
    <w:rsid w:val="009265C0"/>
    <w:rsid w:val="00926F0E"/>
    <w:rsid w:val="00927651"/>
    <w:rsid w:val="00930817"/>
    <w:rsid w:val="0093109F"/>
    <w:rsid w:val="00935573"/>
    <w:rsid w:val="009356A2"/>
    <w:rsid w:val="00942D68"/>
    <w:rsid w:val="00944F44"/>
    <w:rsid w:val="00945537"/>
    <w:rsid w:val="009456EB"/>
    <w:rsid w:val="009469BE"/>
    <w:rsid w:val="0094797C"/>
    <w:rsid w:val="00947DC2"/>
    <w:rsid w:val="00951FDE"/>
    <w:rsid w:val="00954FC6"/>
    <w:rsid w:val="00957FBC"/>
    <w:rsid w:val="00960420"/>
    <w:rsid w:val="00960714"/>
    <w:rsid w:val="0096255F"/>
    <w:rsid w:val="009647C5"/>
    <w:rsid w:val="009675F1"/>
    <w:rsid w:val="00967C6A"/>
    <w:rsid w:val="009704FB"/>
    <w:rsid w:val="0097527E"/>
    <w:rsid w:val="009832ED"/>
    <w:rsid w:val="00985FC1"/>
    <w:rsid w:val="00986DFB"/>
    <w:rsid w:val="00987D02"/>
    <w:rsid w:val="00990586"/>
    <w:rsid w:val="00991785"/>
    <w:rsid w:val="00993E9F"/>
    <w:rsid w:val="00994B34"/>
    <w:rsid w:val="00994EF3"/>
    <w:rsid w:val="00997577"/>
    <w:rsid w:val="009A03A4"/>
    <w:rsid w:val="009A0990"/>
    <w:rsid w:val="009A1852"/>
    <w:rsid w:val="009A200B"/>
    <w:rsid w:val="009A3F61"/>
    <w:rsid w:val="009B1E5F"/>
    <w:rsid w:val="009B5BC7"/>
    <w:rsid w:val="009C1C52"/>
    <w:rsid w:val="009C2EA4"/>
    <w:rsid w:val="009C7CDB"/>
    <w:rsid w:val="009D1067"/>
    <w:rsid w:val="009D173D"/>
    <w:rsid w:val="009D1A9A"/>
    <w:rsid w:val="009D7913"/>
    <w:rsid w:val="009D7B56"/>
    <w:rsid w:val="009E1A09"/>
    <w:rsid w:val="009E1B84"/>
    <w:rsid w:val="009E318C"/>
    <w:rsid w:val="009E4D2D"/>
    <w:rsid w:val="009E63A4"/>
    <w:rsid w:val="009E745D"/>
    <w:rsid w:val="009E7589"/>
    <w:rsid w:val="009E78BD"/>
    <w:rsid w:val="009F049C"/>
    <w:rsid w:val="009F2FC3"/>
    <w:rsid w:val="009F3981"/>
    <w:rsid w:val="009F4D87"/>
    <w:rsid w:val="009F70E9"/>
    <w:rsid w:val="00A00B4A"/>
    <w:rsid w:val="00A04ABD"/>
    <w:rsid w:val="00A05001"/>
    <w:rsid w:val="00A0777B"/>
    <w:rsid w:val="00A10251"/>
    <w:rsid w:val="00A13230"/>
    <w:rsid w:val="00A16360"/>
    <w:rsid w:val="00A16D4C"/>
    <w:rsid w:val="00A21884"/>
    <w:rsid w:val="00A22B6C"/>
    <w:rsid w:val="00A25D84"/>
    <w:rsid w:val="00A315A5"/>
    <w:rsid w:val="00A31D12"/>
    <w:rsid w:val="00A3335F"/>
    <w:rsid w:val="00A40474"/>
    <w:rsid w:val="00A4337D"/>
    <w:rsid w:val="00A471C9"/>
    <w:rsid w:val="00A50878"/>
    <w:rsid w:val="00A51787"/>
    <w:rsid w:val="00A51BFA"/>
    <w:rsid w:val="00A52F37"/>
    <w:rsid w:val="00A56ED0"/>
    <w:rsid w:val="00A579D3"/>
    <w:rsid w:val="00A622C7"/>
    <w:rsid w:val="00A6583B"/>
    <w:rsid w:val="00A66894"/>
    <w:rsid w:val="00A673A1"/>
    <w:rsid w:val="00A77FCF"/>
    <w:rsid w:val="00A809BC"/>
    <w:rsid w:val="00A80EE0"/>
    <w:rsid w:val="00A81AA5"/>
    <w:rsid w:val="00A83C22"/>
    <w:rsid w:val="00A847CD"/>
    <w:rsid w:val="00A85694"/>
    <w:rsid w:val="00A8650D"/>
    <w:rsid w:val="00A867BF"/>
    <w:rsid w:val="00A905FB"/>
    <w:rsid w:val="00A90B9B"/>
    <w:rsid w:val="00A93BF0"/>
    <w:rsid w:val="00A94C94"/>
    <w:rsid w:val="00A96295"/>
    <w:rsid w:val="00A968AB"/>
    <w:rsid w:val="00A976D6"/>
    <w:rsid w:val="00A97DD5"/>
    <w:rsid w:val="00AA2416"/>
    <w:rsid w:val="00AA3F02"/>
    <w:rsid w:val="00AA463E"/>
    <w:rsid w:val="00AA69EF"/>
    <w:rsid w:val="00AA7E89"/>
    <w:rsid w:val="00AB2DA2"/>
    <w:rsid w:val="00AB3915"/>
    <w:rsid w:val="00AC0309"/>
    <w:rsid w:val="00AC0716"/>
    <w:rsid w:val="00AC4E9D"/>
    <w:rsid w:val="00AC5BEF"/>
    <w:rsid w:val="00AC68BE"/>
    <w:rsid w:val="00AC6A15"/>
    <w:rsid w:val="00AD0028"/>
    <w:rsid w:val="00AE3389"/>
    <w:rsid w:val="00AE4FA9"/>
    <w:rsid w:val="00AE5F4A"/>
    <w:rsid w:val="00AE7C82"/>
    <w:rsid w:val="00AF0634"/>
    <w:rsid w:val="00AF30A5"/>
    <w:rsid w:val="00AF3186"/>
    <w:rsid w:val="00AF3A82"/>
    <w:rsid w:val="00AF5B6E"/>
    <w:rsid w:val="00AF6188"/>
    <w:rsid w:val="00B013CA"/>
    <w:rsid w:val="00B057CB"/>
    <w:rsid w:val="00B10136"/>
    <w:rsid w:val="00B12015"/>
    <w:rsid w:val="00B17972"/>
    <w:rsid w:val="00B23506"/>
    <w:rsid w:val="00B31A9F"/>
    <w:rsid w:val="00B320DC"/>
    <w:rsid w:val="00B35A8E"/>
    <w:rsid w:val="00B4014F"/>
    <w:rsid w:val="00B414DE"/>
    <w:rsid w:val="00B41A9B"/>
    <w:rsid w:val="00B41E33"/>
    <w:rsid w:val="00B4352A"/>
    <w:rsid w:val="00B43B13"/>
    <w:rsid w:val="00B44126"/>
    <w:rsid w:val="00B45635"/>
    <w:rsid w:val="00B46A47"/>
    <w:rsid w:val="00B47B3F"/>
    <w:rsid w:val="00B52044"/>
    <w:rsid w:val="00B52A9E"/>
    <w:rsid w:val="00B533B3"/>
    <w:rsid w:val="00B53898"/>
    <w:rsid w:val="00B539A1"/>
    <w:rsid w:val="00B53C15"/>
    <w:rsid w:val="00B615CC"/>
    <w:rsid w:val="00B6291B"/>
    <w:rsid w:val="00B63CBC"/>
    <w:rsid w:val="00B658A1"/>
    <w:rsid w:val="00B67CA3"/>
    <w:rsid w:val="00B7023F"/>
    <w:rsid w:val="00B71F82"/>
    <w:rsid w:val="00B7424B"/>
    <w:rsid w:val="00B7630C"/>
    <w:rsid w:val="00B81F70"/>
    <w:rsid w:val="00B9451F"/>
    <w:rsid w:val="00BA1082"/>
    <w:rsid w:val="00BA10DF"/>
    <w:rsid w:val="00BB139A"/>
    <w:rsid w:val="00BB32F0"/>
    <w:rsid w:val="00BB473F"/>
    <w:rsid w:val="00BC05A6"/>
    <w:rsid w:val="00BC10C2"/>
    <w:rsid w:val="00BC1CFB"/>
    <w:rsid w:val="00BC5A06"/>
    <w:rsid w:val="00BD10A6"/>
    <w:rsid w:val="00BD1915"/>
    <w:rsid w:val="00BD334C"/>
    <w:rsid w:val="00BD3E31"/>
    <w:rsid w:val="00BD5372"/>
    <w:rsid w:val="00BD78DB"/>
    <w:rsid w:val="00BE50AA"/>
    <w:rsid w:val="00BE72F8"/>
    <w:rsid w:val="00BE7316"/>
    <w:rsid w:val="00BE7C55"/>
    <w:rsid w:val="00BF00E3"/>
    <w:rsid w:val="00BF046F"/>
    <w:rsid w:val="00BF0C5F"/>
    <w:rsid w:val="00BF5A4E"/>
    <w:rsid w:val="00C0249B"/>
    <w:rsid w:val="00C1060C"/>
    <w:rsid w:val="00C10827"/>
    <w:rsid w:val="00C10C34"/>
    <w:rsid w:val="00C11964"/>
    <w:rsid w:val="00C14277"/>
    <w:rsid w:val="00C178CF"/>
    <w:rsid w:val="00C20B18"/>
    <w:rsid w:val="00C236F4"/>
    <w:rsid w:val="00C242C4"/>
    <w:rsid w:val="00C31A20"/>
    <w:rsid w:val="00C3321C"/>
    <w:rsid w:val="00C356E8"/>
    <w:rsid w:val="00C471ED"/>
    <w:rsid w:val="00C47892"/>
    <w:rsid w:val="00C479AA"/>
    <w:rsid w:val="00C50525"/>
    <w:rsid w:val="00C5056D"/>
    <w:rsid w:val="00C50F95"/>
    <w:rsid w:val="00C55DC7"/>
    <w:rsid w:val="00C57B17"/>
    <w:rsid w:val="00C607C9"/>
    <w:rsid w:val="00C62072"/>
    <w:rsid w:val="00C625FD"/>
    <w:rsid w:val="00C64B15"/>
    <w:rsid w:val="00C652EE"/>
    <w:rsid w:val="00C65823"/>
    <w:rsid w:val="00C67F24"/>
    <w:rsid w:val="00C72782"/>
    <w:rsid w:val="00C730A2"/>
    <w:rsid w:val="00C736BA"/>
    <w:rsid w:val="00C75154"/>
    <w:rsid w:val="00C76D9F"/>
    <w:rsid w:val="00C817AB"/>
    <w:rsid w:val="00C82565"/>
    <w:rsid w:val="00C83898"/>
    <w:rsid w:val="00C867BC"/>
    <w:rsid w:val="00C90A25"/>
    <w:rsid w:val="00C924ED"/>
    <w:rsid w:val="00C94E7B"/>
    <w:rsid w:val="00C954D7"/>
    <w:rsid w:val="00CA2B98"/>
    <w:rsid w:val="00CA3763"/>
    <w:rsid w:val="00CA4EA1"/>
    <w:rsid w:val="00CA6F12"/>
    <w:rsid w:val="00CA75DC"/>
    <w:rsid w:val="00CA7800"/>
    <w:rsid w:val="00CA7D25"/>
    <w:rsid w:val="00CB3D61"/>
    <w:rsid w:val="00CB5D46"/>
    <w:rsid w:val="00CB5E98"/>
    <w:rsid w:val="00CB6330"/>
    <w:rsid w:val="00CC39D2"/>
    <w:rsid w:val="00CC6151"/>
    <w:rsid w:val="00CD282F"/>
    <w:rsid w:val="00CD4346"/>
    <w:rsid w:val="00CD6C60"/>
    <w:rsid w:val="00CD70EB"/>
    <w:rsid w:val="00CD719F"/>
    <w:rsid w:val="00CD7B9B"/>
    <w:rsid w:val="00CE19AC"/>
    <w:rsid w:val="00CE2DE2"/>
    <w:rsid w:val="00CE4B2B"/>
    <w:rsid w:val="00CE5938"/>
    <w:rsid w:val="00CE7F33"/>
    <w:rsid w:val="00CF023C"/>
    <w:rsid w:val="00CF3691"/>
    <w:rsid w:val="00CF45B0"/>
    <w:rsid w:val="00CF4CA5"/>
    <w:rsid w:val="00CF549A"/>
    <w:rsid w:val="00D00307"/>
    <w:rsid w:val="00D00C88"/>
    <w:rsid w:val="00D03EF5"/>
    <w:rsid w:val="00D056CA"/>
    <w:rsid w:val="00D05FC8"/>
    <w:rsid w:val="00D06875"/>
    <w:rsid w:val="00D10E24"/>
    <w:rsid w:val="00D122BE"/>
    <w:rsid w:val="00D1530C"/>
    <w:rsid w:val="00D1613E"/>
    <w:rsid w:val="00D20C24"/>
    <w:rsid w:val="00D22CEB"/>
    <w:rsid w:val="00D2501C"/>
    <w:rsid w:val="00D253BF"/>
    <w:rsid w:val="00D311A8"/>
    <w:rsid w:val="00D3146C"/>
    <w:rsid w:val="00D31A05"/>
    <w:rsid w:val="00D33BDB"/>
    <w:rsid w:val="00D344CE"/>
    <w:rsid w:val="00D34E70"/>
    <w:rsid w:val="00D35A55"/>
    <w:rsid w:val="00D363E8"/>
    <w:rsid w:val="00D41486"/>
    <w:rsid w:val="00D4173D"/>
    <w:rsid w:val="00D42CA7"/>
    <w:rsid w:val="00D443B9"/>
    <w:rsid w:val="00D459C8"/>
    <w:rsid w:val="00D50089"/>
    <w:rsid w:val="00D50F20"/>
    <w:rsid w:val="00D5119D"/>
    <w:rsid w:val="00D519A7"/>
    <w:rsid w:val="00D51B61"/>
    <w:rsid w:val="00D54568"/>
    <w:rsid w:val="00D5727F"/>
    <w:rsid w:val="00D620D5"/>
    <w:rsid w:val="00D62DE4"/>
    <w:rsid w:val="00D635CE"/>
    <w:rsid w:val="00D65F3F"/>
    <w:rsid w:val="00D7092D"/>
    <w:rsid w:val="00D72B64"/>
    <w:rsid w:val="00D80A98"/>
    <w:rsid w:val="00D84E01"/>
    <w:rsid w:val="00D853AA"/>
    <w:rsid w:val="00D86289"/>
    <w:rsid w:val="00D8769C"/>
    <w:rsid w:val="00D90F5D"/>
    <w:rsid w:val="00D923AB"/>
    <w:rsid w:val="00D93526"/>
    <w:rsid w:val="00D94885"/>
    <w:rsid w:val="00DA5F89"/>
    <w:rsid w:val="00DA6586"/>
    <w:rsid w:val="00DA6810"/>
    <w:rsid w:val="00DA6C89"/>
    <w:rsid w:val="00DA7E9E"/>
    <w:rsid w:val="00DB270A"/>
    <w:rsid w:val="00DB370E"/>
    <w:rsid w:val="00DB5096"/>
    <w:rsid w:val="00DB5DF8"/>
    <w:rsid w:val="00DB743B"/>
    <w:rsid w:val="00DC3562"/>
    <w:rsid w:val="00DC6125"/>
    <w:rsid w:val="00DD269D"/>
    <w:rsid w:val="00DD5B03"/>
    <w:rsid w:val="00DD7C82"/>
    <w:rsid w:val="00DE1518"/>
    <w:rsid w:val="00DE2088"/>
    <w:rsid w:val="00DE2B9E"/>
    <w:rsid w:val="00DE347E"/>
    <w:rsid w:val="00DE51E3"/>
    <w:rsid w:val="00DE6A97"/>
    <w:rsid w:val="00DF184E"/>
    <w:rsid w:val="00DF4FDE"/>
    <w:rsid w:val="00DF55EF"/>
    <w:rsid w:val="00DF6863"/>
    <w:rsid w:val="00E02A79"/>
    <w:rsid w:val="00E02F60"/>
    <w:rsid w:val="00E070F1"/>
    <w:rsid w:val="00E0757A"/>
    <w:rsid w:val="00E07BA5"/>
    <w:rsid w:val="00E10A8C"/>
    <w:rsid w:val="00E1281D"/>
    <w:rsid w:val="00E13EED"/>
    <w:rsid w:val="00E16337"/>
    <w:rsid w:val="00E1701D"/>
    <w:rsid w:val="00E21853"/>
    <w:rsid w:val="00E24BDF"/>
    <w:rsid w:val="00E25E4A"/>
    <w:rsid w:val="00E2789D"/>
    <w:rsid w:val="00E27FED"/>
    <w:rsid w:val="00E33ED9"/>
    <w:rsid w:val="00E33FC2"/>
    <w:rsid w:val="00E40304"/>
    <w:rsid w:val="00E41BB9"/>
    <w:rsid w:val="00E42D5E"/>
    <w:rsid w:val="00E4348E"/>
    <w:rsid w:val="00E45140"/>
    <w:rsid w:val="00E510C9"/>
    <w:rsid w:val="00E52970"/>
    <w:rsid w:val="00E55706"/>
    <w:rsid w:val="00E55C4A"/>
    <w:rsid w:val="00E60912"/>
    <w:rsid w:val="00E618E2"/>
    <w:rsid w:val="00E6212D"/>
    <w:rsid w:val="00E64101"/>
    <w:rsid w:val="00E643BA"/>
    <w:rsid w:val="00E64783"/>
    <w:rsid w:val="00E666BF"/>
    <w:rsid w:val="00E70BE7"/>
    <w:rsid w:val="00E74111"/>
    <w:rsid w:val="00E81739"/>
    <w:rsid w:val="00E82BDD"/>
    <w:rsid w:val="00E844CC"/>
    <w:rsid w:val="00E84FF0"/>
    <w:rsid w:val="00E855A5"/>
    <w:rsid w:val="00E904D0"/>
    <w:rsid w:val="00E91400"/>
    <w:rsid w:val="00E9293F"/>
    <w:rsid w:val="00E97DB3"/>
    <w:rsid w:val="00EA1C2B"/>
    <w:rsid w:val="00EA2475"/>
    <w:rsid w:val="00EA3F0B"/>
    <w:rsid w:val="00EA4674"/>
    <w:rsid w:val="00EA632D"/>
    <w:rsid w:val="00EB1FF2"/>
    <w:rsid w:val="00EB32BB"/>
    <w:rsid w:val="00EB362B"/>
    <w:rsid w:val="00EB45DC"/>
    <w:rsid w:val="00EB7FE2"/>
    <w:rsid w:val="00EC647D"/>
    <w:rsid w:val="00EC6B20"/>
    <w:rsid w:val="00ED32D7"/>
    <w:rsid w:val="00EE1190"/>
    <w:rsid w:val="00EE2334"/>
    <w:rsid w:val="00EE2569"/>
    <w:rsid w:val="00EE4519"/>
    <w:rsid w:val="00EE5264"/>
    <w:rsid w:val="00EE5CD9"/>
    <w:rsid w:val="00EE5E12"/>
    <w:rsid w:val="00EE7AF2"/>
    <w:rsid w:val="00EF07BF"/>
    <w:rsid w:val="00EF0CE5"/>
    <w:rsid w:val="00EF1750"/>
    <w:rsid w:val="00EF423E"/>
    <w:rsid w:val="00EF5AB0"/>
    <w:rsid w:val="00EF6CC8"/>
    <w:rsid w:val="00EF789C"/>
    <w:rsid w:val="00F007A0"/>
    <w:rsid w:val="00F04DA2"/>
    <w:rsid w:val="00F1043A"/>
    <w:rsid w:val="00F10CAD"/>
    <w:rsid w:val="00F10E14"/>
    <w:rsid w:val="00F1132A"/>
    <w:rsid w:val="00F1175C"/>
    <w:rsid w:val="00F14070"/>
    <w:rsid w:val="00F14A61"/>
    <w:rsid w:val="00F14EC4"/>
    <w:rsid w:val="00F1629B"/>
    <w:rsid w:val="00F16EF0"/>
    <w:rsid w:val="00F17AE5"/>
    <w:rsid w:val="00F17B9C"/>
    <w:rsid w:val="00F20FAB"/>
    <w:rsid w:val="00F212C1"/>
    <w:rsid w:val="00F21CE9"/>
    <w:rsid w:val="00F22FB5"/>
    <w:rsid w:val="00F26AC4"/>
    <w:rsid w:val="00F306DA"/>
    <w:rsid w:val="00F32C5D"/>
    <w:rsid w:val="00F3432A"/>
    <w:rsid w:val="00F4220D"/>
    <w:rsid w:val="00F42F29"/>
    <w:rsid w:val="00F4356A"/>
    <w:rsid w:val="00F450E7"/>
    <w:rsid w:val="00F504AF"/>
    <w:rsid w:val="00F50C02"/>
    <w:rsid w:val="00F511D1"/>
    <w:rsid w:val="00F51302"/>
    <w:rsid w:val="00F51FCB"/>
    <w:rsid w:val="00F5211F"/>
    <w:rsid w:val="00F57A16"/>
    <w:rsid w:val="00F61549"/>
    <w:rsid w:val="00F62E4B"/>
    <w:rsid w:val="00F71499"/>
    <w:rsid w:val="00F726D8"/>
    <w:rsid w:val="00F73FD6"/>
    <w:rsid w:val="00F751E8"/>
    <w:rsid w:val="00F766F2"/>
    <w:rsid w:val="00F80207"/>
    <w:rsid w:val="00F80510"/>
    <w:rsid w:val="00F81314"/>
    <w:rsid w:val="00F81FA6"/>
    <w:rsid w:val="00F847DE"/>
    <w:rsid w:val="00F91453"/>
    <w:rsid w:val="00F925D4"/>
    <w:rsid w:val="00F940B1"/>
    <w:rsid w:val="00F94961"/>
    <w:rsid w:val="00F94F84"/>
    <w:rsid w:val="00F94F85"/>
    <w:rsid w:val="00F962B5"/>
    <w:rsid w:val="00FA0646"/>
    <w:rsid w:val="00FA22E9"/>
    <w:rsid w:val="00FA2757"/>
    <w:rsid w:val="00FA4B61"/>
    <w:rsid w:val="00FB3016"/>
    <w:rsid w:val="00FB44B2"/>
    <w:rsid w:val="00FB4511"/>
    <w:rsid w:val="00FB48F1"/>
    <w:rsid w:val="00FB71C1"/>
    <w:rsid w:val="00FC1065"/>
    <w:rsid w:val="00FC46DC"/>
    <w:rsid w:val="00FD009C"/>
    <w:rsid w:val="00FD0396"/>
    <w:rsid w:val="00FD0418"/>
    <w:rsid w:val="00FD0EBF"/>
    <w:rsid w:val="00FD25CF"/>
    <w:rsid w:val="00FD29A2"/>
    <w:rsid w:val="00FD2BFB"/>
    <w:rsid w:val="00FD32A2"/>
    <w:rsid w:val="00FD363E"/>
    <w:rsid w:val="00FD60CA"/>
    <w:rsid w:val="00FD64CC"/>
    <w:rsid w:val="00FE004A"/>
    <w:rsid w:val="00FE3169"/>
    <w:rsid w:val="00FE4A41"/>
    <w:rsid w:val="00FE5A17"/>
    <w:rsid w:val="00FF0C32"/>
    <w:rsid w:val="00FF252A"/>
    <w:rsid w:val="00FF328C"/>
    <w:rsid w:val="00FF617A"/>
    <w:rsid w:val="00FF67BD"/>
    <w:rsid w:val="00FF6C79"/>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D174164"/>
  <w15:docId w15:val="{5EA9EBB2-06BC-4AF8-BBC4-117DB9BD5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annotation text" w:uiPriority="99"/>
    <w:lsdException w:name="header" w:uiPriority="99"/>
    <w:lsdException w:name="caption" w:qFormat="1"/>
    <w:lsdException w:name="annotation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707ACD"/>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6D62F9"/>
    <w:pPr>
      <w:numPr>
        <w:numId w:val="15"/>
      </w:numPr>
      <w:pBdr>
        <w:top w:val="single" w:sz="48" w:space="1" w:color="00B274"/>
        <w:left w:val="single" w:sz="48" w:space="4" w:color="00B274"/>
        <w:bottom w:val="single" w:sz="48" w:space="1" w:color="00B274"/>
        <w:right w:val="single" w:sz="48" w:space="4" w:color="00B274"/>
      </w:pBdr>
      <w:shd w:val="clear" w:color="auto" w:fill="00B274"/>
      <w:spacing w:before="240" w:after="240" w:line="240" w:lineRule="auto"/>
      <w:outlineLvl w:val="0"/>
    </w:pPr>
    <w:rPr>
      <w:rFonts w:cs="Arial"/>
      <w:b/>
      <w:bCs/>
      <w:iCs/>
      <w:color w:val="FFFFFF"/>
      <w:kern w:val="32"/>
      <w:sz w:val="28"/>
      <w:szCs w:val="32"/>
    </w:rPr>
  </w:style>
  <w:style w:type="paragraph" w:styleId="Heading2">
    <w:name w:val="heading 2"/>
    <w:aliases w:val="level 2,level2"/>
    <w:basedOn w:val="Normal"/>
    <w:next w:val="Normal"/>
    <w:link w:val="Heading2Char"/>
    <w:qFormat/>
    <w:rsid w:val="00731B99"/>
    <w:pPr>
      <w:keepNext/>
      <w:spacing w:line="840" w:lineRule="atLeast"/>
      <w:outlineLvl w:val="1"/>
    </w:pPr>
    <w:rPr>
      <w:rFonts w:cs="Arial"/>
      <w:bCs/>
      <w:iCs/>
      <w:color w:val="008576"/>
      <w:sz w:val="80"/>
      <w:szCs w:val="28"/>
    </w:rPr>
  </w:style>
  <w:style w:type="paragraph" w:styleId="Heading3">
    <w:name w:val="heading 3"/>
    <w:aliases w:val="DCUSA H3,level 3,level3,Nadpis 3,3,Section,Annotationen,(Alt+3),(Alt+3)1,(Alt+3)2,(Alt+3)3,(Alt+3)4,(Alt+3)5,(Alt+3)6,(Alt+3)11,(Alt+3)21,(Alt+3)31,(Alt+3)41,(Alt+3)7,(Alt+3)12,(Alt+3)22,(Alt+3)32,(Alt+3)42,(Alt+3)8,(Alt+3)9,(Alt+3)10"/>
    <w:basedOn w:val="Normal"/>
    <w:link w:val="Heading3Char"/>
    <w:autoRedefine/>
    <w:qFormat/>
    <w:rsid w:val="008B55D7"/>
    <w:pPr>
      <w:spacing w:line="360" w:lineRule="auto"/>
      <w:ind w:left="576" w:hanging="576"/>
      <w:jc w:val="both"/>
      <w:outlineLvl w:val="2"/>
    </w:pPr>
  </w:style>
  <w:style w:type="paragraph" w:styleId="Heading4">
    <w:name w:val="heading 4"/>
    <w:basedOn w:val="Normal"/>
    <w:next w:val="Heading3"/>
    <w:link w:val="Heading4Char"/>
    <w:qFormat/>
    <w:rsid w:val="00E45140"/>
    <w:pPr>
      <w:keepNext/>
      <w:spacing w:before="240"/>
      <w:outlineLvl w:val="3"/>
    </w:pPr>
    <w:rPr>
      <w:rFonts w:cs="Arial"/>
      <w:b/>
      <w:bCs/>
      <w:color w:val="008576"/>
      <w:sz w:val="24"/>
      <w:szCs w:val="28"/>
    </w:rPr>
  </w:style>
  <w:style w:type="paragraph" w:styleId="Heading5">
    <w:name w:val="heading 5"/>
    <w:basedOn w:val="Normal"/>
    <w:next w:val="Normal"/>
    <w:link w:val="Heading5Char"/>
    <w:qFormat/>
    <w:rsid w:val="00313E9E"/>
    <w:pPr>
      <w:keepNext/>
      <w:keepLines/>
      <w:numPr>
        <w:ilvl w:val="4"/>
        <w:numId w:val="15"/>
      </w:numPr>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numPr>
        <w:ilvl w:val="5"/>
        <w:numId w:val="15"/>
      </w:numPr>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numPr>
        <w:ilvl w:val="6"/>
        <w:numId w:val="15"/>
      </w:numPr>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numPr>
        <w:ilvl w:val="7"/>
        <w:numId w:val="15"/>
      </w:numPr>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numPr>
        <w:ilvl w:val="8"/>
        <w:numId w:val="15"/>
      </w:numPr>
      <w:spacing w:before="200"/>
      <w:outlineLvl w:val="8"/>
    </w:pPr>
    <w:rPr>
      <w:rFonts w:ascii="Calibri" w:eastAsia="MS Gothic" w:hAnsi="Calibri"/>
      <w:i/>
      <w:iCs/>
      <w:color w:val="363636"/>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731B99"/>
    <w:pPr>
      <w:tabs>
        <w:tab w:val="center" w:pos="4320"/>
        <w:tab w:val="right" w:pos="8640"/>
      </w:tabs>
    </w:p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6D62F9"/>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
    <w:link w:val="Heading2"/>
    <w:rsid w:val="00731B99"/>
    <w:rPr>
      <w:rFonts w:ascii="Arial" w:eastAsia="Times New Roman" w:hAnsi="Arial" w:cs="Arial"/>
      <w:bCs/>
      <w:iCs/>
      <w:color w:val="008576"/>
      <w:sz w:val="80"/>
      <w:szCs w:val="28"/>
      <w:lang w:eastAsia="en-GB"/>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E45140"/>
    <w:rPr>
      <w:rFonts w:ascii="Arial" w:eastAsia="Times New Roman" w:hAnsi="Arial" w:cs="Arial"/>
      <w:b/>
      <w:bCs/>
      <w:color w:val="008576"/>
      <w:sz w:val="24"/>
      <w:szCs w:val="28"/>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link w:val="Heading3"/>
    <w:rsid w:val="008B55D7"/>
    <w:rPr>
      <w:rFonts w:ascii="Arial" w:eastAsia="Times New Roman" w:hAnsi="Arial"/>
      <w:szCs w:val="24"/>
    </w:rPr>
  </w:style>
  <w:style w:type="character" w:customStyle="1" w:styleId="Heading5Char">
    <w:name w:val="Heading 5 Char"/>
    <w:link w:val="Heading5"/>
    <w:rsid w:val="00313E9E"/>
    <w:rPr>
      <w:rFonts w:ascii="Calibri" w:eastAsia="MS Gothic" w:hAnsi="Calibri"/>
      <w:color w:val="244061"/>
      <w:szCs w:val="24"/>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numPr>
        <w:ilvl w:val="0"/>
        <w:numId w:val="0"/>
      </w:numPr>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numPr>
        <w:numId w:val="0"/>
      </w:numPr>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8667CC"/>
    <w:pPr>
      <w:framePr w:wrap="around"/>
      <w:tabs>
        <w:tab w:val="clear" w:pos="7655"/>
        <w:tab w:val="right" w:pos="7399"/>
      </w:tabs>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uiPriority w:val="20"/>
    <w:qFormat/>
    <w:rsid w:val="001E6639"/>
    <w:rPr>
      <w:rFonts w:ascii="Arial" w:hAnsi="Arial" w:cs="Arial"/>
      <w:i/>
      <w:color w:val="00B274"/>
      <w:sz w:val="20"/>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spacing w:before="0"/>
      <w:ind w:left="400"/>
      <w:outlineLvl w:val="9"/>
    </w:pPr>
    <w:rPr>
      <w:rFonts w:ascii="Cambria" w:hAnsi="Cambria"/>
      <w:b w:val="0"/>
      <w:bCs w:val="0"/>
      <w:i/>
      <w:iCs/>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Normal"/>
    <w:rsid w:val="00845FD4"/>
    <w:pPr>
      <w:keepNext/>
      <w:numPr>
        <w:ilvl w:val="7"/>
      </w:numPr>
      <w:pBdr>
        <w:top w:val="single" w:sz="48" w:space="1" w:color="339966"/>
        <w:left w:val="single" w:sz="48" w:space="4" w:color="339966"/>
        <w:bottom w:val="single" w:sz="48" w:space="1" w:color="339966"/>
        <w:right w:val="single" w:sz="48" w:space="4" w:color="339966"/>
      </w:pBdr>
      <w:shd w:val="clear" w:color="auto" w:fill="339966"/>
      <w:spacing w:before="0" w:line="240" w:lineRule="auto"/>
      <w:ind w:left="567" w:right="238"/>
      <w:outlineLvl w:val="7"/>
    </w:pPr>
    <w:rPr>
      <w:rFonts w:cs="Arial"/>
      <w:b/>
      <w:bCs/>
      <w:color w:val="FFFFFF"/>
      <w:kern w:val="32"/>
      <w:szCs w:val="32"/>
    </w:rPr>
  </w:style>
  <w:style w:type="character" w:styleId="CommentReference">
    <w:name w:val="annotation reference"/>
    <w:uiPriority w:val="99"/>
    <w:rsid w:val="005B378E"/>
    <w:rPr>
      <w:sz w:val="16"/>
      <w:szCs w:val="16"/>
    </w:rPr>
  </w:style>
  <w:style w:type="paragraph" w:styleId="CommentText">
    <w:name w:val="annotation text"/>
    <w:basedOn w:val="Normal"/>
    <w:link w:val="CommentTextChar"/>
    <w:uiPriority w:val="99"/>
    <w:rsid w:val="005B378E"/>
    <w:rPr>
      <w:szCs w:val="20"/>
    </w:rPr>
  </w:style>
  <w:style w:type="character" w:customStyle="1" w:styleId="CommentTextChar">
    <w:name w:val="Comment Text Char"/>
    <w:link w:val="CommentText"/>
    <w:uiPriority w:val="99"/>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numPr>
        <w:numId w:val="0"/>
      </w:numPr>
      <w:pBdr>
        <w:top w:val="none" w:sz="0" w:space="0" w:color="auto"/>
        <w:left w:val="none" w:sz="0" w:space="0" w:color="auto"/>
        <w:bottom w:val="none" w:sz="0" w:space="0" w:color="auto"/>
        <w:right w:val="none" w:sz="0" w:space="0" w:color="auto"/>
      </w:pBdr>
      <w:shd w:val="clear" w:color="auto" w:fill="auto"/>
      <w:spacing w:before="480" w:line="276" w:lineRule="auto"/>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numPr>
        <w:ilvl w:val="0"/>
      </w:num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Heading4"/>
    <w:qFormat/>
    <w:rsid w:val="00E45140"/>
    <w:pPr>
      <w:numPr>
        <w:numId w:val="14"/>
      </w:num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paragraph" w:styleId="Revision">
    <w:name w:val="Revision"/>
    <w:hidden/>
    <w:rsid w:val="00845FD4"/>
    <w:rPr>
      <w:rFonts w:ascii="Arial" w:eastAsia="Times New Roman" w:hAnsi="Arial"/>
      <w:szCs w:val="24"/>
    </w:rPr>
  </w:style>
  <w:style w:type="paragraph" w:styleId="FootnoteText">
    <w:name w:val="footnote text"/>
    <w:basedOn w:val="Normal"/>
    <w:link w:val="FootnoteTextChar"/>
    <w:unhideWhenUsed/>
    <w:rsid w:val="00062418"/>
    <w:pPr>
      <w:spacing w:before="0" w:after="0" w:line="240" w:lineRule="auto"/>
    </w:pPr>
    <w:rPr>
      <w:szCs w:val="20"/>
    </w:rPr>
  </w:style>
  <w:style w:type="character" w:customStyle="1" w:styleId="FootnoteTextChar">
    <w:name w:val="Footnote Text Char"/>
    <w:link w:val="FootnoteText"/>
    <w:rsid w:val="00062418"/>
    <w:rPr>
      <w:rFonts w:ascii="Arial" w:eastAsia="Times New Roman" w:hAnsi="Arial"/>
    </w:rPr>
  </w:style>
  <w:style w:type="character" w:styleId="FootnoteReference">
    <w:name w:val="footnote reference"/>
    <w:unhideWhenUsed/>
    <w:rsid w:val="00062418"/>
    <w:rPr>
      <w:vertAlign w:val="superscript"/>
    </w:rPr>
  </w:style>
  <w:style w:type="paragraph" w:customStyle="1" w:styleId="GSBodyPara">
    <w:name w:val="GS Body Para"/>
    <w:basedOn w:val="Normal"/>
    <w:link w:val="GSBodyParaChar"/>
    <w:qFormat/>
    <w:rsid w:val="00062418"/>
    <w:pPr>
      <w:spacing w:before="40" w:after="40" w:line="240" w:lineRule="exact"/>
      <w:outlineLvl w:val="1"/>
    </w:pPr>
    <w:rPr>
      <w:rFonts w:ascii="Calibri" w:eastAsia="Calibri" w:hAnsi="Calibri" w:cs="Arial"/>
      <w:color w:val="4D4D4D"/>
      <w:sz w:val="22"/>
      <w:szCs w:val="22"/>
      <w:lang w:eastAsia="en-US"/>
    </w:rPr>
  </w:style>
  <w:style w:type="character" w:customStyle="1" w:styleId="GSBodyParaChar">
    <w:name w:val="GS Body Para Char"/>
    <w:link w:val="GSBodyPara"/>
    <w:rsid w:val="00062418"/>
    <w:rPr>
      <w:rFonts w:ascii="Calibri" w:eastAsia="Calibri" w:hAnsi="Calibri" w:cs="Arial"/>
      <w:color w:val="4D4D4D"/>
      <w:sz w:val="22"/>
      <w:szCs w:val="22"/>
      <w:lang w:eastAsia="en-US"/>
    </w:rPr>
  </w:style>
  <w:style w:type="paragraph" w:styleId="ListParagraph">
    <w:name w:val="List Paragraph"/>
    <w:basedOn w:val="Normal"/>
    <w:uiPriority w:val="34"/>
    <w:qFormat/>
    <w:rsid w:val="00062418"/>
    <w:pPr>
      <w:ind w:left="720"/>
    </w:pPr>
  </w:style>
  <w:style w:type="table" w:customStyle="1" w:styleId="TableList21">
    <w:name w:val="Table List 21"/>
    <w:basedOn w:val="TableNormal"/>
    <w:next w:val="TableList2"/>
    <w:rsid w:val="00F4220D"/>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legds">
    <w:name w:val="legds"/>
    <w:basedOn w:val="DefaultParagraphFont"/>
    <w:rsid w:val="00F4220D"/>
  </w:style>
  <w:style w:type="character" w:customStyle="1" w:styleId="DCUSATableTextChar">
    <w:name w:val="DCUSA Table Text Char"/>
    <w:link w:val="DCUSATableText"/>
    <w:locked/>
    <w:rsid w:val="00F4220D"/>
    <w:rPr>
      <w:rFonts w:ascii="Times New Roman" w:hAnsi="Times New Roman"/>
      <w:sz w:val="24"/>
    </w:rPr>
  </w:style>
  <w:style w:type="paragraph" w:customStyle="1" w:styleId="DCUSATableText">
    <w:name w:val="DCUSA Table Text"/>
    <w:basedOn w:val="Normal"/>
    <w:link w:val="DCUSATableTextChar"/>
    <w:qFormat/>
    <w:rsid w:val="00F4220D"/>
    <w:pPr>
      <w:spacing w:line="264" w:lineRule="auto"/>
    </w:pPr>
    <w:rPr>
      <w:rFonts w:ascii="Times New Roman" w:eastAsia="Cambria" w:hAnsi="Times New Roman"/>
      <w:sz w:val="24"/>
      <w:szCs w:val="20"/>
    </w:rPr>
  </w:style>
  <w:style w:type="paragraph" w:customStyle="1" w:styleId="DCUSATableTexta">
    <w:name w:val="DCUSA Table Text a)"/>
    <w:basedOn w:val="Normal"/>
    <w:qFormat/>
    <w:rsid w:val="00F4220D"/>
    <w:pPr>
      <w:numPr>
        <w:numId w:val="23"/>
      </w:numPr>
      <w:tabs>
        <w:tab w:val="num" w:pos="360"/>
      </w:tabs>
      <w:spacing w:line="240" w:lineRule="auto"/>
      <w:ind w:left="0" w:firstLine="0"/>
    </w:pPr>
    <w:rPr>
      <w:rFonts w:ascii="Times New Roman" w:eastAsia="Calibri" w:hAnsi="Times New Roman"/>
      <w:sz w:val="24"/>
      <w:szCs w:val="22"/>
      <w:lang w:eastAsia="en-US"/>
    </w:rPr>
  </w:style>
  <w:style w:type="paragraph" w:customStyle="1" w:styleId="DCUSATableTextbulletpt">
    <w:name w:val="DCUSA Table Text bullet pt"/>
    <w:basedOn w:val="DCUSATableText"/>
    <w:qFormat/>
    <w:rsid w:val="00F4220D"/>
    <w:pPr>
      <w:numPr>
        <w:ilvl w:val="1"/>
        <w:numId w:val="23"/>
      </w:numPr>
      <w:tabs>
        <w:tab w:val="num" w:pos="360"/>
        <w:tab w:val="num" w:pos="454"/>
      </w:tabs>
      <w:spacing w:line="360" w:lineRule="auto"/>
      <w:ind w:left="0" w:firstLine="0"/>
    </w:pPr>
  </w:style>
  <w:style w:type="character" w:customStyle="1" w:styleId="DCUSATabletextnumbersChar">
    <w:name w:val="DCUSA Table text numbers Char"/>
    <w:link w:val="DCUSATabletextnumbers"/>
    <w:locked/>
    <w:rsid w:val="00F4220D"/>
    <w:rPr>
      <w:rFonts w:ascii="Times New Roman" w:hAnsi="Times New Roman"/>
      <w:b/>
      <w:sz w:val="24"/>
    </w:rPr>
  </w:style>
  <w:style w:type="paragraph" w:customStyle="1" w:styleId="DCUSATabletextnumbers">
    <w:name w:val="DCUSA Table text numbers"/>
    <w:basedOn w:val="DCUSATableText"/>
    <w:link w:val="DCUSATabletextnumbersChar"/>
    <w:qFormat/>
    <w:rsid w:val="00F4220D"/>
    <w:pPr>
      <w:spacing w:line="240" w:lineRule="auto"/>
    </w:pPr>
    <w:rPr>
      <w:b/>
    </w:rPr>
  </w:style>
  <w:style w:type="paragraph" w:customStyle="1" w:styleId="xxmsonormal">
    <w:name w:val="x_xmsonormal"/>
    <w:basedOn w:val="Normal"/>
    <w:rsid w:val="00C242C4"/>
    <w:pPr>
      <w:spacing w:before="0" w:after="0" w:line="240" w:lineRule="auto"/>
    </w:pPr>
    <w:rPr>
      <w:rFonts w:ascii="Calibri" w:eastAsia="Calibri" w:hAnsi="Calibri" w:cs="Calibri"/>
      <w:szCs w:val="20"/>
    </w:rPr>
  </w:style>
  <w:style w:type="paragraph" w:styleId="NoSpacing">
    <w:name w:val="No Spacing"/>
    <w:qFormat/>
    <w:rsid w:val="001021F6"/>
    <w:rPr>
      <w:rFonts w:ascii="Arial" w:eastAsia="Times New Roman" w:hAnsi="Arial"/>
      <w:szCs w:val="24"/>
    </w:rPr>
  </w:style>
  <w:style w:type="paragraph" w:customStyle="1" w:styleId="legp1paratext">
    <w:name w:val="legp1paratext"/>
    <w:basedOn w:val="Normal"/>
    <w:rsid w:val="001021F6"/>
    <w:pPr>
      <w:spacing w:before="100" w:beforeAutospacing="1" w:after="100" w:afterAutospacing="1" w:line="240" w:lineRule="auto"/>
    </w:pPr>
    <w:rPr>
      <w:rFonts w:ascii="Times New Roman" w:hAnsi="Times New Roman"/>
      <w:sz w:val="24"/>
    </w:rPr>
  </w:style>
  <w:style w:type="table" w:styleId="GridTable4">
    <w:name w:val="Grid Table 4"/>
    <w:basedOn w:val="TableNormal"/>
    <w:uiPriority w:val="49"/>
    <w:rsid w:val="001021F6"/>
    <w:rPr>
      <w:rFonts w:ascii="Arial" w:eastAsia="Calibri" w:hAnsi="Arial"/>
      <w:sz w:val="22"/>
      <w:szCs w:val="22"/>
      <w:lang w:val="en-US"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legclearfix">
    <w:name w:val="legclearfix"/>
    <w:basedOn w:val="Normal"/>
    <w:rsid w:val="001021F6"/>
    <w:pPr>
      <w:spacing w:before="100" w:beforeAutospacing="1" w:after="100" w:afterAutospacing="1" w:line="240" w:lineRule="auto"/>
    </w:pPr>
    <w:rPr>
      <w:rFonts w:ascii="Times New Roman" w:hAnsi="Times New Roman"/>
      <w:sz w:val="24"/>
    </w:rPr>
  </w:style>
  <w:style w:type="table" w:styleId="MediumGrid2-Accent6">
    <w:name w:val="Medium Grid 2 Accent 6"/>
    <w:basedOn w:val="TableNormal"/>
    <w:rsid w:val="00551BF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2-Accent3">
    <w:name w:val="Medium Grid 2 Accent 3"/>
    <w:basedOn w:val="TableNormal"/>
    <w:rsid w:val="00551BF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character" w:styleId="UnresolvedMention">
    <w:name w:val="Unresolved Mention"/>
    <w:basedOn w:val="DefaultParagraphFont"/>
    <w:uiPriority w:val="99"/>
    <w:semiHidden/>
    <w:unhideWhenUsed/>
    <w:rsid w:val="0054531B"/>
    <w:rPr>
      <w:color w:val="605E5C"/>
      <w:shd w:val="clear" w:color="auto" w:fill="E1DFDD"/>
    </w:rPr>
  </w:style>
  <w:style w:type="paragraph" w:customStyle="1" w:styleId="GSBodyParawithnumb">
    <w:name w:val="GS Body Para with numb"/>
    <w:basedOn w:val="Normal"/>
    <w:link w:val="GSBodyParawithnumbChar"/>
    <w:qFormat/>
    <w:rsid w:val="00E25E4A"/>
    <w:pPr>
      <w:numPr>
        <w:ilvl w:val="1"/>
        <w:numId w:val="39"/>
      </w:numPr>
      <w:spacing w:after="240" w:line="280" w:lineRule="exact"/>
      <w:outlineLvl w:val="1"/>
    </w:pPr>
    <w:rPr>
      <w:rFonts w:asciiTheme="minorHAnsi" w:eastAsiaTheme="minorHAnsi" w:hAnsiTheme="minorHAnsi" w:cs="Arial"/>
      <w:color w:val="4D4D4D"/>
      <w:sz w:val="22"/>
      <w:szCs w:val="22"/>
      <w:lang w:eastAsia="en-US"/>
    </w:rPr>
  </w:style>
  <w:style w:type="character" w:customStyle="1" w:styleId="GSBodyParawithnumbChar">
    <w:name w:val="GS Body Para with numb Char"/>
    <w:basedOn w:val="DefaultParagraphFont"/>
    <w:link w:val="GSBodyParawithnumb"/>
    <w:rsid w:val="00E25E4A"/>
    <w:rPr>
      <w:rFonts w:asciiTheme="minorHAnsi" w:eastAsiaTheme="minorHAnsi" w:hAnsiTheme="minorHAnsi" w:cs="Arial"/>
      <w:color w:val="4D4D4D"/>
      <w:sz w:val="22"/>
      <w:szCs w:val="22"/>
      <w:lang w:eastAsia="en-US"/>
    </w:rPr>
  </w:style>
  <w:style w:type="paragraph" w:customStyle="1" w:styleId="GSHeading1withnumb">
    <w:name w:val="GS Heading 1 with numb"/>
    <w:basedOn w:val="Subtitle"/>
    <w:qFormat/>
    <w:rsid w:val="00E25E4A"/>
    <w:pPr>
      <w:numPr>
        <w:ilvl w:val="0"/>
        <w:numId w:val="39"/>
      </w:numPr>
      <w:pBdr>
        <w:bottom w:val="single" w:sz="2" w:space="5" w:color="CEE0CC"/>
      </w:pBdr>
      <w:tabs>
        <w:tab w:val="clear" w:pos="567"/>
        <w:tab w:val="num" w:pos="720"/>
      </w:tabs>
      <w:spacing w:before="40" w:after="80" w:line="300" w:lineRule="exact"/>
      <w:ind w:left="720" w:hanging="720"/>
      <w:outlineLvl w:val="1"/>
    </w:pPr>
    <w:rPr>
      <w:rFonts w:cs="Arial"/>
      <w:color w:val="3B9164"/>
      <w:sz w:val="28"/>
      <w:szCs w:val="40"/>
    </w:rPr>
  </w:style>
  <w:style w:type="paragraph" w:styleId="Subtitle">
    <w:name w:val="Subtitle"/>
    <w:basedOn w:val="Normal"/>
    <w:next w:val="Normal"/>
    <w:link w:val="SubtitleChar"/>
    <w:qFormat/>
    <w:rsid w:val="00E25E4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E25E4A"/>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86039">
      <w:bodyDiv w:val="1"/>
      <w:marLeft w:val="0"/>
      <w:marRight w:val="0"/>
      <w:marTop w:val="0"/>
      <w:marBottom w:val="0"/>
      <w:divBdr>
        <w:top w:val="none" w:sz="0" w:space="0" w:color="auto"/>
        <w:left w:val="none" w:sz="0" w:space="0" w:color="auto"/>
        <w:bottom w:val="none" w:sz="0" w:space="0" w:color="auto"/>
        <w:right w:val="none" w:sz="0" w:space="0" w:color="auto"/>
      </w:divBdr>
    </w:div>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430274819">
      <w:bodyDiv w:val="1"/>
      <w:marLeft w:val="0"/>
      <w:marRight w:val="0"/>
      <w:marTop w:val="0"/>
      <w:marBottom w:val="0"/>
      <w:divBdr>
        <w:top w:val="none" w:sz="0" w:space="0" w:color="auto"/>
        <w:left w:val="none" w:sz="0" w:space="0" w:color="auto"/>
        <w:bottom w:val="none" w:sz="0" w:space="0" w:color="auto"/>
        <w:right w:val="none" w:sz="0" w:space="0" w:color="auto"/>
      </w:divBdr>
    </w:div>
    <w:div w:id="512764206">
      <w:bodyDiv w:val="1"/>
      <w:marLeft w:val="0"/>
      <w:marRight w:val="0"/>
      <w:marTop w:val="0"/>
      <w:marBottom w:val="0"/>
      <w:divBdr>
        <w:top w:val="none" w:sz="0" w:space="0" w:color="auto"/>
        <w:left w:val="none" w:sz="0" w:space="0" w:color="auto"/>
        <w:bottom w:val="none" w:sz="0" w:space="0" w:color="auto"/>
        <w:right w:val="none" w:sz="0" w:space="0" w:color="auto"/>
      </w:divBdr>
    </w:div>
    <w:div w:id="604073460">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738090452">
      <w:bodyDiv w:val="1"/>
      <w:marLeft w:val="0"/>
      <w:marRight w:val="0"/>
      <w:marTop w:val="0"/>
      <w:marBottom w:val="0"/>
      <w:divBdr>
        <w:top w:val="none" w:sz="0" w:space="0" w:color="auto"/>
        <w:left w:val="none" w:sz="0" w:space="0" w:color="auto"/>
        <w:bottom w:val="none" w:sz="0" w:space="0" w:color="auto"/>
        <w:right w:val="none" w:sz="0" w:space="0" w:color="auto"/>
      </w:divBdr>
    </w:div>
    <w:div w:id="1229725814">
      <w:bodyDiv w:val="1"/>
      <w:marLeft w:val="0"/>
      <w:marRight w:val="0"/>
      <w:marTop w:val="0"/>
      <w:marBottom w:val="0"/>
      <w:divBdr>
        <w:top w:val="none" w:sz="0" w:space="0" w:color="auto"/>
        <w:left w:val="none" w:sz="0" w:space="0" w:color="auto"/>
        <w:bottom w:val="none" w:sz="0" w:space="0" w:color="auto"/>
        <w:right w:val="none" w:sz="0" w:space="0" w:color="auto"/>
      </w:divBdr>
    </w:div>
    <w:div w:id="1248923094">
      <w:bodyDiv w:val="1"/>
      <w:marLeft w:val="0"/>
      <w:marRight w:val="0"/>
      <w:marTop w:val="0"/>
      <w:marBottom w:val="0"/>
      <w:divBdr>
        <w:top w:val="none" w:sz="0" w:space="0" w:color="auto"/>
        <w:left w:val="none" w:sz="0" w:space="0" w:color="auto"/>
        <w:bottom w:val="none" w:sz="0" w:space="0" w:color="auto"/>
        <w:right w:val="none" w:sz="0" w:space="0" w:color="auto"/>
      </w:divBdr>
    </w:div>
    <w:div w:id="1673677044">
      <w:bodyDiv w:val="1"/>
      <w:marLeft w:val="0"/>
      <w:marRight w:val="0"/>
      <w:marTop w:val="0"/>
      <w:marBottom w:val="0"/>
      <w:divBdr>
        <w:top w:val="none" w:sz="0" w:space="0" w:color="auto"/>
        <w:left w:val="none" w:sz="0" w:space="0" w:color="auto"/>
        <w:bottom w:val="none" w:sz="0" w:space="0" w:color="auto"/>
        <w:right w:val="none" w:sz="0" w:space="0" w:color="auto"/>
      </w:divBdr>
    </w:div>
    <w:div w:id="1682971815">
      <w:bodyDiv w:val="1"/>
      <w:marLeft w:val="0"/>
      <w:marRight w:val="0"/>
      <w:marTop w:val="0"/>
      <w:marBottom w:val="0"/>
      <w:divBdr>
        <w:top w:val="none" w:sz="0" w:space="0" w:color="auto"/>
        <w:left w:val="none" w:sz="0" w:space="0" w:color="auto"/>
        <w:bottom w:val="none" w:sz="0" w:space="0" w:color="auto"/>
        <w:right w:val="none" w:sz="0" w:space="0" w:color="auto"/>
      </w:divBdr>
    </w:div>
    <w:div w:id="1694916682">
      <w:bodyDiv w:val="1"/>
      <w:marLeft w:val="0"/>
      <w:marRight w:val="0"/>
      <w:marTop w:val="0"/>
      <w:marBottom w:val="0"/>
      <w:divBdr>
        <w:top w:val="none" w:sz="0" w:space="0" w:color="auto"/>
        <w:left w:val="none" w:sz="0" w:space="0" w:color="auto"/>
        <w:bottom w:val="none" w:sz="0" w:space="0" w:color="auto"/>
        <w:right w:val="none" w:sz="0" w:space="0" w:color="auto"/>
      </w:divBdr>
    </w:div>
    <w:div w:id="1761830039">
      <w:bodyDiv w:val="1"/>
      <w:marLeft w:val="0"/>
      <w:marRight w:val="0"/>
      <w:marTop w:val="0"/>
      <w:marBottom w:val="0"/>
      <w:divBdr>
        <w:top w:val="none" w:sz="0" w:space="0" w:color="auto"/>
        <w:left w:val="none" w:sz="0" w:space="0" w:color="auto"/>
        <w:bottom w:val="none" w:sz="0" w:space="0" w:color="auto"/>
        <w:right w:val="none" w:sz="0" w:space="0" w:color="auto"/>
      </w:divBdr>
    </w:div>
    <w:div w:id="1798140583">
      <w:bodyDiv w:val="1"/>
      <w:marLeft w:val="0"/>
      <w:marRight w:val="0"/>
      <w:marTop w:val="0"/>
      <w:marBottom w:val="0"/>
      <w:divBdr>
        <w:top w:val="none" w:sz="0" w:space="0" w:color="auto"/>
        <w:left w:val="none" w:sz="0" w:space="0" w:color="auto"/>
        <w:bottom w:val="none" w:sz="0" w:space="0" w:color="auto"/>
        <w:right w:val="none" w:sz="0" w:space="0" w:color="auto"/>
      </w:divBdr>
    </w:div>
    <w:div w:id="1808862201">
      <w:bodyDiv w:val="1"/>
      <w:marLeft w:val="0"/>
      <w:marRight w:val="0"/>
      <w:marTop w:val="0"/>
      <w:marBottom w:val="0"/>
      <w:divBdr>
        <w:top w:val="none" w:sz="0" w:space="0" w:color="auto"/>
        <w:left w:val="none" w:sz="0" w:space="0" w:color="auto"/>
        <w:bottom w:val="none" w:sz="0" w:space="0" w:color="auto"/>
        <w:right w:val="none" w:sz="0" w:space="0" w:color="auto"/>
      </w:divBdr>
    </w:div>
    <w:div w:id="2119830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jpeg"/><Relationship Id="rId17" Type="http://schemas.microsoft.com/office/2016/09/relationships/commentsIds" Target="commentsIds.xml"/><Relationship Id="rId25" Type="http://schemas.openxmlformats.org/officeDocument/2006/relationships/theme" Target="theme/theme1.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yperlink" Target="https://www.legislation.gov.uk/uksi/2013/1046/ma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https://www.legislation.gov.uk/uksi/2016/1024/article/14.25/made" TargetMode="External"/><Relationship Id="rId4" Type="http://schemas.openxmlformats.org/officeDocument/2006/relationships/settings" Target="settings.xml"/><Relationship Id="rId9" Type="http://schemas.openxmlformats.org/officeDocument/2006/relationships/hyperlink" Target="mailto:dcusa@electralink.co.uk" TargetMode="External"/><Relationship Id="rId14" Type="http://schemas.openxmlformats.org/officeDocument/2006/relationships/hyperlink" Target="mailto:Kevin.woollard@centrica.com"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5B06F-4389-4F07-A6C2-87D43A265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12</Pages>
  <Words>3594</Words>
  <Characters>20488</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Manager/>
  <Company>Joint Office of Gas Transporters</Company>
  <LinksUpToDate>false</LinksUpToDate>
  <CharactersWithSpaces>24034</CharactersWithSpaces>
  <SharedDoc>false</SharedDoc>
  <HyperlinkBase/>
  <HLinks>
    <vt:vector size="66" baseType="variant">
      <vt:variant>
        <vt:i4>8192116</vt:i4>
      </vt:variant>
      <vt:variant>
        <vt:i4>42</vt:i4>
      </vt:variant>
      <vt:variant>
        <vt:i4>0</vt:i4>
      </vt:variant>
      <vt:variant>
        <vt:i4>5</vt:i4>
      </vt:variant>
      <vt:variant>
        <vt:lpwstr>http://www.dcusa.co.uk/</vt:lpwstr>
      </vt:variant>
      <vt:variant>
        <vt:lpwstr/>
      </vt:variant>
      <vt:variant>
        <vt:i4>7798806</vt:i4>
      </vt:variant>
      <vt:variant>
        <vt:i4>39</vt:i4>
      </vt:variant>
      <vt:variant>
        <vt:i4>0</vt:i4>
      </vt:variant>
      <vt:variant>
        <vt:i4>5</vt:i4>
      </vt:variant>
      <vt:variant>
        <vt:lpwstr>mailto:Simon.Vicary@edfenergy.com</vt:lpwstr>
      </vt:variant>
      <vt:variant>
        <vt:lpwstr/>
      </vt:variant>
      <vt:variant>
        <vt:i4>2293841</vt:i4>
      </vt:variant>
      <vt:variant>
        <vt:i4>0</vt:i4>
      </vt:variant>
      <vt:variant>
        <vt:i4>0</vt:i4>
      </vt:variant>
      <vt:variant>
        <vt:i4>5</vt:i4>
      </vt:variant>
      <vt:variant>
        <vt:lpwstr>mailto:dcusa@electralink.co.uk</vt:lpwstr>
      </vt:variant>
      <vt:variant>
        <vt:lpwstr/>
      </vt:variant>
      <vt:variant>
        <vt:i4>3473444</vt:i4>
      </vt:variant>
      <vt:variant>
        <vt:i4>21</vt:i4>
      </vt:variant>
      <vt:variant>
        <vt:i4>0</vt:i4>
      </vt:variant>
      <vt:variant>
        <vt:i4>5</vt:i4>
      </vt:variant>
      <vt:variant>
        <vt:lpwstr>https://www.ofgem.gov.uk/publications/access-and-forward-looking-charges-significant-code-review-decision-and-direction</vt:lpwstr>
      </vt:variant>
      <vt:variant>
        <vt:lpwstr/>
      </vt:variant>
      <vt:variant>
        <vt:i4>1507328</vt:i4>
      </vt:variant>
      <vt:variant>
        <vt:i4>18</vt:i4>
      </vt:variant>
      <vt:variant>
        <vt:i4>0</vt:i4>
      </vt:variant>
      <vt:variant>
        <vt:i4>5</vt:i4>
      </vt:variant>
      <vt:variant>
        <vt:lpwstr>https://www.ofgem.gov.uk/sites/default/files/2022-01/Access SCR - Consultation on Updates to Minded to Positions and Response to June 2021 Consultation Feedback.pdf</vt:lpwstr>
      </vt:variant>
      <vt:variant>
        <vt:lpwstr/>
      </vt:variant>
      <vt:variant>
        <vt:i4>5767189</vt:i4>
      </vt:variant>
      <vt:variant>
        <vt:i4>15</vt:i4>
      </vt:variant>
      <vt:variant>
        <vt:i4>0</vt:i4>
      </vt:variant>
      <vt:variant>
        <vt:i4>5</vt:i4>
      </vt:variant>
      <vt:variant>
        <vt:lpwstr>https://www.dcusa.co.uk/change/charging-of-third-party-dno-works-to-transmission-connected-users/</vt:lpwstr>
      </vt:variant>
      <vt:variant>
        <vt:lpwstr/>
      </vt:variant>
      <vt:variant>
        <vt:i4>2687019</vt:i4>
      </vt:variant>
      <vt:variant>
        <vt:i4>12</vt:i4>
      </vt:variant>
      <vt:variant>
        <vt:i4>0</vt:i4>
      </vt:variant>
      <vt:variant>
        <vt:i4>5</vt:i4>
      </vt:variant>
      <vt:variant>
        <vt:lpwstr>https://www.legislation.gov.uk/uksi/2017/106/contents/made</vt:lpwstr>
      </vt:variant>
      <vt:variant>
        <vt:lpwstr/>
      </vt:variant>
      <vt:variant>
        <vt:i4>6619178</vt:i4>
      </vt:variant>
      <vt:variant>
        <vt:i4>9</vt:i4>
      </vt:variant>
      <vt:variant>
        <vt:i4>0</vt:i4>
      </vt:variant>
      <vt:variant>
        <vt:i4>5</vt:i4>
      </vt:variant>
      <vt:variant>
        <vt:lpwstr>https://www.legislation.gov.uk/uksi/2017/106/pdfs/uksiod_20170106_en.pdf</vt:lpwstr>
      </vt:variant>
      <vt:variant>
        <vt:lpwstr/>
      </vt:variant>
      <vt:variant>
        <vt:i4>4456560</vt:i4>
      </vt:variant>
      <vt:variant>
        <vt:i4>6</vt:i4>
      </vt:variant>
      <vt:variant>
        <vt:i4>0</vt:i4>
      </vt:variant>
      <vt:variant>
        <vt:i4>5</vt:i4>
      </vt:variant>
      <vt:variant>
        <vt:lpwstr>https://beis.fra1.qualtrics.com/jfe/form/SV_9F7LETYTrhmYipw</vt:lpwstr>
      </vt:variant>
      <vt:variant>
        <vt:lpwstr/>
      </vt:variant>
      <vt:variant>
        <vt:i4>2687101</vt:i4>
      </vt:variant>
      <vt:variant>
        <vt:i4>3</vt:i4>
      </vt:variant>
      <vt:variant>
        <vt:i4>0</vt:i4>
      </vt:variant>
      <vt:variant>
        <vt:i4>5</vt:i4>
      </vt:variant>
      <vt:variant>
        <vt:lpwstr>https://www.nationalgrideso.com/industry-information/codes/connection-and-use-system-code-cusc-old/modifications/cmp328-connections</vt:lpwstr>
      </vt:variant>
      <vt:variant>
        <vt:lpwstr/>
      </vt:variant>
      <vt:variant>
        <vt:i4>2687019</vt:i4>
      </vt:variant>
      <vt:variant>
        <vt:i4>0</vt:i4>
      </vt:variant>
      <vt:variant>
        <vt:i4>0</vt:i4>
      </vt:variant>
      <vt:variant>
        <vt:i4>5</vt:i4>
      </vt:variant>
      <vt:variant>
        <vt:lpwstr>https://www.legislation.gov.uk/uksi/2017/106/contents/made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Cuin</dc:creator>
  <cp:keywords/>
  <dc:description/>
  <cp:lastModifiedBy>Hannah Proffitt</cp:lastModifiedBy>
  <cp:revision>7</cp:revision>
  <cp:lastPrinted>2015-03-12T17:50:00Z</cp:lastPrinted>
  <dcterms:created xsi:type="dcterms:W3CDTF">2022-09-01T09:47:00Z</dcterms:created>
  <dcterms:modified xsi:type="dcterms:W3CDTF">2022-09-01T15:37:00Z</dcterms:modified>
  <cp:category/>
</cp:coreProperties>
</file>