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shd w:val="clear" w:color="auto" w:fill="CCE0DA"/>
        <w:tblCellMar>
          <w:left w:w="0" w:type="dxa"/>
          <w:right w:w="0" w:type="dxa"/>
        </w:tblCellMar>
        <w:tblLook w:val="01E0" w:firstRow="1" w:lastRow="1" w:firstColumn="1" w:lastColumn="1" w:noHBand="0" w:noVBand="0"/>
      </w:tblPr>
      <w:tblGrid>
        <w:gridCol w:w="1362"/>
        <w:gridCol w:w="5572"/>
        <w:gridCol w:w="226"/>
        <w:gridCol w:w="2576"/>
      </w:tblGrid>
      <w:tr w:rsidR="006F19E3" w:rsidRPr="00EB32BB" w14:paraId="46EAF441" w14:textId="77777777" w:rsidTr="00AF7BAC">
        <w:trPr>
          <w:trHeight w:val="697"/>
          <w:jc w:val="center"/>
        </w:trPr>
        <w:tc>
          <w:tcPr>
            <w:tcW w:w="3599" w:type="pct"/>
            <w:gridSpan w:val="3"/>
            <w:tcBorders>
              <w:top w:val="single" w:sz="4" w:space="0" w:color="4A8958"/>
              <w:left w:val="single" w:sz="4" w:space="0" w:color="4A8958"/>
              <w:bottom w:val="single" w:sz="4" w:space="0" w:color="4A8958"/>
              <w:right w:val="single" w:sz="4" w:space="0" w:color="4A8958"/>
            </w:tcBorders>
            <w:shd w:val="clear" w:color="auto" w:fill="9A4D9E"/>
            <w:vAlign w:val="center"/>
          </w:tcPr>
          <w:p w14:paraId="0EAFC7BA" w14:textId="7D7A456D" w:rsidR="006F19E3" w:rsidRPr="0058426F" w:rsidRDefault="000D1D1B" w:rsidP="009B60EF">
            <w:pPr>
              <w:pStyle w:val="Header"/>
              <w:keepLines/>
              <w:spacing w:before="0" w:after="0" w:line="240" w:lineRule="auto"/>
              <w:ind w:left="113"/>
              <w:rPr>
                <w:rFonts w:cs="Arial"/>
                <w:b/>
                <w:color w:val="FFFFFF"/>
                <w:sz w:val="40"/>
                <w:szCs w:val="40"/>
              </w:rPr>
            </w:pPr>
            <w:r w:rsidRPr="00DE30B7">
              <w:rPr>
                <w:rFonts w:cs="Arial"/>
                <w:b/>
                <w:color w:val="FFFFFF"/>
                <w:sz w:val="40"/>
                <w:szCs w:val="40"/>
              </w:rPr>
              <w:t>DCUSA</w:t>
            </w:r>
            <w:r w:rsidR="00B7388B">
              <w:rPr>
                <w:rFonts w:cs="Arial"/>
                <w:b/>
                <w:color w:val="FFFFFF"/>
                <w:sz w:val="40"/>
                <w:szCs w:val="40"/>
              </w:rPr>
              <w:t xml:space="preserve"> </w:t>
            </w:r>
            <w:r w:rsidR="00AF7BAC">
              <w:rPr>
                <w:rFonts w:cs="Arial"/>
                <w:b/>
                <w:color w:val="FFFFFF"/>
                <w:sz w:val="40"/>
                <w:szCs w:val="40"/>
              </w:rPr>
              <w:t>Change</w:t>
            </w:r>
            <w:r w:rsidR="00B7388B">
              <w:rPr>
                <w:rFonts w:cs="Arial"/>
                <w:b/>
                <w:color w:val="FFFFFF"/>
                <w:sz w:val="40"/>
                <w:szCs w:val="40"/>
              </w:rPr>
              <w:t xml:space="preserve"> </w:t>
            </w:r>
            <w:r w:rsidR="00AF7BAC">
              <w:rPr>
                <w:rFonts w:cs="Arial"/>
                <w:b/>
                <w:color w:val="FFFFFF"/>
                <w:sz w:val="40"/>
                <w:szCs w:val="40"/>
              </w:rPr>
              <w:t>Report</w:t>
            </w:r>
          </w:p>
        </w:tc>
        <w:tc>
          <w:tcPr>
            <w:tcW w:w="1401" w:type="pct"/>
            <w:tcBorders>
              <w:top w:val="single" w:sz="4" w:space="0" w:color="4A8958"/>
              <w:left w:val="single" w:sz="4" w:space="0" w:color="4A8958"/>
              <w:bottom w:val="single" w:sz="4" w:space="0" w:color="4A8958"/>
              <w:right w:val="single" w:sz="4" w:space="0" w:color="4A8958"/>
            </w:tcBorders>
            <w:shd w:val="clear" w:color="auto" w:fill="9A4D9E"/>
          </w:tcPr>
          <w:p w14:paraId="088DE731" w14:textId="092FEF9D" w:rsidR="006F19E3" w:rsidRPr="00EB32BB" w:rsidRDefault="006F19E3" w:rsidP="009B60EF">
            <w:pPr>
              <w:pStyle w:val="BlockText"/>
              <w:keepLines/>
            </w:pPr>
            <w:r w:rsidRPr="00EB32BB">
              <w:t>At</w:t>
            </w:r>
            <w:r w:rsidR="00B7388B">
              <w:t xml:space="preserve"> </w:t>
            </w:r>
            <w:r w:rsidRPr="00EB32BB">
              <w:t>what</w:t>
            </w:r>
            <w:r w:rsidR="00B7388B">
              <w:t xml:space="preserve"> </w:t>
            </w:r>
            <w:r w:rsidRPr="00EB32BB">
              <w:t>stage</w:t>
            </w:r>
            <w:r w:rsidR="00B7388B">
              <w:t xml:space="preserve"> </w:t>
            </w:r>
            <w:r w:rsidRPr="00EB32BB">
              <w:t>is</w:t>
            </w:r>
            <w:r w:rsidR="00B7388B">
              <w:t xml:space="preserve"> </w:t>
            </w:r>
            <w:r w:rsidRPr="00EB32BB">
              <w:t>this</w:t>
            </w:r>
            <w:r w:rsidR="00B7388B">
              <w:t xml:space="preserve"> </w:t>
            </w:r>
            <w:r w:rsidRPr="00EB32BB">
              <w:t>document</w:t>
            </w:r>
            <w:r w:rsidR="00B7388B">
              <w:t xml:space="preserve"> </w:t>
            </w:r>
            <w:r w:rsidRPr="00EB32BB">
              <w:t>in</w:t>
            </w:r>
            <w:r w:rsidR="00B7388B">
              <w:t xml:space="preserve"> </w:t>
            </w:r>
            <w:r w:rsidRPr="00EB32BB">
              <w:t>the</w:t>
            </w:r>
            <w:r w:rsidR="00B7388B">
              <w:t xml:space="preserve"> </w:t>
            </w:r>
            <w:r w:rsidRPr="00EB32BB">
              <w:t>process?</w:t>
            </w:r>
          </w:p>
        </w:tc>
      </w:tr>
      <w:tr w:rsidR="006F19E3" w:rsidRPr="00EB32BB" w14:paraId="70598F5B" w14:textId="77777777" w:rsidTr="00FD160A">
        <w:trPr>
          <w:trHeight w:val="2725"/>
          <w:jc w:val="center"/>
        </w:trPr>
        <w:tc>
          <w:tcPr>
            <w:tcW w:w="3599" w:type="pct"/>
            <w:gridSpan w:val="3"/>
            <w:tcBorders>
              <w:top w:val="single" w:sz="4" w:space="0" w:color="4A8958"/>
              <w:left w:val="single" w:sz="4" w:space="0" w:color="4A8958"/>
              <w:bottom w:val="single" w:sz="4" w:space="0" w:color="4A8958"/>
              <w:right w:val="single" w:sz="4" w:space="0" w:color="4A8958"/>
            </w:tcBorders>
            <w:shd w:val="clear" w:color="auto" w:fill="auto"/>
          </w:tcPr>
          <w:p w14:paraId="0C218A4E" w14:textId="3E7DD91E" w:rsidR="00C30383" w:rsidRPr="00D53566" w:rsidRDefault="00370895" w:rsidP="00D53566">
            <w:pPr>
              <w:keepLines/>
              <w:ind w:left="113" w:right="113"/>
              <w:rPr>
                <w:rFonts w:cs="Arial"/>
                <w:b/>
                <w:color w:val="008576"/>
                <w:sz w:val="72"/>
                <w:szCs w:val="72"/>
              </w:rPr>
            </w:pPr>
            <w:bookmarkStart w:id="0" w:name="_Hlk34966130"/>
            <w:r w:rsidRPr="00AE2501">
              <w:rPr>
                <w:rFonts w:cs="Arial"/>
                <w:b/>
                <w:color w:val="008576"/>
                <w:sz w:val="72"/>
                <w:szCs w:val="72"/>
              </w:rPr>
              <w:t>DCP</w:t>
            </w:r>
            <w:r w:rsidR="00B7388B">
              <w:rPr>
                <w:rFonts w:cs="Arial"/>
                <w:b/>
                <w:color w:val="008576"/>
                <w:sz w:val="72"/>
                <w:szCs w:val="72"/>
              </w:rPr>
              <w:t xml:space="preserve"> </w:t>
            </w:r>
            <w:r w:rsidR="00D12FE4">
              <w:rPr>
                <w:rFonts w:cs="Arial"/>
                <w:b/>
                <w:color w:val="008576"/>
                <w:sz w:val="72"/>
                <w:szCs w:val="72"/>
              </w:rPr>
              <w:t>40</w:t>
            </w:r>
            <w:r w:rsidR="003E7D1E">
              <w:rPr>
                <w:rFonts w:cs="Arial"/>
                <w:b/>
                <w:color w:val="008576"/>
                <w:sz w:val="72"/>
                <w:szCs w:val="72"/>
              </w:rPr>
              <w:t>7</w:t>
            </w:r>
            <w:r w:rsidR="00AE2501">
              <w:rPr>
                <w:rFonts w:cs="Arial"/>
                <w:b/>
                <w:color w:val="008576"/>
                <w:sz w:val="72"/>
                <w:szCs w:val="72"/>
              </w:rPr>
              <w:t>:</w:t>
            </w:r>
          </w:p>
          <w:tbl>
            <w:tblPr>
              <w:tblW w:w="0" w:type="auto"/>
              <w:tblBorders>
                <w:top w:val="nil"/>
                <w:left w:val="nil"/>
                <w:bottom w:val="nil"/>
                <w:right w:val="nil"/>
              </w:tblBorders>
              <w:tblLook w:val="0000" w:firstRow="0" w:lastRow="0" w:firstColumn="0" w:lastColumn="0" w:noHBand="0" w:noVBand="0"/>
            </w:tblPr>
            <w:tblGrid>
              <w:gridCol w:w="7119"/>
            </w:tblGrid>
            <w:tr w:rsidR="00C30383" w:rsidRPr="00C30383" w14:paraId="52EB3779" w14:textId="77777777">
              <w:trPr>
                <w:trHeight w:val="777"/>
              </w:trPr>
              <w:tc>
                <w:tcPr>
                  <w:tcW w:w="0" w:type="auto"/>
                </w:tcPr>
                <w:p w14:paraId="7DC392FF" w14:textId="10429031" w:rsidR="00C30383" w:rsidRPr="00C30383" w:rsidRDefault="00B7388B" w:rsidP="00C30383">
                  <w:pPr>
                    <w:autoSpaceDE w:val="0"/>
                    <w:autoSpaceDN w:val="0"/>
                    <w:adjustRightInd w:val="0"/>
                    <w:spacing w:before="0" w:after="0" w:line="240" w:lineRule="auto"/>
                    <w:rPr>
                      <w:rFonts w:eastAsia="Cambria" w:cs="Arial"/>
                      <w:color w:val="000000"/>
                      <w:sz w:val="48"/>
                      <w:szCs w:val="48"/>
                    </w:rPr>
                  </w:pPr>
                  <w:r>
                    <w:rPr>
                      <w:rFonts w:eastAsia="Cambria" w:cs="Arial"/>
                      <w:color w:val="000000"/>
                      <w:sz w:val="24"/>
                    </w:rPr>
                    <w:t xml:space="preserve"> </w:t>
                  </w:r>
                  <w:bookmarkStart w:id="1" w:name="_Hlk94689461"/>
                  <w:r w:rsidR="00D12FE4">
                    <w:rPr>
                      <w:rFonts w:eastAsia="Cambria" w:cs="Arial"/>
                      <w:b/>
                      <w:bCs/>
                      <w:color w:val="008000"/>
                      <w:sz w:val="48"/>
                      <w:szCs w:val="48"/>
                    </w:rPr>
                    <w:t xml:space="preserve">Access SCR: </w:t>
                  </w:r>
                  <w:r w:rsidR="003E7D1E">
                    <w:rPr>
                      <w:rFonts w:eastAsia="Cambria" w:cs="Arial"/>
                      <w:b/>
                      <w:bCs/>
                      <w:color w:val="008000"/>
                      <w:sz w:val="48"/>
                      <w:szCs w:val="48"/>
                    </w:rPr>
                    <w:t>Speculative Development</w:t>
                  </w:r>
                  <w:r>
                    <w:rPr>
                      <w:rFonts w:eastAsia="Cambria" w:cs="Arial"/>
                      <w:b/>
                      <w:bCs/>
                      <w:color w:val="008000"/>
                      <w:sz w:val="48"/>
                      <w:szCs w:val="48"/>
                    </w:rPr>
                    <w:t xml:space="preserve"> </w:t>
                  </w:r>
                  <w:bookmarkEnd w:id="1"/>
                </w:p>
              </w:tc>
            </w:tr>
          </w:tbl>
          <w:bookmarkEnd w:id="0"/>
          <w:p w14:paraId="113C6506" w14:textId="4DE739E8" w:rsidR="00A066C3" w:rsidRPr="00AE2501" w:rsidRDefault="00A066C3" w:rsidP="009B60EF">
            <w:pPr>
              <w:keepLines/>
              <w:ind w:left="113" w:right="113"/>
              <w:rPr>
                <w:rFonts w:cs="Arial"/>
                <w:b/>
                <w:i/>
                <w:color w:val="00B274"/>
                <w:sz w:val="24"/>
              </w:rPr>
            </w:pPr>
            <w:r w:rsidRPr="00AE2501">
              <w:rPr>
                <w:rFonts w:cs="Arial"/>
                <w:b/>
                <w:i/>
                <w:color w:val="00B274"/>
                <w:sz w:val="24"/>
              </w:rPr>
              <w:t>Date</w:t>
            </w:r>
            <w:r w:rsidR="00B7388B">
              <w:rPr>
                <w:rFonts w:cs="Arial"/>
                <w:b/>
                <w:i/>
                <w:color w:val="00B274"/>
                <w:sz w:val="24"/>
              </w:rPr>
              <w:t xml:space="preserve"> </w:t>
            </w:r>
            <w:r w:rsidRPr="00AE2501">
              <w:rPr>
                <w:rFonts w:cs="Arial"/>
                <w:b/>
                <w:i/>
                <w:color w:val="00B274"/>
                <w:sz w:val="24"/>
              </w:rPr>
              <w:t>raised:</w:t>
            </w:r>
            <w:r w:rsidR="00B7388B">
              <w:rPr>
                <w:rFonts w:cs="Arial"/>
                <w:b/>
                <w:i/>
                <w:color w:val="00B274"/>
                <w:sz w:val="24"/>
              </w:rPr>
              <w:t xml:space="preserve"> </w:t>
            </w:r>
            <w:r w:rsidR="00B7388B">
              <w:rPr>
                <w:rFonts w:cs="Arial"/>
                <w:b/>
                <w:bCs/>
                <w:i/>
                <w:sz w:val="24"/>
              </w:rPr>
              <w:t xml:space="preserve"> </w:t>
            </w:r>
            <w:r w:rsidR="00FD160A">
              <w:rPr>
                <w:rFonts w:cs="Arial"/>
                <w:b/>
                <w:bCs/>
                <w:i/>
                <w:sz w:val="24"/>
              </w:rPr>
              <w:t>06</w:t>
            </w:r>
            <w:r w:rsidR="00B7388B">
              <w:rPr>
                <w:rFonts w:cs="Arial"/>
                <w:b/>
                <w:bCs/>
                <w:i/>
                <w:sz w:val="24"/>
              </w:rPr>
              <w:t xml:space="preserve"> </w:t>
            </w:r>
            <w:r w:rsidR="00331B50">
              <w:rPr>
                <w:rFonts w:cs="Arial"/>
                <w:b/>
                <w:bCs/>
                <w:i/>
                <w:sz w:val="24"/>
              </w:rPr>
              <w:t>May</w:t>
            </w:r>
            <w:r w:rsidR="00B7388B">
              <w:rPr>
                <w:rFonts w:cs="Arial"/>
                <w:b/>
                <w:bCs/>
                <w:i/>
                <w:sz w:val="24"/>
              </w:rPr>
              <w:t xml:space="preserve"> </w:t>
            </w:r>
            <w:r w:rsidR="00FD160A">
              <w:rPr>
                <w:rFonts w:cs="Arial"/>
                <w:b/>
                <w:bCs/>
                <w:i/>
                <w:sz w:val="24"/>
              </w:rPr>
              <w:t>202</w:t>
            </w:r>
            <w:r w:rsidR="00331B50">
              <w:rPr>
                <w:rFonts w:cs="Arial"/>
                <w:b/>
                <w:bCs/>
                <w:i/>
                <w:sz w:val="24"/>
              </w:rPr>
              <w:t>2</w:t>
            </w:r>
          </w:p>
          <w:p w14:paraId="54FC59DD" w14:textId="6094C0FA" w:rsidR="00A066C3" w:rsidRPr="00AE2501" w:rsidRDefault="00A066C3" w:rsidP="009B60EF">
            <w:pPr>
              <w:keepLines/>
              <w:ind w:left="113" w:right="113"/>
              <w:rPr>
                <w:rFonts w:cs="Arial"/>
                <w:b/>
                <w:i/>
                <w:color w:val="00B274"/>
                <w:sz w:val="24"/>
              </w:rPr>
            </w:pPr>
            <w:r w:rsidRPr="00AE2501">
              <w:rPr>
                <w:rFonts w:cs="Arial"/>
                <w:b/>
                <w:i/>
                <w:color w:val="00B274"/>
                <w:sz w:val="24"/>
              </w:rPr>
              <w:t>Proposer:</w:t>
            </w:r>
            <w:r w:rsidR="00B7388B">
              <w:rPr>
                <w:rFonts w:cs="Arial"/>
                <w:b/>
                <w:i/>
                <w:color w:val="00B274"/>
                <w:sz w:val="24"/>
              </w:rPr>
              <w:t xml:space="preserve"> </w:t>
            </w:r>
            <w:r w:rsidR="00AF4598">
              <w:rPr>
                <w:rFonts w:cs="Arial"/>
                <w:b/>
                <w:bCs/>
                <w:i/>
                <w:sz w:val="24"/>
              </w:rPr>
              <w:t>Brian Hoy</w:t>
            </w:r>
          </w:p>
          <w:p w14:paraId="70106673" w14:textId="292022A9" w:rsidR="00A066C3" w:rsidRPr="00AE2501" w:rsidRDefault="00A066C3" w:rsidP="009B60EF">
            <w:pPr>
              <w:keepLines/>
              <w:ind w:left="113" w:right="113"/>
              <w:rPr>
                <w:rFonts w:cs="Arial"/>
                <w:b/>
                <w:i/>
                <w:color w:val="00B274"/>
                <w:sz w:val="24"/>
              </w:rPr>
            </w:pPr>
            <w:r w:rsidRPr="00AE2501">
              <w:rPr>
                <w:rFonts w:cs="Arial"/>
                <w:b/>
                <w:i/>
                <w:color w:val="00B274"/>
                <w:sz w:val="24"/>
              </w:rPr>
              <w:t>Company</w:t>
            </w:r>
            <w:r w:rsidR="00B7388B">
              <w:rPr>
                <w:rFonts w:cs="Arial"/>
                <w:b/>
                <w:i/>
                <w:color w:val="00B274"/>
                <w:sz w:val="24"/>
              </w:rPr>
              <w:t xml:space="preserve"> </w:t>
            </w:r>
            <w:r w:rsidRPr="00AE2501">
              <w:rPr>
                <w:rFonts w:cs="Arial"/>
                <w:b/>
                <w:i/>
                <w:color w:val="00B274"/>
                <w:sz w:val="24"/>
              </w:rPr>
              <w:t>Name:</w:t>
            </w:r>
            <w:r w:rsidR="00B7388B">
              <w:rPr>
                <w:rFonts w:cs="Arial"/>
                <w:b/>
                <w:i/>
                <w:color w:val="00B274"/>
                <w:sz w:val="24"/>
              </w:rPr>
              <w:t xml:space="preserve"> </w:t>
            </w:r>
            <w:r w:rsidR="00AF4598">
              <w:rPr>
                <w:rFonts w:cs="Arial"/>
                <w:b/>
                <w:bCs/>
                <w:i/>
                <w:sz w:val="24"/>
              </w:rPr>
              <w:t xml:space="preserve">Electricity </w:t>
            </w:r>
            <w:proofErr w:type="gramStart"/>
            <w:r w:rsidR="00AF4598">
              <w:rPr>
                <w:rFonts w:cs="Arial"/>
                <w:b/>
                <w:bCs/>
                <w:i/>
                <w:sz w:val="24"/>
              </w:rPr>
              <w:t>North West</w:t>
            </w:r>
            <w:proofErr w:type="gramEnd"/>
          </w:p>
          <w:p w14:paraId="70A738C6" w14:textId="69D248DB" w:rsidR="00B07968" w:rsidRPr="00AE2501" w:rsidRDefault="00A066C3" w:rsidP="009B60EF">
            <w:pPr>
              <w:keepLines/>
              <w:ind w:left="113" w:right="113"/>
              <w:rPr>
                <w:rFonts w:cs="Arial"/>
                <w:b/>
                <w:i/>
                <w:sz w:val="22"/>
                <w:szCs w:val="22"/>
              </w:rPr>
            </w:pPr>
            <w:r w:rsidRPr="00AE2501">
              <w:rPr>
                <w:rFonts w:cs="Arial"/>
                <w:b/>
                <w:i/>
                <w:color w:val="00B274"/>
                <w:sz w:val="24"/>
              </w:rPr>
              <w:t>Company</w:t>
            </w:r>
            <w:r w:rsidR="00B7388B">
              <w:rPr>
                <w:rFonts w:cs="Arial"/>
                <w:b/>
                <w:i/>
                <w:color w:val="00B274"/>
                <w:sz w:val="24"/>
              </w:rPr>
              <w:t xml:space="preserve"> </w:t>
            </w:r>
            <w:r w:rsidRPr="00AE2501">
              <w:rPr>
                <w:rFonts w:cs="Arial"/>
                <w:b/>
                <w:i/>
                <w:color w:val="00B274"/>
                <w:sz w:val="24"/>
              </w:rPr>
              <w:t>Category:</w:t>
            </w:r>
            <w:r w:rsidR="00B7388B">
              <w:rPr>
                <w:rFonts w:cs="Arial"/>
                <w:b/>
                <w:i/>
                <w:color w:val="00B274"/>
                <w:sz w:val="24"/>
              </w:rPr>
              <w:t xml:space="preserve"> </w:t>
            </w:r>
            <w:r w:rsidR="00FD160A" w:rsidRPr="00FD160A">
              <w:rPr>
                <w:rFonts w:cs="Arial"/>
                <w:b/>
                <w:i/>
                <w:sz w:val="24"/>
              </w:rPr>
              <w:t>D</w:t>
            </w:r>
            <w:r w:rsidR="004A458D">
              <w:rPr>
                <w:rFonts w:cs="Arial"/>
                <w:b/>
                <w:i/>
                <w:sz w:val="24"/>
              </w:rPr>
              <w:t>NO</w:t>
            </w:r>
          </w:p>
        </w:tc>
        <w:tc>
          <w:tcPr>
            <w:tcW w:w="1401" w:type="pct"/>
            <w:tcBorders>
              <w:top w:val="single" w:sz="4" w:space="0" w:color="4A8958"/>
              <w:left w:val="single" w:sz="4" w:space="0" w:color="FFFFFF"/>
              <w:bottom w:val="single" w:sz="4" w:space="0" w:color="4A8958"/>
              <w:right w:val="single" w:sz="4" w:space="0" w:color="4A8958"/>
            </w:tcBorders>
            <w:shd w:val="clear" w:color="auto" w:fill="auto"/>
          </w:tcPr>
          <w:tbl>
            <w:tblPr>
              <w:tblW w:w="257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tblGrid>
            <w:tr w:rsidR="00F770DC" w:rsidRPr="00881D23" w14:paraId="7AD7EAE5" w14:textId="77777777" w:rsidTr="00B07968">
              <w:trPr>
                <w:trHeight w:val="944"/>
              </w:trPr>
              <w:tc>
                <w:tcPr>
                  <w:tcW w:w="2570" w:type="dxa"/>
                  <w:shd w:val="clear" w:color="auto" w:fill="auto"/>
                  <w:vAlign w:val="center"/>
                </w:tcPr>
                <w:p w14:paraId="5A39EA21" w14:textId="1E8B12CF" w:rsidR="00F770DC" w:rsidRPr="000E1892" w:rsidRDefault="00F770DC" w:rsidP="009B60EF">
                  <w:pPr>
                    <w:keepLines/>
                    <w:spacing w:line="240" w:lineRule="auto"/>
                    <w:ind w:right="28"/>
                    <w:rPr>
                      <w:rFonts w:cs="Arial"/>
                      <w:b/>
                      <w:color w:val="00CC66"/>
                      <w:szCs w:val="20"/>
                    </w:rPr>
                  </w:pPr>
                  <w:r w:rsidRPr="000E1892">
                    <w:rPr>
                      <w:rFonts w:cs="Arial"/>
                      <w:b/>
                      <w:color w:val="00B274"/>
                      <w:szCs w:val="20"/>
                    </w:rPr>
                    <w:t>01</w:t>
                  </w:r>
                  <w:r w:rsidR="00B7388B">
                    <w:rPr>
                      <w:rFonts w:cs="Arial"/>
                      <w:b/>
                      <w:color w:val="00B274"/>
                      <w:szCs w:val="20"/>
                    </w:rPr>
                    <w:t xml:space="preserve"> </w:t>
                  </w:r>
                  <w:r w:rsidRPr="000E1892">
                    <w:rPr>
                      <w:rFonts w:cs="Arial"/>
                      <w:b/>
                      <w:color w:val="00B274"/>
                      <w:szCs w:val="20"/>
                    </w:rPr>
                    <w:t>–</w:t>
                  </w:r>
                  <w:r w:rsidR="00B7388B">
                    <w:rPr>
                      <w:rFonts w:cs="Arial"/>
                      <w:b/>
                      <w:color w:val="00B274"/>
                      <w:szCs w:val="20"/>
                    </w:rPr>
                    <w:t xml:space="preserve"> </w:t>
                  </w:r>
                  <w:r w:rsidRPr="000E1892">
                    <w:rPr>
                      <w:rFonts w:cs="Arial"/>
                      <w:b/>
                      <w:color w:val="00B274"/>
                      <w:szCs w:val="20"/>
                    </w:rPr>
                    <w:t>Change</w:t>
                  </w:r>
                  <w:r w:rsidR="00B7388B">
                    <w:rPr>
                      <w:rFonts w:cs="Arial"/>
                      <w:b/>
                      <w:color w:val="00B274"/>
                      <w:szCs w:val="20"/>
                    </w:rPr>
                    <w:t xml:space="preserve"> </w:t>
                  </w:r>
                  <w:r w:rsidRPr="000E1892">
                    <w:rPr>
                      <w:rFonts w:cs="Arial"/>
                      <w:b/>
                      <w:color w:val="00B274"/>
                      <w:szCs w:val="20"/>
                    </w:rPr>
                    <w:t>Proposal</w:t>
                  </w:r>
                </w:p>
              </w:tc>
            </w:tr>
            <w:tr w:rsidR="00F770DC" w:rsidRPr="00881D23" w14:paraId="741F2A0D" w14:textId="77777777" w:rsidTr="00AF7BAC">
              <w:trPr>
                <w:trHeight w:val="923"/>
              </w:trPr>
              <w:tc>
                <w:tcPr>
                  <w:tcW w:w="2570" w:type="dxa"/>
                  <w:shd w:val="clear" w:color="auto" w:fill="FFFFFF" w:themeFill="background1"/>
                  <w:vAlign w:val="center"/>
                </w:tcPr>
                <w:p w14:paraId="485B5D82" w14:textId="1C05524D" w:rsidR="00F770DC" w:rsidRPr="00C4569B" w:rsidRDefault="00F770DC" w:rsidP="009B60EF">
                  <w:pPr>
                    <w:keepLines/>
                    <w:spacing w:line="240" w:lineRule="auto"/>
                    <w:ind w:right="28"/>
                    <w:rPr>
                      <w:rFonts w:cs="Arial"/>
                      <w:b/>
                      <w:color w:val="FFFFFF"/>
                      <w:szCs w:val="20"/>
                    </w:rPr>
                  </w:pPr>
                  <w:r w:rsidRPr="00AF7BAC">
                    <w:rPr>
                      <w:rFonts w:cs="Arial"/>
                      <w:b/>
                      <w:color w:val="0096D7"/>
                      <w:szCs w:val="20"/>
                    </w:rPr>
                    <w:t>02</w:t>
                  </w:r>
                  <w:r w:rsidR="00B7388B">
                    <w:rPr>
                      <w:rFonts w:cs="Arial"/>
                      <w:b/>
                      <w:color w:val="0096D7"/>
                      <w:szCs w:val="20"/>
                    </w:rPr>
                    <w:t xml:space="preserve"> </w:t>
                  </w:r>
                  <w:r w:rsidRPr="00AF7BAC">
                    <w:rPr>
                      <w:rFonts w:cs="Arial"/>
                      <w:b/>
                      <w:color w:val="0096D7"/>
                      <w:szCs w:val="20"/>
                    </w:rPr>
                    <w:t>–</w:t>
                  </w:r>
                  <w:r w:rsidR="00B7388B">
                    <w:rPr>
                      <w:rFonts w:cs="Arial"/>
                      <w:b/>
                      <w:color w:val="0096D7"/>
                      <w:szCs w:val="20"/>
                    </w:rPr>
                    <w:t xml:space="preserve"> </w:t>
                  </w:r>
                  <w:r w:rsidRPr="00AF7BAC">
                    <w:rPr>
                      <w:rFonts w:cs="Arial"/>
                      <w:b/>
                      <w:color w:val="0096D7"/>
                      <w:szCs w:val="20"/>
                    </w:rPr>
                    <w:t>Consultation</w:t>
                  </w:r>
                  <w:r w:rsidR="00B7388B">
                    <w:rPr>
                      <w:rFonts w:cs="Arial"/>
                      <w:b/>
                      <w:color w:val="0096D7"/>
                      <w:szCs w:val="20"/>
                    </w:rPr>
                    <w:t xml:space="preserve"> </w:t>
                  </w:r>
                </w:p>
              </w:tc>
            </w:tr>
            <w:tr w:rsidR="00F770DC" w:rsidRPr="00881D23" w14:paraId="2B26E3E1" w14:textId="77777777" w:rsidTr="00AF7BAC">
              <w:trPr>
                <w:trHeight w:val="921"/>
              </w:trPr>
              <w:tc>
                <w:tcPr>
                  <w:tcW w:w="2570" w:type="dxa"/>
                  <w:shd w:val="clear" w:color="auto" w:fill="9A4D9E"/>
                  <w:vAlign w:val="center"/>
                </w:tcPr>
                <w:p w14:paraId="6A9D2F27" w14:textId="040901DB" w:rsidR="00F770DC" w:rsidRPr="00AF7BAC" w:rsidRDefault="0007537E" w:rsidP="009B60EF">
                  <w:pPr>
                    <w:keepLines/>
                    <w:spacing w:line="240" w:lineRule="auto"/>
                    <w:ind w:right="28"/>
                    <w:rPr>
                      <w:rFonts w:cs="Arial"/>
                      <w:b/>
                      <w:color w:val="FFFFFF" w:themeColor="background1"/>
                      <w:szCs w:val="20"/>
                    </w:rPr>
                  </w:pPr>
                  <w:r w:rsidRPr="00AF7BAC">
                    <w:rPr>
                      <w:rFonts w:cs="Arial"/>
                      <w:b/>
                      <w:color w:val="FFFFFF" w:themeColor="background1"/>
                      <w:szCs w:val="20"/>
                    </w:rPr>
                    <w:t>03</w:t>
                  </w:r>
                  <w:r w:rsidR="00B7388B">
                    <w:rPr>
                      <w:rFonts w:cs="Arial"/>
                      <w:b/>
                      <w:color w:val="FFFFFF" w:themeColor="background1"/>
                      <w:szCs w:val="20"/>
                    </w:rPr>
                    <w:t xml:space="preserve"> </w:t>
                  </w:r>
                  <w:r w:rsidRPr="00AF7BAC">
                    <w:rPr>
                      <w:rFonts w:cs="Arial"/>
                      <w:b/>
                      <w:color w:val="FFFFFF" w:themeColor="background1"/>
                      <w:szCs w:val="20"/>
                    </w:rPr>
                    <w:t>–</w:t>
                  </w:r>
                  <w:r w:rsidR="00B7388B">
                    <w:rPr>
                      <w:rFonts w:cs="Arial"/>
                      <w:b/>
                      <w:color w:val="FFFFFF" w:themeColor="background1"/>
                      <w:szCs w:val="20"/>
                    </w:rPr>
                    <w:t xml:space="preserve"> </w:t>
                  </w:r>
                  <w:r w:rsidR="00F770DC" w:rsidRPr="00AF7BAC">
                    <w:rPr>
                      <w:rFonts w:cs="Arial"/>
                      <w:b/>
                      <w:color w:val="FFFFFF" w:themeColor="background1"/>
                      <w:szCs w:val="20"/>
                    </w:rPr>
                    <w:t>Change</w:t>
                  </w:r>
                  <w:r w:rsidR="00B7388B">
                    <w:rPr>
                      <w:rFonts w:cs="Arial"/>
                      <w:b/>
                      <w:color w:val="FFFFFF" w:themeColor="background1"/>
                      <w:szCs w:val="20"/>
                    </w:rPr>
                    <w:t xml:space="preserve"> </w:t>
                  </w:r>
                  <w:r w:rsidR="00F770DC" w:rsidRPr="00AF7BAC">
                    <w:rPr>
                      <w:rFonts w:cs="Arial"/>
                      <w:b/>
                      <w:color w:val="FFFFFF" w:themeColor="background1"/>
                      <w:szCs w:val="20"/>
                    </w:rPr>
                    <w:t>Report</w:t>
                  </w:r>
                </w:p>
              </w:tc>
            </w:tr>
            <w:tr w:rsidR="00F770DC" w:rsidRPr="00881D23" w14:paraId="56882065" w14:textId="77777777" w:rsidTr="00B07968">
              <w:trPr>
                <w:trHeight w:val="914"/>
              </w:trPr>
              <w:tc>
                <w:tcPr>
                  <w:tcW w:w="2570" w:type="dxa"/>
                  <w:shd w:val="clear" w:color="auto" w:fill="FFFFFF"/>
                  <w:vAlign w:val="center"/>
                </w:tcPr>
                <w:p w14:paraId="0E00FA1F" w14:textId="1723475D" w:rsidR="00F770DC" w:rsidRPr="00881D23" w:rsidRDefault="00F770DC" w:rsidP="009B60EF">
                  <w:pPr>
                    <w:keepLines/>
                    <w:spacing w:line="240" w:lineRule="auto"/>
                    <w:ind w:right="28"/>
                    <w:rPr>
                      <w:rFonts w:cs="Arial"/>
                      <w:b/>
                      <w:color w:val="F59114"/>
                      <w:szCs w:val="20"/>
                    </w:rPr>
                  </w:pPr>
                  <w:r w:rsidRPr="00881D23">
                    <w:rPr>
                      <w:rFonts w:cs="Arial"/>
                      <w:b/>
                      <w:color w:val="F59114"/>
                      <w:szCs w:val="20"/>
                    </w:rPr>
                    <w:t>04</w:t>
                  </w:r>
                  <w:r w:rsidR="00B7388B">
                    <w:rPr>
                      <w:rFonts w:cs="Arial"/>
                      <w:b/>
                      <w:color w:val="F59114"/>
                      <w:szCs w:val="20"/>
                    </w:rPr>
                    <w:t xml:space="preserve"> </w:t>
                  </w:r>
                  <w:r w:rsidRPr="00881D23">
                    <w:rPr>
                      <w:rFonts w:cs="Arial"/>
                      <w:b/>
                      <w:color w:val="F59114"/>
                      <w:szCs w:val="20"/>
                    </w:rPr>
                    <w:t>–</w:t>
                  </w:r>
                  <w:r w:rsidR="00B7388B">
                    <w:rPr>
                      <w:rFonts w:cs="Arial"/>
                      <w:b/>
                      <w:color w:val="F59114"/>
                      <w:szCs w:val="20"/>
                    </w:rPr>
                    <w:t xml:space="preserve"> </w:t>
                  </w:r>
                  <w:r w:rsidR="00E20E29">
                    <w:rPr>
                      <w:rFonts w:cs="Arial"/>
                      <w:b/>
                      <w:color w:val="F59114"/>
                      <w:szCs w:val="20"/>
                    </w:rPr>
                    <w:t>Change</w:t>
                  </w:r>
                  <w:r w:rsidR="00B7388B">
                    <w:rPr>
                      <w:rFonts w:cs="Arial"/>
                      <w:b/>
                      <w:color w:val="F59114"/>
                      <w:szCs w:val="20"/>
                    </w:rPr>
                    <w:t xml:space="preserve"> </w:t>
                  </w:r>
                  <w:r w:rsidR="00E20E29">
                    <w:rPr>
                      <w:rFonts w:cs="Arial"/>
                      <w:b/>
                      <w:color w:val="F59114"/>
                      <w:szCs w:val="20"/>
                    </w:rPr>
                    <w:t>Declaration</w:t>
                  </w:r>
                </w:p>
              </w:tc>
            </w:tr>
          </w:tbl>
          <w:p w14:paraId="3F4FB82E" w14:textId="77777777" w:rsidR="006F19E3" w:rsidRPr="00EB32BB" w:rsidRDefault="006F19E3" w:rsidP="009B60EF">
            <w:pPr>
              <w:keepLines/>
              <w:spacing w:line="240" w:lineRule="auto"/>
              <w:ind w:left="28" w:right="28"/>
              <w:rPr>
                <w:rFonts w:cs="Arial"/>
                <w:color w:val="008576"/>
                <w:szCs w:val="20"/>
              </w:rPr>
            </w:pPr>
          </w:p>
        </w:tc>
      </w:tr>
      <w:tr w:rsidR="00AE2501" w:rsidRPr="00EB32BB" w14:paraId="7B2A00A0" w14:textId="77777777" w:rsidTr="00FD160A">
        <w:trPr>
          <w:trHeight w:val="862"/>
          <w:jc w:val="center"/>
        </w:trPr>
        <w:tc>
          <w:tcPr>
            <w:tcW w:w="5000" w:type="pct"/>
            <w:gridSpan w:val="4"/>
            <w:tcBorders>
              <w:top w:val="single" w:sz="4" w:space="0" w:color="4A8958"/>
              <w:left w:val="single" w:sz="4" w:space="0" w:color="4A8958"/>
              <w:bottom w:val="single" w:sz="4" w:space="0" w:color="4A8958"/>
              <w:right w:val="single" w:sz="4" w:space="0" w:color="4A8958"/>
            </w:tcBorders>
            <w:shd w:val="clear" w:color="auto" w:fill="auto"/>
          </w:tcPr>
          <w:p w14:paraId="268F9FA0" w14:textId="1E60DDE3" w:rsidR="00AE2501" w:rsidRPr="000D6A73" w:rsidRDefault="00AE2501" w:rsidP="009B60EF">
            <w:pPr>
              <w:pStyle w:val="BodyText2"/>
              <w:keepLines/>
              <w:ind w:left="113" w:right="113"/>
              <w:rPr>
                <w:rFonts w:cs="Arial"/>
                <w:b/>
                <w:bCs/>
                <w:i/>
                <w:color w:val="00B274"/>
                <w:sz w:val="24"/>
              </w:rPr>
            </w:pPr>
            <w:r w:rsidRPr="000D6A73">
              <w:rPr>
                <w:rFonts w:cs="Arial"/>
                <w:b/>
                <w:bCs/>
                <w:sz w:val="24"/>
              </w:rPr>
              <w:t>Purpose</w:t>
            </w:r>
            <w:r w:rsidR="00B7388B">
              <w:rPr>
                <w:rFonts w:cs="Arial"/>
                <w:b/>
                <w:bCs/>
                <w:sz w:val="24"/>
              </w:rPr>
              <w:t xml:space="preserve"> </w:t>
            </w:r>
            <w:r w:rsidRPr="000D6A73">
              <w:rPr>
                <w:rFonts w:cs="Arial"/>
                <w:b/>
                <w:bCs/>
                <w:sz w:val="24"/>
              </w:rPr>
              <w:t>of</w:t>
            </w:r>
            <w:r w:rsidR="00B7388B">
              <w:rPr>
                <w:rFonts w:cs="Arial"/>
                <w:b/>
                <w:bCs/>
                <w:sz w:val="24"/>
              </w:rPr>
              <w:t xml:space="preserve"> </w:t>
            </w:r>
            <w:r w:rsidRPr="000D6A73">
              <w:rPr>
                <w:rFonts w:cs="Arial"/>
                <w:b/>
                <w:bCs/>
                <w:sz w:val="24"/>
              </w:rPr>
              <w:t>Change</w:t>
            </w:r>
            <w:r w:rsidR="00B7388B">
              <w:rPr>
                <w:rFonts w:cs="Arial"/>
                <w:b/>
                <w:bCs/>
                <w:sz w:val="24"/>
              </w:rPr>
              <w:t xml:space="preserve"> </w:t>
            </w:r>
            <w:r w:rsidRPr="000D6A73">
              <w:rPr>
                <w:rFonts w:cs="Arial"/>
                <w:b/>
                <w:bCs/>
                <w:sz w:val="24"/>
              </w:rPr>
              <w:t>Proposal:</w:t>
            </w:r>
            <w:r w:rsidR="00B7388B">
              <w:rPr>
                <w:rFonts w:cs="Arial"/>
                <w:b/>
                <w:bCs/>
                <w:i/>
                <w:color w:val="00B274"/>
                <w:sz w:val="24"/>
              </w:rPr>
              <w:t xml:space="preserve">  </w:t>
            </w:r>
          </w:p>
          <w:p w14:paraId="6A1D253A" w14:textId="35A8CB8A" w:rsidR="00AE2501" w:rsidRPr="000C247A" w:rsidRDefault="0098682C" w:rsidP="009B60EF">
            <w:pPr>
              <w:keepLines/>
              <w:ind w:left="113" w:right="113"/>
              <w:rPr>
                <w:rFonts w:cs="Arial"/>
                <w:sz w:val="22"/>
                <w:szCs w:val="22"/>
              </w:rPr>
            </w:pPr>
            <w:r w:rsidRPr="0098682C">
              <w:rPr>
                <w:sz w:val="24"/>
              </w:rPr>
              <w:t>The purpose of this change proposal (CP) is to implement parts of Ofgem’s Access SCR Decision in respect of Speculative Developments into the Common Connections Charging Methodology (CCCM) and consequential changes into Schedule 32 (Residual Charging Bands). This CP seeks to address paragraph 16 of the Access SCR Direction.</w:t>
            </w:r>
          </w:p>
        </w:tc>
      </w:tr>
      <w:tr w:rsidR="00AE2501" w:rsidRPr="00EB32BB" w14:paraId="2C631340" w14:textId="77777777" w:rsidTr="00FD160A">
        <w:trPr>
          <w:trHeight w:val="89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567032C" w14:textId="1CC1BC5D" w:rsidR="00AE2501" w:rsidRPr="00882F64" w:rsidRDefault="00AE2501" w:rsidP="009B60EF">
            <w:pPr>
              <w:pStyle w:val="BodyText3"/>
              <w:keepLines/>
              <w:ind w:left="113" w:right="113"/>
            </w:pPr>
            <w:r w:rsidRPr="0058426F">
              <w:rPr>
                <w:noProof/>
              </w:rPr>
              <w:drawing>
                <wp:inline distT="0" distB="0" distL="0" distR="0" wp14:anchorId="4AE93E8C" wp14:editId="7D0930E2">
                  <wp:extent cx="540000" cy="540000"/>
                  <wp:effectExtent l="0" t="0" r="0" b="0"/>
                  <wp:docPr id="15"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6B48A4B1" w14:textId="77777777" w:rsidR="00E3757E" w:rsidRDefault="00354599" w:rsidP="004C6A9B">
            <w:pPr>
              <w:ind w:left="113" w:right="113"/>
              <w:jc w:val="both"/>
              <w:rPr>
                <w:sz w:val="24"/>
              </w:rPr>
            </w:pPr>
            <w:r w:rsidRPr="00354599">
              <w:rPr>
                <w:sz w:val="24"/>
              </w:rPr>
              <w:t>This document is a Consultation issued to DCUSA Parties and any other interested parties in accordance with Clause 11.14 of the DCUSA seeking industry views on DCP 405 ‘Access SCR: Managing Curtailable Connections between Licensed Distribution Networks’.</w:t>
            </w:r>
          </w:p>
          <w:p w14:paraId="0A63A61E" w14:textId="247D33E2" w:rsidR="004C6A9B" w:rsidRPr="004C6A9B" w:rsidRDefault="00AA4146" w:rsidP="004C6A9B">
            <w:pPr>
              <w:ind w:left="113" w:right="113"/>
              <w:jc w:val="both"/>
              <w:rPr>
                <w:sz w:val="24"/>
              </w:rPr>
            </w:pPr>
            <w:r w:rsidRPr="004C6A9B">
              <w:rPr>
                <w:sz w:val="24"/>
              </w:rPr>
              <w:t>DCP</w:t>
            </w:r>
            <w:r w:rsidR="00B7388B">
              <w:rPr>
                <w:sz w:val="24"/>
              </w:rPr>
              <w:t xml:space="preserve"> </w:t>
            </w:r>
            <w:r w:rsidR="0068568A">
              <w:rPr>
                <w:sz w:val="24"/>
              </w:rPr>
              <w:t>40</w:t>
            </w:r>
            <w:r w:rsidR="0098682C">
              <w:rPr>
                <w:sz w:val="24"/>
              </w:rPr>
              <w:t>7</w:t>
            </w:r>
            <w:r w:rsidR="00B7388B">
              <w:rPr>
                <w:sz w:val="24"/>
              </w:rPr>
              <w:t xml:space="preserve"> </w:t>
            </w:r>
            <w:proofErr w:type="gramStart"/>
            <w:r w:rsidRPr="004C6A9B">
              <w:rPr>
                <w:sz w:val="24"/>
              </w:rPr>
              <w:t>is</w:t>
            </w:r>
            <w:r w:rsidR="00B7388B">
              <w:rPr>
                <w:sz w:val="24"/>
              </w:rPr>
              <w:t xml:space="preserve"> </w:t>
            </w:r>
            <w:r w:rsidRPr="004C6A9B">
              <w:rPr>
                <w:sz w:val="24"/>
              </w:rPr>
              <w:t>considered</w:t>
            </w:r>
            <w:r w:rsidR="00B7388B">
              <w:rPr>
                <w:sz w:val="24"/>
              </w:rPr>
              <w:t xml:space="preserve"> </w:t>
            </w:r>
            <w:r w:rsidRPr="004C6A9B">
              <w:rPr>
                <w:sz w:val="24"/>
              </w:rPr>
              <w:t>to</w:t>
            </w:r>
            <w:r w:rsidR="00B7388B">
              <w:rPr>
                <w:sz w:val="24"/>
              </w:rPr>
              <w:t xml:space="preserve"> </w:t>
            </w:r>
            <w:r w:rsidRPr="004C6A9B">
              <w:rPr>
                <w:sz w:val="24"/>
              </w:rPr>
              <w:t>be</w:t>
            </w:r>
            <w:proofErr w:type="gramEnd"/>
            <w:r w:rsidR="00B7388B">
              <w:rPr>
                <w:sz w:val="24"/>
              </w:rPr>
              <w:t xml:space="preserve"> </w:t>
            </w:r>
            <w:r w:rsidRPr="004C6A9B">
              <w:rPr>
                <w:sz w:val="24"/>
              </w:rPr>
              <w:t>a</w:t>
            </w:r>
            <w:r w:rsidR="00B7388B">
              <w:rPr>
                <w:sz w:val="24"/>
              </w:rPr>
              <w:t xml:space="preserve"> </w:t>
            </w:r>
            <w:r w:rsidR="00C351EA" w:rsidRPr="004C6A9B">
              <w:rPr>
                <w:sz w:val="24"/>
              </w:rPr>
              <w:t>Part</w:t>
            </w:r>
            <w:r w:rsidR="00B7388B">
              <w:rPr>
                <w:sz w:val="24"/>
              </w:rPr>
              <w:t xml:space="preserve"> </w:t>
            </w:r>
            <w:r w:rsidR="00C351EA" w:rsidRPr="004C6A9B">
              <w:rPr>
                <w:sz w:val="24"/>
              </w:rPr>
              <w:t>1</w:t>
            </w:r>
            <w:r w:rsidR="00B7388B">
              <w:rPr>
                <w:sz w:val="24"/>
              </w:rPr>
              <w:t xml:space="preserve"> </w:t>
            </w:r>
            <w:r w:rsidRPr="004C6A9B">
              <w:rPr>
                <w:sz w:val="24"/>
              </w:rPr>
              <w:t>M</w:t>
            </w:r>
            <w:r w:rsidR="00C351EA" w:rsidRPr="004C6A9B">
              <w:rPr>
                <w:sz w:val="24"/>
              </w:rPr>
              <w:t>atter</w:t>
            </w:r>
            <w:r w:rsidR="00B7388B">
              <w:rPr>
                <w:sz w:val="24"/>
              </w:rPr>
              <w:t xml:space="preserve"> </w:t>
            </w:r>
            <w:r w:rsidR="004C6A9B">
              <w:rPr>
                <w:sz w:val="24"/>
              </w:rPr>
              <w:t>and</w:t>
            </w:r>
            <w:r w:rsidR="00B7388B">
              <w:rPr>
                <w:sz w:val="24"/>
              </w:rPr>
              <w:t xml:space="preserve"> </w:t>
            </w:r>
            <w:r w:rsidR="004C6A9B">
              <w:rPr>
                <w:sz w:val="24"/>
              </w:rPr>
              <w:t>therefore</w:t>
            </w:r>
            <w:r w:rsidR="00B7388B">
              <w:rPr>
                <w:sz w:val="24"/>
              </w:rPr>
              <w:t xml:space="preserve"> </w:t>
            </w:r>
            <w:r w:rsidR="004C6A9B">
              <w:rPr>
                <w:sz w:val="24"/>
              </w:rPr>
              <w:t>requires</w:t>
            </w:r>
            <w:r w:rsidR="00B7388B">
              <w:rPr>
                <w:sz w:val="24"/>
              </w:rPr>
              <w:t xml:space="preserve"> </w:t>
            </w:r>
            <w:r w:rsidRPr="004C6A9B">
              <w:rPr>
                <w:sz w:val="24"/>
              </w:rPr>
              <w:t>Authority</w:t>
            </w:r>
            <w:r w:rsidR="00B7388B">
              <w:rPr>
                <w:sz w:val="24"/>
              </w:rPr>
              <w:t xml:space="preserve"> </w:t>
            </w:r>
            <w:r w:rsidRPr="004C6A9B">
              <w:rPr>
                <w:sz w:val="24"/>
              </w:rPr>
              <w:t>approval</w:t>
            </w:r>
            <w:r w:rsidR="00B7388B">
              <w:rPr>
                <w:sz w:val="24"/>
              </w:rPr>
              <w:t xml:space="preserve"> </w:t>
            </w:r>
            <w:r w:rsidR="004C6A9B">
              <w:rPr>
                <w:sz w:val="24"/>
              </w:rPr>
              <w:t>prior</w:t>
            </w:r>
            <w:r w:rsidR="00B7388B">
              <w:rPr>
                <w:sz w:val="24"/>
              </w:rPr>
              <w:t xml:space="preserve"> </w:t>
            </w:r>
            <w:r w:rsidR="004C6A9B">
              <w:rPr>
                <w:sz w:val="24"/>
              </w:rPr>
              <w:t>to</w:t>
            </w:r>
            <w:r w:rsidR="00B7388B">
              <w:rPr>
                <w:sz w:val="24"/>
              </w:rPr>
              <w:t xml:space="preserve"> </w:t>
            </w:r>
            <w:r w:rsidR="004C6A9B">
              <w:rPr>
                <w:sz w:val="24"/>
              </w:rPr>
              <w:t>being</w:t>
            </w:r>
            <w:r w:rsidR="00B7388B">
              <w:rPr>
                <w:sz w:val="24"/>
              </w:rPr>
              <w:t xml:space="preserve"> </w:t>
            </w:r>
            <w:r w:rsidR="004C6A9B">
              <w:rPr>
                <w:sz w:val="24"/>
              </w:rPr>
              <w:t>implemented</w:t>
            </w:r>
            <w:r w:rsidR="00B7388B">
              <w:rPr>
                <w:sz w:val="24"/>
              </w:rPr>
              <w:t xml:space="preserve"> </w:t>
            </w:r>
            <w:r w:rsidRPr="004C6A9B">
              <w:rPr>
                <w:sz w:val="24"/>
              </w:rPr>
              <w:t>and</w:t>
            </w:r>
            <w:r w:rsidR="00B7388B">
              <w:rPr>
                <w:sz w:val="24"/>
              </w:rPr>
              <w:t xml:space="preserve"> </w:t>
            </w:r>
            <w:r w:rsidRPr="004C6A9B">
              <w:rPr>
                <w:sz w:val="24"/>
              </w:rPr>
              <w:t>thus,</w:t>
            </w:r>
            <w:r w:rsidR="00B7388B">
              <w:rPr>
                <w:sz w:val="24"/>
              </w:rPr>
              <w:t xml:space="preserve"> </w:t>
            </w:r>
            <w:r w:rsidRPr="004C6A9B">
              <w:rPr>
                <w:sz w:val="24"/>
              </w:rPr>
              <w:t>the</w:t>
            </w:r>
            <w:r w:rsidR="00B7388B">
              <w:rPr>
                <w:sz w:val="24"/>
              </w:rPr>
              <w:t xml:space="preserve"> </w:t>
            </w:r>
            <w:r w:rsidRPr="004C6A9B">
              <w:rPr>
                <w:sz w:val="24"/>
              </w:rPr>
              <w:t>result</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Party</w:t>
            </w:r>
            <w:r w:rsidR="00B7388B">
              <w:rPr>
                <w:sz w:val="24"/>
              </w:rPr>
              <w:t xml:space="preserve"> </w:t>
            </w:r>
            <w:r w:rsidRPr="004C6A9B">
              <w:rPr>
                <w:sz w:val="24"/>
              </w:rPr>
              <w:t>vote</w:t>
            </w:r>
            <w:r w:rsidR="00B7388B">
              <w:rPr>
                <w:sz w:val="24"/>
              </w:rPr>
              <w:t xml:space="preserve"> </w:t>
            </w:r>
            <w:r w:rsidRPr="004C6A9B">
              <w:rPr>
                <w:sz w:val="24"/>
              </w:rPr>
              <w:t>on</w:t>
            </w:r>
            <w:r w:rsidR="00B7388B">
              <w:rPr>
                <w:sz w:val="24"/>
              </w:rPr>
              <w:t xml:space="preserve"> </w:t>
            </w:r>
            <w:r w:rsidRPr="004C6A9B">
              <w:rPr>
                <w:sz w:val="24"/>
              </w:rPr>
              <w:t>this</w:t>
            </w:r>
            <w:r w:rsidR="00B7388B">
              <w:rPr>
                <w:sz w:val="24"/>
              </w:rPr>
              <w:t xml:space="preserve"> </w:t>
            </w:r>
            <w:r w:rsidR="004C6A9B" w:rsidRPr="004C6A9B">
              <w:rPr>
                <w:sz w:val="24"/>
              </w:rPr>
              <w:t>Change</w:t>
            </w:r>
            <w:r w:rsidR="00B7388B">
              <w:rPr>
                <w:sz w:val="24"/>
              </w:rPr>
              <w:t xml:space="preserve"> </w:t>
            </w:r>
            <w:r w:rsidR="004C6A9B" w:rsidRPr="004C6A9B">
              <w:rPr>
                <w:sz w:val="24"/>
              </w:rPr>
              <w:t>Report</w:t>
            </w:r>
            <w:r w:rsidR="00B7388B">
              <w:rPr>
                <w:sz w:val="24"/>
              </w:rPr>
              <w:t xml:space="preserve"> </w:t>
            </w:r>
            <w:r w:rsidR="004C6A9B" w:rsidRPr="004C6A9B">
              <w:rPr>
                <w:sz w:val="24"/>
              </w:rPr>
              <w:t>will</w:t>
            </w:r>
            <w:r w:rsidR="00B7388B">
              <w:rPr>
                <w:sz w:val="24"/>
              </w:rPr>
              <w:t xml:space="preserve"> </w:t>
            </w:r>
            <w:r w:rsidR="004C6A9B" w:rsidRPr="004C6A9B">
              <w:rPr>
                <w:sz w:val="24"/>
              </w:rPr>
              <w:t>act</w:t>
            </w:r>
            <w:r w:rsidR="00B7388B">
              <w:rPr>
                <w:sz w:val="24"/>
              </w:rPr>
              <w:t xml:space="preserve"> </w:t>
            </w:r>
            <w:r w:rsidR="004C6A9B" w:rsidRPr="004C6A9B">
              <w:rPr>
                <w:sz w:val="24"/>
              </w:rPr>
              <w:t>as</w:t>
            </w:r>
            <w:r w:rsidR="00B7388B">
              <w:rPr>
                <w:sz w:val="24"/>
              </w:rPr>
              <w:t xml:space="preserve"> </w:t>
            </w:r>
            <w:r w:rsidR="004C6A9B" w:rsidRPr="004C6A9B">
              <w:rPr>
                <w:sz w:val="24"/>
              </w:rPr>
              <w:t>a</w:t>
            </w:r>
            <w:r w:rsidR="00B7388B">
              <w:rPr>
                <w:sz w:val="24"/>
              </w:rPr>
              <w:t xml:space="preserve"> </w:t>
            </w:r>
            <w:r w:rsidR="004C6A9B" w:rsidRPr="004C6A9B">
              <w:rPr>
                <w:sz w:val="24"/>
              </w:rPr>
              <w:t>recommendation</w:t>
            </w:r>
            <w:r w:rsidR="00B7388B">
              <w:rPr>
                <w:sz w:val="24"/>
              </w:rPr>
              <w:t xml:space="preserve"> </w:t>
            </w:r>
            <w:r w:rsidR="004C6A9B" w:rsidRPr="004C6A9B">
              <w:rPr>
                <w:sz w:val="24"/>
              </w:rPr>
              <w:t>to</w:t>
            </w:r>
            <w:r w:rsidR="00B7388B">
              <w:rPr>
                <w:sz w:val="24"/>
              </w:rPr>
              <w:t xml:space="preserve"> </w:t>
            </w:r>
            <w:r w:rsidR="004C6A9B" w:rsidRPr="004C6A9B">
              <w:rPr>
                <w:sz w:val="24"/>
              </w:rPr>
              <w:t>the</w:t>
            </w:r>
            <w:r w:rsidR="00B7388B">
              <w:rPr>
                <w:sz w:val="24"/>
              </w:rPr>
              <w:t xml:space="preserve"> </w:t>
            </w:r>
            <w:r w:rsidR="004C6A9B" w:rsidRPr="004C6A9B">
              <w:rPr>
                <w:sz w:val="24"/>
              </w:rPr>
              <w:t>Authority.</w:t>
            </w:r>
            <w:r w:rsidR="00B7388B">
              <w:rPr>
                <w:sz w:val="24"/>
              </w:rPr>
              <w:t xml:space="preserve"> </w:t>
            </w:r>
          </w:p>
          <w:p w14:paraId="3B45D3A9" w14:textId="7ABF071E" w:rsidR="008D1F04" w:rsidRPr="008D1F04" w:rsidRDefault="00AA4146" w:rsidP="008D1F04">
            <w:pPr>
              <w:ind w:left="113" w:right="113"/>
              <w:jc w:val="both"/>
              <w:rPr>
                <w:rFonts w:cs="Arial"/>
                <w:sz w:val="22"/>
                <w:szCs w:val="28"/>
              </w:rPr>
            </w:pPr>
            <w:r w:rsidRPr="004C6A9B">
              <w:rPr>
                <w:sz w:val="24"/>
              </w:rPr>
              <w:t>Parties</w:t>
            </w:r>
            <w:r w:rsidR="00B7388B">
              <w:rPr>
                <w:sz w:val="24"/>
              </w:rPr>
              <w:t xml:space="preserve"> </w:t>
            </w:r>
            <w:r w:rsidRPr="004C6A9B">
              <w:rPr>
                <w:sz w:val="24"/>
              </w:rPr>
              <w:t>are</w:t>
            </w:r>
            <w:r w:rsidR="00B7388B">
              <w:rPr>
                <w:sz w:val="24"/>
              </w:rPr>
              <w:t xml:space="preserve"> </w:t>
            </w:r>
            <w:r w:rsidRPr="004C6A9B">
              <w:rPr>
                <w:sz w:val="24"/>
              </w:rPr>
              <w:t>invited</w:t>
            </w:r>
            <w:r w:rsidR="00B7388B">
              <w:rPr>
                <w:sz w:val="24"/>
              </w:rPr>
              <w:t xml:space="preserve"> </w:t>
            </w:r>
            <w:r w:rsidRPr="004C6A9B">
              <w:rPr>
                <w:sz w:val="24"/>
              </w:rPr>
              <w:t>to</w:t>
            </w:r>
            <w:r w:rsidR="00B7388B">
              <w:rPr>
                <w:sz w:val="24"/>
              </w:rPr>
              <w:t xml:space="preserve"> </w:t>
            </w:r>
            <w:r w:rsidRPr="004C6A9B">
              <w:rPr>
                <w:sz w:val="24"/>
              </w:rPr>
              <w:t>consider</w:t>
            </w:r>
            <w:r w:rsidR="00B7388B">
              <w:rPr>
                <w:sz w:val="24"/>
              </w:rPr>
              <w:t xml:space="preserve"> </w:t>
            </w:r>
            <w:r w:rsidRPr="004C6A9B">
              <w:rPr>
                <w:sz w:val="24"/>
              </w:rPr>
              <w:t>the</w:t>
            </w:r>
            <w:r w:rsidR="00B7388B">
              <w:rPr>
                <w:sz w:val="24"/>
              </w:rPr>
              <w:t xml:space="preserve"> </w:t>
            </w:r>
            <w:r w:rsidRPr="004C6A9B">
              <w:rPr>
                <w:sz w:val="24"/>
              </w:rPr>
              <w:t>proposed</w:t>
            </w:r>
            <w:r w:rsidR="00B7388B">
              <w:rPr>
                <w:sz w:val="24"/>
              </w:rPr>
              <w:t xml:space="preserve"> </w:t>
            </w:r>
            <w:r w:rsidRPr="004C6A9B">
              <w:rPr>
                <w:sz w:val="24"/>
              </w:rPr>
              <w:t>amendment</w:t>
            </w:r>
            <w:r w:rsidR="00B7388B">
              <w:rPr>
                <w:sz w:val="24"/>
              </w:rPr>
              <w:t xml:space="preserve"> </w:t>
            </w:r>
            <w:r w:rsidRPr="004C6A9B">
              <w:rPr>
                <w:sz w:val="24"/>
              </w:rPr>
              <w:t>(Attachment</w:t>
            </w:r>
            <w:r w:rsidR="00B7388B">
              <w:rPr>
                <w:sz w:val="24"/>
              </w:rPr>
              <w:t xml:space="preserve"> </w:t>
            </w:r>
            <w:r w:rsidRPr="004C6A9B">
              <w:rPr>
                <w:sz w:val="24"/>
              </w:rPr>
              <w:t>1)</w:t>
            </w:r>
            <w:r w:rsidR="00B7388B">
              <w:rPr>
                <w:sz w:val="24"/>
              </w:rPr>
              <w:t xml:space="preserve"> </w:t>
            </w:r>
            <w:r w:rsidRPr="004C6A9B">
              <w:rPr>
                <w:sz w:val="24"/>
              </w:rPr>
              <w:t>and</w:t>
            </w:r>
            <w:r w:rsidR="00B7388B">
              <w:rPr>
                <w:sz w:val="24"/>
              </w:rPr>
              <w:t xml:space="preserve"> </w:t>
            </w:r>
            <w:r w:rsidRPr="004C6A9B">
              <w:rPr>
                <w:sz w:val="24"/>
              </w:rPr>
              <w:t>submit</w:t>
            </w:r>
            <w:r w:rsidR="00B7388B">
              <w:rPr>
                <w:sz w:val="24"/>
              </w:rPr>
              <w:t xml:space="preserve"> </w:t>
            </w:r>
            <w:r w:rsidRPr="004C6A9B">
              <w:rPr>
                <w:sz w:val="24"/>
              </w:rPr>
              <w:t>their</w:t>
            </w:r>
            <w:r w:rsidR="00B7388B">
              <w:rPr>
                <w:sz w:val="24"/>
              </w:rPr>
              <w:t xml:space="preserve"> </w:t>
            </w:r>
            <w:r w:rsidRPr="004C6A9B">
              <w:rPr>
                <w:sz w:val="24"/>
              </w:rPr>
              <w:t>votes</w:t>
            </w:r>
            <w:r w:rsidR="00B7388B">
              <w:rPr>
                <w:sz w:val="24"/>
              </w:rPr>
              <w:t xml:space="preserve"> </w:t>
            </w:r>
            <w:r w:rsidRPr="004C6A9B">
              <w:rPr>
                <w:sz w:val="24"/>
              </w:rPr>
              <w:t>using</w:t>
            </w:r>
            <w:r w:rsidR="00B7388B">
              <w:rPr>
                <w:sz w:val="24"/>
              </w:rPr>
              <w:t xml:space="preserve"> </w:t>
            </w:r>
            <w:r w:rsidRPr="004C6A9B">
              <w:rPr>
                <w:sz w:val="24"/>
              </w:rPr>
              <w:t>the</w:t>
            </w:r>
            <w:r w:rsidR="00B7388B">
              <w:rPr>
                <w:sz w:val="24"/>
              </w:rPr>
              <w:t xml:space="preserve"> </w:t>
            </w:r>
            <w:r w:rsidR="004C6A9B">
              <w:rPr>
                <w:sz w:val="24"/>
              </w:rPr>
              <w:t>v</w:t>
            </w:r>
            <w:r w:rsidRPr="004C6A9B">
              <w:rPr>
                <w:sz w:val="24"/>
              </w:rPr>
              <w:t>oting</w:t>
            </w:r>
            <w:r w:rsidR="00B7388B">
              <w:rPr>
                <w:sz w:val="24"/>
              </w:rPr>
              <w:t xml:space="preserve"> </w:t>
            </w:r>
            <w:r w:rsidRPr="004C6A9B">
              <w:rPr>
                <w:sz w:val="24"/>
              </w:rPr>
              <w:t>form</w:t>
            </w:r>
            <w:r w:rsidR="00B7388B">
              <w:rPr>
                <w:sz w:val="24"/>
              </w:rPr>
              <w:t xml:space="preserve"> </w:t>
            </w:r>
            <w:r w:rsidRPr="004C6A9B">
              <w:rPr>
                <w:sz w:val="24"/>
              </w:rPr>
              <w:t>(Attachment</w:t>
            </w:r>
            <w:r w:rsidR="00B7388B">
              <w:rPr>
                <w:sz w:val="24"/>
              </w:rPr>
              <w:t xml:space="preserve"> </w:t>
            </w:r>
            <w:r w:rsidRPr="004C6A9B">
              <w:rPr>
                <w:sz w:val="24"/>
              </w:rPr>
              <w:t>2)</w:t>
            </w:r>
            <w:r w:rsidR="00B7388B">
              <w:rPr>
                <w:sz w:val="24"/>
              </w:rPr>
              <w:t xml:space="preserve"> </w:t>
            </w:r>
            <w:r w:rsidRPr="004C6A9B">
              <w:rPr>
                <w:sz w:val="24"/>
              </w:rPr>
              <w:t>to</w:t>
            </w:r>
            <w:r w:rsidR="00B7388B">
              <w:rPr>
                <w:sz w:val="24"/>
              </w:rPr>
              <w:t xml:space="preserve"> </w:t>
            </w:r>
            <w:hyperlink r:id="rId12" w:history="1">
              <w:r w:rsidRPr="004C6A9B">
                <w:rPr>
                  <w:rStyle w:val="Hyperlink"/>
                  <w:sz w:val="24"/>
                </w:rPr>
                <w:t>dcusa@electralink.co.uk</w:t>
              </w:r>
            </w:hyperlink>
            <w:r w:rsidR="00B7388B">
              <w:rPr>
                <w:sz w:val="24"/>
              </w:rPr>
              <w:t xml:space="preserve"> </w:t>
            </w:r>
            <w:r w:rsidRPr="004C6A9B">
              <w:rPr>
                <w:sz w:val="24"/>
              </w:rPr>
              <w:t>or</w:t>
            </w:r>
            <w:r w:rsidR="00B7388B">
              <w:rPr>
                <w:sz w:val="24"/>
              </w:rPr>
              <w:t xml:space="preserve"> </w:t>
            </w:r>
            <w:r w:rsidRPr="004C6A9B">
              <w:rPr>
                <w:sz w:val="24"/>
              </w:rPr>
              <w:t>via</w:t>
            </w:r>
            <w:r w:rsidR="00B7388B">
              <w:rPr>
                <w:sz w:val="24"/>
              </w:rPr>
              <w:t xml:space="preserve"> </w:t>
            </w:r>
            <w:r w:rsidRPr="004C6A9B">
              <w:rPr>
                <w:sz w:val="24"/>
              </w:rPr>
              <w:t>the</w:t>
            </w:r>
            <w:r w:rsidR="00B7388B">
              <w:rPr>
                <w:sz w:val="24"/>
              </w:rPr>
              <w:t xml:space="preserve"> </w:t>
            </w:r>
            <w:r w:rsidRPr="004C6A9B">
              <w:rPr>
                <w:sz w:val="24"/>
              </w:rPr>
              <w:t>online</w:t>
            </w:r>
            <w:r w:rsidR="00B7388B">
              <w:rPr>
                <w:sz w:val="24"/>
              </w:rPr>
              <w:t xml:space="preserve"> </w:t>
            </w:r>
            <w:r w:rsidRPr="004C6A9B">
              <w:rPr>
                <w:sz w:val="24"/>
              </w:rPr>
              <w:t>voting</w:t>
            </w:r>
            <w:r w:rsidR="00B7388B">
              <w:rPr>
                <w:sz w:val="24"/>
              </w:rPr>
              <w:t xml:space="preserve"> </w:t>
            </w:r>
            <w:r w:rsidRPr="004C6A9B">
              <w:rPr>
                <w:sz w:val="24"/>
              </w:rPr>
              <w:t>form</w:t>
            </w:r>
            <w:r w:rsidR="00B7388B">
              <w:rPr>
                <w:sz w:val="24"/>
              </w:rPr>
              <w:t xml:space="preserve"> </w:t>
            </w:r>
            <w:r w:rsidRPr="004C6A9B">
              <w:rPr>
                <w:sz w:val="24"/>
              </w:rPr>
              <w:t>which</w:t>
            </w:r>
            <w:r w:rsidR="00B7388B">
              <w:rPr>
                <w:sz w:val="24"/>
              </w:rPr>
              <w:t xml:space="preserve"> </w:t>
            </w:r>
            <w:r w:rsidRPr="004C6A9B">
              <w:rPr>
                <w:sz w:val="24"/>
              </w:rPr>
              <w:t>can</w:t>
            </w:r>
            <w:r w:rsidR="00B7388B">
              <w:rPr>
                <w:sz w:val="24"/>
              </w:rPr>
              <w:t xml:space="preserve"> </w:t>
            </w:r>
            <w:r w:rsidRPr="004C6A9B">
              <w:rPr>
                <w:sz w:val="24"/>
              </w:rPr>
              <w:t>be</w:t>
            </w:r>
            <w:r w:rsidR="00B7388B">
              <w:rPr>
                <w:sz w:val="24"/>
              </w:rPr>
              <w:t xml:space="preserve"> </w:t>
            </w:r>
            <w:r w:rsidRPr="004C6A9B">
              <w:rPr>
                <w:sz w:val="24"/>
              </w:rPr>
              <w:t>found</w:t>
            </w:r>
            <w:r w:rsidR="00B7388B">
              <w:rPr>
                <w:sz w:val="24"/>
              </w:rPr>
              <w:t xml:space="preserve"> </w:t>
            </w:r>
            <w:r w:rsidRPr="004C6A9B">
              <w:rPr>
                <w:sz w:val="24"/>
              </w:rPr>
              <w:t>via</w:t>
            </w:r>
            <w:r w:rsidR="008D1F04">
              <w:rPr>
                <w:sz w:val="24"/>
              </w:rPr>
              <w:t xml:space="preserve"> the following link:</w:t>
            </w:r>
            <w:r w:rsidR="00B7388B">
              <w:rPr>
                <w:sz w:val="24"/>
              </w:rPr>
              <w:t xml:space="preserve"> </w:t>
            </w:r>
            <w:r w:rsidR="00692C20" w:rsidRPr="00692C20">
              <w:rPr>
                <w:color w:val="FF0000"/>
                <w:sz w:val="24"/>
              </w:rPr>
              <w:t xml:space="preserve">Access SCR: </w:t>
            </w:r>
            <w:r w:rsidR="0098682C">
              <w:rPr>
                <w:color w:val="FF0000"/>
                <w:sz w:val="24"/>
              </w:rPr>
              <w:t>Speculative Development</w:t>
            </w:r>
          </w:p>
          <w:p w14:paraId="6E33DC0D" w14:textId="5FD6B17C" w:rsidR="00AA4146" w:rsidRPr="005571C0" w:rsidRDefault="00AA4146" w:rsidP="004C6A9B">
            <w:pPr>
              <w:ind w:left="113" w:right="113"/>
              <w:jc w:val="both"/>
              <w:rPr>
                <w:b/>
                <w:bCs/>
                <w:sz w:val="24"/>
              </w:rPr>
            </w:pPr>
            <w:r w:rsidRPr="004C6A9B">
              <w:rPr>
                <w:sz w:val="24"/>
              </w:rPr>
              <w:t>Responses</w:t>
            </w:r>
            <w:r w:rsidR="00B7388B">
              <w:rPr>
                <w:sz w:val="24"/>
              </w:rPr>
              <w:t xml:space="preserve"> </w:t>
            </w:r>
            <w:r w:rsidRPr="004C6A9B">
              <w:rPr>
                <w:sz w:val="24"/>
              </w:rPr>
              <w:t>are</w:t>
            </w:r>
            <w:r w:rsidR="00B7388B">
              <w:rPr>
                <w:sz w:val="24"/>
              </w:rPr>
              <w:t xml:space="preserve"> </w:t>
            </w:r>
            <w:r w:rsidRPr="004C6A9B">
              <w:rPr>
                <w:sz w:val="24"/>
              </w:rPr>
              <w:t>requested</w:t>
            </w:r>
            <w:r w:rsidR="00B7388B">
              <w:rPr>
                <w:sz w:val="24"/>
              </w:rPr>
              <w:t xml:space="preserve"> </w:t>
            </w:r>
            <w:r w:rsidR="005571C0">
              <w:rPr>
                <w:sz w:val="24"/>
              </w:rPr>
              <w:t xml:space="preserve">by </w:t>
            </w:r>
            <w:r w:rsidR="005571C0">
              <w:rPr>
                <w:b/>
                <w:bCs/>
                <w:sz w:val="24"/>
              </w:rPr>
              <w:t>19 October 2022.</w:t>
            </w:r>
          </w:p>
          <w:p w14:paraId="6E0E0F05" w14:textId="4A1A0B97" w:rsidR="00AE2501" w:rsidRPr="004C6A9B" w:rsidRDefault="00AA4146" w:rsidP="004C6A9B">
            <w:pPr>
              <w:ind w:left="113" w:right="113"/>
              <w:jc w:val="both"/>
              <w:rPr>
                <w:sz w:val="24"/>
              </w:rPr>
            </w:pPr>
            <w:r w:rsidRPr="004C6A9B">
              <w:rPr>
                <w:sz w:val="24"/>
              </w:rPr>
              <w:t>The</w:t>
            </w:r>
            <w:r w:rsidR="00B7388B">
              <w:rPr>
                <w:sz w:val="24"/>
              </w:rPr>
              <w:t xml:space="preserve"> </w:t>
            </w:r>
            <w:r w:rsidRPr="004C6A9B">
              <w:rPr>
                <w:sz w:val="24"/>
              </w:rPr>
              <w:t>voting</w:t>
            </w:r>
            <w:r w:rsidR="00B7388B">
              <w:rPr>
                <w:sz w:val="24"/>
              </w:rPr>
              <w:t xml:space="preserve"> </w:t>
            </w:r>
            <w:r w:rsidRPr="004C6A9B">
              <w:rPr>
                <w:sz w:val="24"/>
              </w:rPr>
              <w:t>process</w:t>
            </w:r>
            <w:r w:rsidR="00B7388B">
              <w:rPr>
                <w:sz w:val="24"/>
              </w:rPr>
              <w:t xml:space="preserve"> </w:t>
            </w:r>
            <w:r w:rsidRPr="004C6A9B">
              <w:rPr>
                <w:sz w:val="24"/>
              </w:rPr>
              <w:t>for</w:t>
            </w:r>
            <w:r w:rsidR="00B7388B">
              <w:rPr>
                <w:sz w:val="24"/>
              </w:rPr>
              <w:t xml:space="preserve"> </w:t>
            </w:r>
            <w:r w:rsidRPr="004C6A9B">
              <w:rPr>
                <w:sz w:val="24"/>
              </w:rPr>
              <w:t>the</w:t>
            </w:r>
            <w:r w:rsidR="00B7388B">
              <w:rPr>
                <w:sz w:val="24"/>
              </w:rPr>
              <w:t xml:space="preserve"> </w:t>
            </w:r>
            <w:r w:rsidRPr="004C6A9B">
              <w:rPr>
                <w:sz w:val="24"/>
              </w:rPr>
              <w:t>proposed</w:t>
            </w:r>
            <w:r w:rsidR="00B7388B">
              <w:rPr>
                <w:sz w:val="24"/>
              </w:rPr>
              <w:t xml:space="preserve"> </w:t>
            </w:r>
            <w:r w:rsidRPr="004C6A9B">
              <w:rPr>
                <w:sz w:val="24"/>
              </w:rPr>
              <w:t>variation</w:t>
            </w:r>
            <w:r w:rsidR="00B7388B">
              <w:rPr>
                <w:sz w:val="24"/>
              </w:rPr>
              <w:t xml:space="preserve"> </w:t>
            </w:r>
            <w:r w:rsidRPr="004C6A9B">
              <w:rPr>
                <w:sz w:val="24"/>
              </w:rPr>
              <w:t>and</w:t>
            </w:r>
            <w:r w:rsidR="00B7388B">
              <w:rPr>
                <w:sz w:val="24"/>
              </w:rPr>
              <w:t xml:space="preserve"> </w:t>
            </w:r>
            <w:r w:rsidRPr="004C6A9B">
              <w:rPr>
                <w:sz w:val="24"/>
              </w:rPr>
              <w:t>the</w:t>
            </w:r>
            <w:r w:rsidR="00B7388B">
              <w:rPr>
                <w:sz w:val="24"/>
              </w:rPr>
              <w:t xml:space="preserve"> </w:t>
            </w:r>
            <w:r w:rsidRPr="004C6A9B">
              <w:rPr>
                <w:sz w:val="24"/>
              </w:rPr>
              <w:t>timetable</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progression</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Change</w:t>
            </w:r>
            <w:r w:rsidR="00B7388B">
              <w:rPr>
                <w:sz w:val="24"/>
              </w:rPr>
              <w:t xml:space="preserve"> </w:t>
            </w:r>
            <w:r w:rsidRPr="004C6A9B">
              <w:rPr>
                <w:sz w:val="24"/>
              </w:rPr>
              <w:t>Proposal</w:t>
            </w:r>
            <w:r w:rsidR="00B7388B">
              <w:rPr>
                <w:sz w:val="24"/>
              </w:rPr>
              <w:t xml:space="preserve"> </w:t>
            </w:r>
            <w:r w:rsidRPr="004C6A9B">
              <w:rPr>
                <w:sz w:val="24"/>
              </w:rPr>
              <w:t>(CP)</w:t>
            </w:r>
            <w:r w:rsidR="00B7388B">
              <w:rPr>
                <w:sz w:val="24"/>
              </w:rPr>
              <w:t xml:space="preserve"> </w:t>
            </w:r>
            <w:r w:rsidRPr="004C6A9B">
              <w:rPr>
                <w:sz w:val="24"/>
              </w:rPr>
              <w:t>through</w:t>
            </w:r>
            <w:r w:rsidR="00B7388B">
              <w:rPr>
                <w:sz w:val="24"/>
              </w:rPr>
              <w:t xml:space="preserve"> </w:t>
            </w:r>
            <w:r w:rsidRPr="004C6A9B">
              <w:rPr>
                <w:sz w:val="24"/>
              </w:rPr>
              <w:t>the</w:t>
            </w:r>
            <w:r w:rsidR="00B7388B">
              <w:rPr>
                <w:sz w:val="24"/>
              </w:rPr>
              <w:t xml:space="preserve"> </w:t>
            </w:r>
            <w:r w:rsidRPr="004C6A9B">
              <w:rPr>
                <w:sz w:val="24"/>
              </w:rPr>
              <w:t>DCUSA</w:t>
            </w:r>
            <w:r w:rsidR="00B7388B">
              <w:rPr>
                <w:sz w:val="24"/>
              </w:rPr>
              <w:t xml:space="preserve"> </w:t>
            </w:r>
            <w:r w:rsidRPr="004C6A9B">
              <w:rPr>
                <w:sz w:val="24"/>
              </w:rPr>
              <w:t>Change</w:t>
            </w:r>
            <w:r w:rsidR="00B7388B">
              <w:rPr>
                <w:sz w:val="24"/>
              </w:rPr>
              <w:t xml:space="preserve"> </w:t>
            </w:r>
            <w:r w:rsidRPr="004C6A9B">
              <w:rPr>
                <w:sz w:val="24"/>
              </w:rPr>
              <w:t>Control</w:t>
            </w:r>
            <w:r w:rsidR="00B7388B">
              <w:rPr>
                <w:sz w:val="24"/>
              </w:rPr>
              <w:t xml:space="preserve"> </w:t>
            </w:r>
            <w:r w:rsidRPr="004C6A9B">
              <w:rPr>
                <w:sz w:val="24"/>
              </w:rPr>
              <w:t>Process</w:t>
            </w:r>
            <w:r w:rsidR="00B7388B">
              <w:rPr>
                <w:sz w:val="24"/>
              </w:rPr>
              <w:t xml:space="preserve"> </w:t>
            </w:r>
            <w:r w:rsidRPr="004C6A9B">
              <w:rPr>
                <w:sz w:val="24"/>
              </w:rPr>
              <w:t>is</w:t>
            </w:r>
            <w:r w:rsidR="00B7388B">
              <w:rPr>
                <w:sz w:val="24"/>
              </w:rPr>
              <w:t xml:space="preserve"> </w:t>
            </w:r>
            <w:r w:rsidRPr="004C6A9B">
              <w:rPr>
                <w:sz w:val="24"/>
              </w:rPr>
              <w:t>set</w:t>
            </w:r>
            <w:r w:rsidR="00B7388B">
              <w:rPr>
                <w:sz w:val="24"/>
              </w:rPr>
              <w:t xml:space="preserve"> </w:t>
            </w:r>
            <w:r w:rsidRPr="004C6A9B">
              <w:rPr>
                <w:sz w:val="24"/>
              </w:rPr>
              <w:t>out</w:t>
            </w:r>
            <w:r w:rsidR="00B7388B">
              <w:rPr>
                <w:sz w:val="24"/>
              </w:rPr>
              <w:t xml:space="preserve"> </w:t>
            </w:r>
            <w:r w:rsidRPr="004C6A9B">
              <w:rPr>
                <w:sz w:val="24"/>
              </w:rPr>
              <w:t>in</w:t>
            </w:r>
            <w:r w:rsidR="00B7388B">
              <w:rPr>
                <w:sz w:val="24"/>
              </w:rPr>
              <w:t xml:space="preserve"> </w:t>
            </w:r>
            <w:r w:rsidRPr="004C6A9B">
              <w:rPr>
                <w:sz w:val="24"/>
              </w:rPr>
              <w:t>this</w:t>
            </w:r>
            <w:r w:rsidR="00B7388B">
              <w:rPr>
                <w:sz w:val="24"/>
              </w:rPr>
              <w:t xml:space="preserve"> </w:t>
            </w:r>
            <w:r w:rsidRPr="004C6A9B">
              <w:rPr>
                <w:sz w:val="24"/>
              </w:rPr>
              <w:t>document.</w:t>
            </w:r>
            <w:r w:rsidR="00B7388B">
              <w:rPr>
                <w:sz w:val="24"/>
              </w:rPr>
              <w:t xml:space="preserve"> </w:t>
            </w:r>
          </w:p>
        </w:tc>
      </w:tr>
      <w:tr w:rsidR="00AE2501" w:rsidRPr="00EB32BB" w14:paraId="74F9B6C3"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6FE64F65" w14:textId="14545583" w:rsidR="00AE2501" w:rsidRPr="00EB32BB" w:rsidRDefault="00FD160A" w:rsidP="009B60EF">
            <w:pPr>
              <w:keepLines/>
              <w:spacing w:before="60" w:after="60"/>
              <w:ind w:firstLine="9"/>
              <w:jc w:val="center"/>
              <w:rPr>
                <w:rFonts w:cs="Arial"/>
              </w:rPr>
            </w:pPr>
            <w:r w:rsidRPr="00AF30A5">
              <w:rPr>
                <w:rFonts w:cs="Arial"/>
                <w:noProof/>
              </w:rPr>
              <w:drawing>
                <wp:inline distT="0" distB="0" distL="0" distR="0" wp14:anchorId="02613DB6" wp14:editId="67892EA7">
                  <wp:extent cx="540000" cy="540000"/>
                  <wp:effectExtent l="0" t="0" r="0" b="0"/>
                  <wp:docPr id="8" name="Picture 8"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3">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2FD71888" w14:textId="77777777" w:rsidR="00AE2501" w:rsidRDefault="00AE2501" w:rsidP="009B60EF">
            <w:pPr>
              <w:keepLines/>
              <w:ind w:left="113" w:right="113"/>
              <w:rPr>
                <w:sz w:val="24"/>
              </w:rPr>
            </w:pPr>
            <w:r w:rsidRPr="00BE1B7B">
              <w:rPr>
                <w:sz w:val="24"/>
              </w:rPr>
              <w:t>Impacted</w:t>
            </w:r>
            <w:r w:rsidR="00B7388B">
              <w:rPr>
                <w:sz w:val="24"/>
              </w:rPr>
              <w:t xml:space="preserve"> </w:t>
            </w:r>
            <w:r w:rsidRPr="00BE1B7B">
              <w:rPr>
                <w:sz w:val="24"/>
              </w:rPr>
              <w:t>Parties:</w:t>
            </w:r>
            <w:r w:rsidR="00B7388B">
              <w:rPr>
                <w:sz w:val="24"/>
              </w:rPr>
              <w:t xml:space="preserve"> </w:t>
            </w:r>
          </w:p>
          <w:p w14:paraId="7180CB07" w14:textId="2825D1F8" w:rsidR="006C4F22" w:rsidRPr="003F206B" w:rsidRDefault="00561983" w:rsidP="003F206B">
            <w:pPr>
              <w:keepLines/>
              <w:ind w:left="113" w:right="113"/>
              <w:rPr>
                <w:sz w:val="24"/>
              </w:rPr>
            </w:pPr>
            <w:r>
              <w:rPr>
                <w:sz w:val="24"/>
              </w:rPr>
              <w:t>Suppliers, DNOs and IDNOs</w:t>
            </w:r>
          </w:p>
        </w:tc>
      </w:tr>
      <w:tr w:rsidR="00AE2501" w:rsidRPr="00EB32BB" w14:paraId="7B79FF5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AE55459" w14:textId="777ADBCD" w:rsidR="00AE2501" w:rsidRPr="00EB32BB" w:rsidRDefault="00AE2501" w:rsidP="009B60EF">
            <w:pPr>
              <w:keepLines/>
              <w:spacing w:before="60" w:after="60"/>
              <w:ind w:firstLine="9"/>
              <w:jc w:val="center"/>
              <w:rPr>
                <w:rFonts w:cs="Arial"/>
              </w:rPr>
            </w:pPr>
            <w:r w:rsidRPr="00AF30A5">
              <w:rPr>
                <w:rFonts w:cs="Arial"/>
                <w:noProof/>
              </w:rPr>
              <w:drawing>
                <wp:inline distT="0" distB="0" distL="0" distR="0" wp14:anchorId="3F7B7199" wp14:editId="5CFCCA58">
                  <wp:extent cx="540000" cy="540000"/>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3">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0F0B59F7" w14:textId="24DA69E6" w:rsidR="00AE2501" w:rsidRDefault="00AE2501" w:rsidP="009B60EF">
            <w:pPr>
              <w:keepLines/>
              <w:ind w:left="113" w:right="113"/>
              <w:rPr>
                <w:sz w:val="24"/>
              </w:rPr>
            </w:pPr>
            <w:r w:rsidRPr="00BE1B7B">
              <w:rPr>
                <w:sz w:val="24"/>
              </w:rPr>
              <w:t>Impacted</w:t>
            </w:r>
            <w:r w:rsidR="00B7388B">
              <w:rPr>
                <w:sz w:val="24"/>
              </w:rPr>
              <w:t xml:space="preserve"> </w:t>
            </w:r>
            <w:r w:rsidRPr="00BE1B7B">
              <w:rPr>
                <w:sz w:val="24"/>
              </w:rPr>
              <w:t>Clauses:</w:t>
            </w:r>
          </w:p>
          <w:p w14:paraId="6A1D580C" w14:textId="347EB449" w:rsidR="004A2CEB" w:rsidRDefault="004A2CEB" w:rsidP="009B60EF">
            <w:pPr>
              <w:keepLines/>
              <w:ind w:left="113" w:right="113"/>
              <w:rPr>
                <w:sz w:val="24"/>
              </w:rPr>
            </w:pPr>
            <w:r>
              <w:rPr>
                <w:sz w:val="24"/>
              </w:rPr>
              <w:t>Schedule 22 – Common Connections Charging Methodology</w:t>
            </w:r>
          </w:p>
          <w:p w14:paraId="3AE19766" w14:textId="63B99B29" w:rsidR="005D5945" w:rsidRPr="00BE1B7B" w:rsidRDefault="00367AA0" w:rsidP="009B60EF">
            <w:pPr>
              <w:keepLines/>
              <w:ind w:left="113" w:right="113"/>
              <w:rPr>
                <w:sz w:val="24"/>
              </w:rPr>
            </w:pPr>
            <w:sdt>
              <w:sdtPr>
                <w:rPr>
                  <w:rStyle w:val="BodyText3Char"/>
                  <w:rFonts w:ascii="Arial" w:eastAsia="MS Gothic" w:hAnsi="Arial" w:cs="Arial"/>
                  <w:sz w:val="24"/>
                  <w:szCs w:val="20"/>
                </w:rPr>
                <w:alias w:val="Impacted Clauses"/>
                <w:tag w:val="Impacted Clauses"/>
                <w:id w:val="2064747983"/>
                <w:placeholder>
                  <w:docPart w:val="48F78917E2C3406DAC661AD279CDBBD4"/>
                </w:placeholder>
              </w:sdtPr>
              <w:sdtEndPr>
                <w:rPr>
                  <w:rStyle w:val="DefaultParagraphFont"/>
                  <w:rFonts w:eastAsia="Times New Roman"/>
                  <w:color w:val="000000" w:themeColor="text1"/>
                  <w:sz w:val="32"/>
                  <w:szCs w:val="32"/>
                </w:rPr>
              </w:sdtEndPr>
              <w:sdtContent>
                <w:sdt>
                  <w:sdtPr>
                    <w:rPr>
                      <w:rStyle w:val="BodyText3Char"/>
                      <w:rFonts w:eastAsia="MS Gothic"/>
                    </w:rPr>
                    <w:alias w:val="Impacted Clauses"/>
                    <w:tag w:val="Impacted Clauses"/>
                    <w:id w:val="139848024"/>
                    <w:placeholder>
                      <w:docPart w:val="8912DFFC84BC42FA973C89E6B76EB99B"/>
                    </w:placeholder>
                  </w:sdtPr>
                  <w:sdtEndPr>
                    <w:rPr>
                      <w:rStyle w:val="DefaultParagraphFont"/>
                      <w:rFonts w:ascii="Arial" w:eastAsia="Times New Roman" w:hAnsi="Arial" w:cs="Arial"/>
                      <w:color w:val="000000" w:themeColor="text1"/>
                      <w:sz w:val="24"/>
                      <w:szCs w:val="24"/>
                    </w:rPr>
                  </w:sdtEndPr>
                  <w:sdtContent>
                    <w:r w:rsidR="004C17F9" w:rsidRPr="00A92A7B">
                      <w:rPr>
                        <w:rStyle w:val="BodyText3Char"/>
                        <w:rFonts w:ascii="Arial" w:eastAsia="MS Gothic" w:hAnsi="Arial" w:cs="Arial"/>
                        <w:sz w:val="24"/>
                        <w:szCs w:val="20"/>
                      </w:rPr>
                      <w:t xml:space="preserve">Schedule </w:t>
                    </w:r>
                    <w:r w:rsidR="007E7783">
                      <w:rPr>
                        <w:rStyle w:val="BodyText3Char"/>
                        <w:rFonts w:ascii="Arial" w:eastAsia="MS Gothic" w:hAnsi="Arial" w:cs="Arial"/>
                        <w:sz w:val="24"/>
                        <w:szCs w:val="20"/>
                      </w:rPr>
                      <w:t>32 – Residual Charging Bands</w:t>
                    </w:r>
                  </w:sdtContent>
                </w:sdt>
              </w:sdtContent>
            </w:sdt>
          </w:p>
        </w:tc>
      </w:tr>
      <w:tr w:rsidR="009E48CC" w:rsidRPr="00EB32BB" w14:paraId="2C29CC6D"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val="restart"/>
            <w:tcBorders>
              <w:top w:val="single" w:sz="4" w:space="0" w:color="4A8958"/>
              <w:left w:val="single" w:sz="4" w:space="0" w:color="4A8958"/>
              <w:bottom w:val="single" w:sz="4" w:space="0" w:color="4A8958"/>
              <w:right w:val="single" w:sz="4" w:space="0" w:color="4A8958"/>
            </w:tcBorders>
            <w:shd w:val="clear" w:color="auto" w:fill="auto"/>
          </w:tcPr>
          <w:p w14:paraId="3D3595C7" w14:textId="77777777" w:rsidR="009E48CC" w:rsidRPr="00AF7BAC" w:rsidRDefault="009E48CC" w:rsidP="00AF7BAC">
            <w:pPr>
              <w:pStyle w:val="Contents03"/>
              <w:rPr>
                <w:b/>
                <w:bCs w:val="0"/>
                <w:noProof/>
              </w:rPr>
            </w:pPr>
            <w:r w:rsidRPr="00AF7BAC">
              <w:rPr>
                <w:b/>
                <w:bCs w:val="0"/>
                <w:noProof/>
              </w:rPr>
              <w:lastRenderedPageBreak/>
              <w:t>Contents</w:t>
            </w:r>
          </w:p>
          <w:p w14:paraId="63B647E5" w14:textId="36B7681C" w:rsidR="004C6A9B" w:rsidRDefault="004C6A9B">
            <w:pPr>
              <w:pStyle w:val="TOC1"/>
              <w:framePr w:wrap="around"/>
              <w:rPr>
                <w:rFonts w:asciiTheme="minorHAnsi" w:eastAsiaTheme="minorEastAsia" w:hAnsiTheme="minorHAnsi" w:cstheme="minorBidi"/>
                <w:b w:val="0"/>
                <w:bCs w:val="0"/>
                <w:color w:val="auto"/>
                <w:sz w:val="22"/>
                <w:szCs w:val="22"/>
              </w:rPr>
            </w:pPr>
            <w:r>
              <w:rPr>
                <w:rFonts w:cs="Arial"/>
              </w:rPr>
              <w:fldChar w:fldCharType="begin"/>
            </w:r>
            <w:r>
              <w:rPr>
                <w:rFonts w:cs="Arial"/>
              </w:rPr>
              <w:instrText xml:space="preserve"> TOC \h \z \t "Heading 01,1,Heading 02,1,Heading 03,1,Heading 04,1,GS Body Para with numb,2" </w:instrText>
            </w:r>
            <w:r>
              <w:rPr>
                <w:rFonts w:cs="Arial"/>
              </w:rPr>
              <w:fldChar w:fldCharType="separate"/>
            </w:r>
            <w:hyperlink w:anchor="_Toc88488799" w:history="1">
              <w:r w:rsidRPr="00537920">
                <w:rPr>
                  <w:rStyle w:val="Hyperlink"/>
                </w:rPr>
                <w:t>1</w:t>
              </w:r>
              <w:r>
                <w:rPr>
                  <w:rFonts w:asciiTheme="minorHAnsi" w:eastAsiaTheme="minorEastAsia" w:hAnsiTheme="minorHAnsi" w:cstheme="minorBidi"/>
                  <w:b w:val="0"/>
                  <w:bCs w:val="0"/>
                  <w:color w:val="auto"/>
                  <w:sz w:val="22"/>
                  <w:szCs w:val="22"/>
                </w:rPr>
                <w:tab/>
              </w:r>
              <w:r w:rsidRPr="00537920">
                <w:rPr>
                  <w:rStyle w:val="Hyperlink"/>
                </w:rPr>
                <w:t>Summary</w:t>
              </w:r>
              <w:r>
                <w:rPr>
                  <w:webHidden/>
                </w:rPr>
                <w:tab/>
              </w:r>
              <w:r>
                <w:rPr>
                  <w:webHidden/>
                </w:rPr>
                <w:fldChar w:fldCharType="begin"/>
              </w:r>
              <w:r>
                <w:rPr>
                  <w:webHidden/>
                </w:rPr>
                <w:instrText xml:space="preserve"> PAGEREF _Toc88488799 \h </w:instrText>
              </w:r>
              <w:r>
                <w:rPr>
                  <w:webHidden/>
                </w:rPr>
              </w:r>
              <w:r>
                <w:rPr>
                  <w:webHidden/>
                </w:rPr>
                <w:fldChar w:fldCharType="separate"/>
              </w:r>
              <w:r w:rsidR="00076EFC">
                <w:rPr>
                  <w:webHidden/>
                </w:rPr>
                <w:t>3</w:t>
              </w:r>
              <w:r>
                <w:rPr>
                  <w:webHidden/>
                </w:rPr>
                <w:fldChar w:fldCharType="end"/>
              </w:r>
            </w:hyperlink>
          </w:p>
          <w:p w14:paraId="62F10A42" w14:textId="2A35168F"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0" w:history="1">
              <w:r w:rsidR="004C6A9B" w:rsidRPr="00537920">
                <w:rPr>
                  <w:rStyle w:val="Hyperlink"/>
                </w:rPr>
                <w:t>2</w:t>
              </w:r>
              <w:r w:rsidR="004C6A9B">
                <w:rPr>
                  <w:rFonts w:asciiTheme="minorHAnsi" w:eastAsiaTheme="minorEastAsia" w:hAnsiTheme="minorHAnsi" w:cstheme="minorBidi"/>
                  <w:b w:val="0"/>
                  <w:bCs w:val="0"/>
                  <w:color w:val="auto"/>
                  <w:sz w:val="22"/>
                  <w:szCs w:val="22"/>
                </w:rPr>
                <w:tab/>
              </w:r>
              <w:r w:rsidR="004C6A9B" w:rsidRPr="00537920">
                <w:rPr>
                  <w:rStyle w:val="Hyperlink"/>
                </w:rPr>
                <w:t>Governance</w:t>
              </w:r>
              <w:r w:rsidR="004C6A9B">
                <w:rPr>
                  <w:webHidden/>
                </w:rPr>
                <w:tab/>
              </w:r>
              <w:r w:rsidR="004C6A9B">
                <w:rPr>
                  <w:webHidden/>
                </w:rPr>
                <w:fldChar w:fldCharType="begin"/>
              </w:r>
              <w:r w:rsidR="004C6A9B">
                <w:rPr>
                  <w:webHidden/>
                </w:rPr>
                <w:instrText xml:space="preserve"> PAGEREF _Toc88488800 \h </w:instrText>
              </w:r>
              <w:r w:rsidR="004C6A9B">
                <w:rPr>
                  <w:webHidden/>
                </w:rPr>
              </w:r>
              <w:r w:rsidR="004C6A9B">
                <w:rPr>
                  <w:webHidden/>
                </w:rPr>
                <w:fldChar w:fldCharType="separate"/>
              </w:r>
              <w:r w:rsidR="00076EFC">
                <w:rPr>
                  <w:webHidden/>
                </w:rPr>
                <w:t>5</w:t>
              </w:r>
              <w:r w:rsidR="004C6A9B">
                <w:rPr>
                  <w:webHidden/>
                </w:rPr>
                <w:fldChar w:fldCharType="end"/>
              </w:r>
            </w:hyperlink>
          </w:p>
          <w:p w14:paraId="54237FA9" w14:textId="4988A569"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1" w:history="1">
              <w:r w:rsidR="004C6A9B" w:rsidRPr="00537920">
                <w:rPr>
                  <w:rStyle w:val="Hyperlink"/>
                </w:rPr>
                <w:t>3</w:t>
              </w:r>
              <w:r w:rsidR="004C6A9B">
                <w:rPr>
                  <w:rFonts w:asciiTheme="minorHAnsi" w:eastAsiaTheme="minorEastAsia" w:hAnsiTheme="minorHAnsi" w:cstheme="minorBidi"/>
                  <w:b w:val="0"/>
                  <w:bCs w:val="0"/>
                  <w:color w:val="auto"/>
                  <w:sz w:val="22"/>
                  <w:szCs w:val="22"/>
                </w:rPr>
                <w:tab/>
              </w:r>
              <w:r w:rsidR="004C6A9B" w:rsidRPr="00537920">
                <w:rPr>
                  <w:rStyle w:val="Hyperlink"/>
                </w:rPr>
                <w:t>Why</w:t>
              </w:r>
              <w:r w:rsidR="00B7388B">
                <w:rPr>
                  <w:rStyle w:val="Hyperlink"/>
                </w:rPr>
                <w:t xml:space="preserve"> </w:t>
              </w:r>
              <w:r w:rsidR="004C6A9B" w:rsidRPr="00537920">
                <w:rPr>
                  <w:rStyle w:val="Hyperlink"/>
                </w:rPr>
                <w:t>Change?</w:t>
              </w:r>
              <w:r w:rsidR="004C6A9B">
                <w:rPr>
                  <w:webHidden/>
                </w:rPr>
                <w:tab/>
              </w:r>
              <w:r w:rsidR="004C6A9B">
                <w:rPr>
                  <w:webHidden/>
                </w:rPr>
                <w:fldChar w:fldCharType="begin"/>
              </w:r>
              <w:r w:rsidR="004C6A9B">
                <w:rPr>
                  <w:webHidden/>
                </w:rPr>
                <w:instrText xml:space="preserve"> PAGEREF _Toc88488801 \h </w:instrText>
              </w:r>
              <w:r w:rsidR="004C6A9B">
                <w:rPr>
                  <w:webHidden/>
                </w:rPr>
              </w:r>
              <w:r w:rsidR="004C6A9B">
                <w:rPr>
                  <w:webHidden/>
                </w:rPr>
                <w:fldChar w:fldCharType="separate"/>
              </w:r>
              <w:r w:rsidR="00076EFC">
                <w:rPr>
                  <w:webHidden/>
                </w:rPr>
                <w:t>5</w:t>
              </w:r>
              <w:r w:rsidR="004C6A9B">
                <w:rPr>
                  <w:webHidden/>
                </w:rPr>
                <w:fldChar w:fldCharType="end"/>
              </w:r>
            </w:hyperlink>
          </w:p>
          <w:p w14:paraId="70E54FA2" w14:textId="6DF24A84"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2" w:history="1">
              <w:r w:rsidR="004C6A9B" w:rsidRPr="00537920">
                <w:rPr>
                  <w:rStyle w:val="Hyperlink"/>
                </w:rPr>
                <w:t>4</w:t>
              </w:r>
              <w:r w:rsidR="004C6A9B">
                <w:rPr>
                  <w:rFonts w:asciiTheme="minorHAnsi" w:eastAsiaTheme="minorEastAsia" w:hAnsiTheme="minorHAnsi" w:cstheme="minorBidi"/>
                  <w:b w:val="0"/>
                  <w:bCs w:val="0"/>
                  <w:color w:val="auto"/>
                  <w:sz w:val="22"/>
                  <w:szCs w:val="22"/>
                </w:rPr>
                <w:tab/>
              </w:r>
              <w:r w:rsidR="004C6A9B" w:rsidRPr="00537920">
                <w:rPr>
                  <w:rStyle w:val="Hyperlink"/>
                </w:rPr>
                <w:t>Working</w:t>
              </w:r>
              <w:r w:rsidR="00B7388B">
                <w:rPr>
                  <w:rStyle w:val="Hyperlink"/>
                </w:rPr>
                <w:t xml:space="preserve"> </w:t>
              </w:r>
              <w:r w:rsidR="004C6A9B" w:rsidRPr="00537920">
                <w:rPr>
                  <w:rStyle w:val="Hyperlink"/>
                </w:rPr>
                <w:t>Group</w:t>
              </w:r>
              <w:r w:rsidR="00B7388B">
                <w:rPr>
                  <w:rStyle w:val="Hyperlink"/>
                </w:rPr>
                <w:t xml:space="preserve"> </w:t>
              </w:r>
              <w:r w:rsidR="004C6A9B" w:rsidRPr="00537920">
                <w:rPr>
                  <w:rStyle w:val="Hyperlink"/>
                </w:rPr>
                <w:t>Assessment</w:t>
              </w:r>
              <w:r w:rsidR="004C6A9B">
                <w:rPr>
                  <w:webHidden/>
                </w:rPr>
                <w:tab/>
              </w:r>
              <w:r w:rsidR="004C6A9B">
                <w:rPr>
                  <w:webHidden/>
                </w:rPr>
                <w:fldChar w:fldCharType="begin"/>
              </w:r>
              <w:r w:rsidR="004C6A9B">
                <w:rPr>
                  <w:webHidden/>
                </w:rPr>
                <w:instrText xml:space="preserve"> PAGEREF _Toc88488802 \h </w:instrText>
              </w:r>
              <w:r w:rsidR="004C6A9B">
                <w:rPr>
                  <w:webHidden/>
                </w:rPr>
              </w:r>
              <w:r w:rsidR="004C6A9B">
                <w:rPr>
                  <w:webHidden/>
                </w:rPr>
                <w:fldChar w:fldCharType="separate"/>
              </w:r>
              <w:r w:rsidR="00076EFC">
                <w:rPr>
                  <w:webHidden/>
                </w:rPr>
                <w:t>7</w:t>
              </w:r>
              <w:r w:rsidR="004C6A9B">
                <w:rPr>
                  <w:webHidden/>
                </w:rPr>
                <w:fldChar w:fldCharType="end"/>
              </w:r>
            </w:hyperlink>
          </w:p>
          <w:p w14:paraId="282CE081" w14:textId="3A7E9540"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3" w:history="1">
              <w:r w:rsidR="004C6A9B" w:rsidRPr="00537920">
                <w:rPr>
                  <w:rStyle w:val="Hyperlink"/>
                </w:rPr>
                <w:t>5</w:t>
              </w:r>
              <w:r w:rsidR="004C6A9B">
                <w:rPr>
                  <w:rFonts w:asciiTheme="minorHAnsi" w:eastAsiaTheme="minorEastAsia" w:hAnsiTheme="minorHAnsi" w:cstheme="minorBidi"/>
                  <w:b w:val="0"/>
                  <w:bCs w:val="0"/>
                  <w:color w:val="auto"/>
                  <w:sz w:val="22"/>
                  <w:szCs w:val="22"/>
                </w:rPr>
                <w:tab/>
              </w:r>
              <w:r w:rsidR="004C6A9B" w:rsidRPr="00537920">
                <w:rPr>
                  <w:rStyle w:val="Hyperlink"/>
                </w:rPr>
                <w:t>Summary</w:t>
              </w:r>
              <w:r w:rsidR="00B7388B">
                <w:rPr>
                  <w:rStyle w:val="Hyperlink"/>
                </w:rPr>
                <w:t xml:space="preserve"> </w:t>
              </w:r>
              <w:r w:rsidR="004C6A9B" w:rsidRPr="00537920">
                <w:rPr>
                  <w:rStyle w:val="Hyperlink"/>
                </w:rPr>
                <w:t>of</w:t>
              </w:r>
              <w:r w:rsidR="00B7388B">
                <w:rPr>
                  <w:rStyle w:val="Hyperlink"/>
                </w:rPr>
                <w:t xml:space="preserve"> </w:t>
              </w:r>
              <w:r w:rsidR="004C6A9B" w:rsidRPr="00537920">
                <w:rPr>
                  <w:rStyle w:val="Hyperlink"/>
                </w:rPr>
                <w:t>Consultation</w:t>
              </w:r>
              <w:r w:rsidR="00B7388B">
                <w:rPr>
                  <w:rStyle w:val="Hyperlink"/>
                </w:rPr>
                <w:t xml:space="preserve"> </w:t>
              </w:r>
              <w:r w:rsidR="004C6A9B" w:rsidRPr="00537920">
                <w:rPr>
                  <w:rStyle w:val="Hyperlink"/>
                </w:rPr>
                <w:t>and</w:t>
              </w:r>
              <w:r w:rsidR="00B7388B">
                <w:rPr>
                  <w:rStyle w:val="Hyperlink"/>
                </w:rPr>
                <w:t xml:space="preserve"> </w:t>
              </w:r>
              <w:r w:rsidR="004C6A9B" w:rsidRPr="00537920">
                <w:rPr>
                  <w:rStyle w:val="Hyperlink"/>
                </w:rPr>
                <w:t>Responses</w:t>
              </w:r>
              <w:r w:rsidR="004C6A9B">
                <w:rPr>
                  <w:webHidden/>
                </w:rPr>
                <w:tab/>
              </w:r>
              <w:r w:rsidR="004C6A9B">
                <w:rPr>
                  <w:webHidden/>
                </w:rPr>
                <w:fldChar w:fldCharType="begin"/>
              </w:r>
              <w:r w:rsidR="004C6A9B">
                <w:rPr>
                  <w:webHidden/>
                </w:rPr>
                <w:instrText xml:space="preserve"> PAGEREF _Toc88488803 \h </w:instrText>
              </w:r>
              <w:r w:rsidR="004C6A9B">
                <w:rPr>
                  <w:webHidden/>
                </w:rPr>
              </w:r>
              <w:r w:rsidR="004C6A9B">
                <w:rPr>
                  <w:webHidden/>
                </w:rPr>
                <w:fldChar w:fldCharType="separate"/>
              </w:r>
              <w:r w:rsidR="00076EFC">
                <w:rPr>
                  <w:webHidden/>
                </w:rPr>
                <w:t>11</w:t>
              </w:r>
              <w:r w:rsidR="004C6A9B">
                <w:rPr>
                  <w:webHidden/>
                </w:rPr>
                <w:fldChar w:fldCharType="end"/>
              </w:r>
            </w:hyperlink>
          </w:p>
          <w:p w14:paraId="5CAD8902" w14:textId="53F3FE6F"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4" w:history="1">
              <w:r w:rsidR="004C6A9B" w:rsidRPr="00537920">
                <w:rPr>
                  <w:rStyle w:val="Hyperlink"/>
                </w:rPr>
                <w:t>6</w:t>
              </w:r>
              <w:r w:rsidR="004C6A9B">
                <w:rPr>
                  <w:rFonts w:asciiTheme="minorHAnsi" w:eastAsiaTheme="minorEastAsia" w:hAnsiTheme="minorHAnsi" w:cstheme="minorBidi"/>
                  <w:b w:val="0"/>
                  <w:bCs w:val="0"/>
                  <w:color w:val="auto"/>
                  <w:sz w:val="22"/>
                  <w:szCs w:val="22"/>
                </w:rPr>
                <w:tab/>
              </w:r>
              <w:r w:rsidR="004C6A9B" w:rsidRPr="00537920">
                <w:rPr>
                  <w:rStyle w:val="Hyperlink"/>
                </w:rPr>
                <w:t>Working</w:t>
              </w:r>
              <w:r w:rsidR="00B7388B">
                <w:rPr>
                  <w:rStyle w:val="Hyperlink"/>
                </w:rPr>
                <w:t xml:space="preserve"> </w:t>
              </w:r>
              <w:r w:rsidR="004C6A9B" w:rsidRPr="00537920">
                <w:rPr>
                  <w:rStyle w:val="Hyperlink"/>
                </w:rPr>
                <w:t>Group</w:t>
              </w:r>
              <w:r w:rsidR="00B7388B">
                <w:rPr>
                  <w:rStyle w:val="Hyperlink"/>
                </w:rPr>
                <w:t xml:space="preserve"> </w:t>
              </w:r>
              <w:r w:rsidR="004C6A9B" w:rsidRPr="00537920">
                <w:rPr>
                  <w:rStyle w:val="Hyperlink"/>
                </w:rPr>
                <w:t>Conclusions</w:t>
              </w:r>
              <w:r w:rsidR="00B7388B">
                <w:rPr>
                  <w:rStyle w:val="Hyperlink"/>
                </w:rPr>
                <w:t xml:space="preserve"> </w:t>
              </w:r>
              <w:r w:rsidR="004C6A9B" w:rsidRPr="00537920">
                <w:rPr>
                  <w:rStyle w:val="Hyperlink"/>
                </w:rPr>
                <w:t>&amp;</w:t>
              </w:r>
              <w:r w:rsidR="00B7388B">
                <w:rPr>
                  <w:rStyle w:val="Hyperlink"/>
                </w:rPr>
                <w:t xml:space="preserve"> </w:t>
              </w:r>
              <w:r w:rsidR="004C6A9B" w:rsidRPr="00537920">
                <w:rPr>
                  <w:rStyle w:val="Hyperlink"/>
                </w:rPr>
                <w:t>Final</w:t>
              </w:r>
              <w:r w:rsidR="00B7388B">
                <w:rPr>
                  <w:rStyle w:val="Hyperlink"/>
                </w:rPr>
                <w:t xml:space="preserve"> </w:t>
              </w:r>
              <w:r w:rsidR="004C6A9B" w:rsidRPr="00537920">
                <w:rPr>
                  <w:rStyle w:val="Hyperlink"/>
                </w:rPr>
                <w:t>Solution</w:t>
              </w:r>
              <w:r w:rsidR="004C6A9B">
                <w:rPr>
                  <w:webHidden/>
                </w:rPr>
                <w:tab/>
              </w:r>
              <w:r w:rsidR="004C6A9B">
                <w:rPr>
                  <w:webHidden/>
                </w:rPr>
                <w:fldChar w:fldCharType="begin"/>
              </w:r>
              <w:r w:rsidR="004C6A9B">
                <w:rPr>
                  <w:webHidden/>
                </w:rPr>
                <w:instrText xml:space="preserve"> PAGEREF _Toc88488804 \h </w:instrText>
              </w:r>
              <w:r w:rsidR="004C6A9B">
                <w:rPr>
                  <w:webHidden/>
                </w:rPr>
              </w:r>
              <w:r w:rsidR="004C6A9B">
                <w:rPr>
                  <w:webHidden/>
                </w:rPr>
                <w:fldChar w:fldCharType="separate"/>
              </w:r>
              <w:r w:rsidR="00076EFC">
                <w:rPr>
                  <w:webHidden/>
                </w:rPr>
                <w:t>15</w:t>
              </w:r>
              <w:r w:rsidR="004C6A9B">
                <w:rPr>
                  <w:webHidden/>
                </w:rPr>
                <w:fldChar w:fldCharType="end"/>
              </w:r>
            </w:hyperlink>
          </w:p>
          <w:p w14:paraId="086DEAE5" w14:textId="65DC04D2"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5" w:history="1">
              <w:r w:rsidR="004C6A9B" w:rsidRPr="00537920">
                <w:rPr>
                  <w:rStyle w:val="Hyperlink"/>
                </w:rPr>
                <w:t>7</w:t>
              </w:r>
              <w:r w:rsidR="004C6A9B">
                <w:rPr>
                  <w:rFonts w:asciiTheme="minorHAnsi" w:eastAsiaTheme="minorEastAsia" w:hAnsiTheme="minorHAnsi" w:cstheme="minorBidi"/>
                  <w:b w:val="0"/>
                  <w:bCs w:val="0"/>
                  <w:color w:val="auto"/>
                  <w:sz w:val="22"/>
                  <w:szCs w:val="22"/>
                </w:rPr>
                <w:tab/>
              </w:r>
              <w:r w:rsidR="004C6A9B" w:rsidRPr="00537920">
                <w:rPr>
                  <w:rStyle w:val="Hyperlink"/>
                </w:rPr>
                <w:t>Legal</w:t>
              </w:r>
              <w:r w:rsidR="00B7388B">
                <w:rPr>
                  <w:rStyle w:val="Hyperlink"/>
                </w:rPr>
                <w:t xml:space="preserve"> </w:t>
              </w:r>
              <w:r w:rsidR="004C6A9B" w:rsidRPr="00537920">
                <w:rPr>
                  <w:rStyle w:val="Hyperlink"/>
                </w:rPr>
                <w:t>Text</w:t>
              </w:r>
              <w:r w:rsidR="004C6A9B">
                <w:rPr>
                  <w:webHidden/>
                </w:rPr>
                <w:tab/>
              </w:r>
              <w:r w:rsidR="004C6A9B">
                <w:rPr>
                  <w:webHidden/>
                </w:rPr>
                <w:fldChar w:fldCharType="begin"/>
              </w:r>
              <w:r w:rsidR="004C6A9B">
                <w:rPr>
                  <w:webHidden/>
                </w:rPr>
                <w:instrText xml:space="preserve"> PAGEREF _Toc88488805 \h </w:instrText>
              </w:r>
              <w:r w:rsidR="004C6A9B">
                <w:rPr>
                  <w:webHidden/>
                </w:rPr>
              </w:r>
              <w:r w:rsidR="004C6A9B">
                <w:rPr>
                  <w:webHidden/>
                </w:rPr>
                <w:fldChar w:fldCharType="separate"/>
              </w:r>
              <w:r w:rsidR="00076EFC">
                <w:rPr>
                  <w:webHidden/>
                </w:rPr>
                <w:t>16</w:t>
              </w:r>
              <w:r w:rsidR="004C6A9B">
                <w:rPr>
                  <w:webHidden/>
                </w:rPr>
                <w:fldChar w:fldCharType="end"/>
              </w:r>
            </w:hyperlink>
          </w:p>
          <w:p w14:paraId="7BD90C82" w14:textId="787FB2CE"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6" w:history="1">
              <w:r w:rsidR="004C6A9B" w:rsidRPr="00537920">
                <w:rPr>
                  <w:rStyle w:val="Hyperlink"/>
                </w:rPr>
                <w:t>8</w:t>
              </w:r>
              <w:r w:rsidR="004C6A9B">
                <w:rPr>
                  <w:rFonts w:asciiTheme="minorHAnsi" w:eastAsiaTheme="minorEastAsia" w:hAnsiTheme="minorHAnsi" w:cstheme="minorBidi"/>
                  <w:b w:val="0"/>
                  <w:bCs w:val="0"/>
                  <w:color w:val="auto"/>
                  <w:sz w:val="22"/>
                  <w:szCs w:val="22"/>
                </w:rPr>
                <w:tab/>
              </w:r>
              <w:r w:rsidR="004C6A9B" w:rsidRPr="00537920">
                <w:rPr>
                  <w:rStyle w:val="Hyperlink"/>
                </w:rPr>
                <w:t>Relevant</w:t>
              </w:r>
              <w:r w:rsidR="00B7388B">
                <w:rPr>
                  <w:rStyle w:val="Hyperlink"/>
                </w:rPr>
                <w:t xml:space="preserve"> </w:t>
              </w:r>
              <w:r w:rsidR="004C6A9B" w:rsidRPr="00537920">
                <w:rPr>
                  <w:rStyle w:val="Hyperlink"/>
                </w:rPr>
                <w:t>Objectives</w:t>
              </w:r>
              <w:r w:rsidR="004C6A9B">
                <w:rPr>
                  <w:webHidden/>
                </w:rPr>
                <w:tab/>
              </w:r>
              <w:r w:rsidR="004C6A9B">
                <w:rPr>
                  <w:webHidden/>
                </w:rPr>
                <w:fldChar w:fldCharType="begin"/>
              </w:r>
              <w:r w:rsidR="004C6A9B">
                <w:rPr>
                  <w:webHidden/>
                </w:rPr>
                <w:instrText xml:space="preserve"> PAGEREF _Toc88488806 \h </w:instrText>
              </w:r>
              <w:r w:rsidR="004C6A9B">
                <w:rPr>
                  <w:webHidden/>
                </w:rPr>
              </w:r>
              <w:r w:rsidR="004C6A9B">
                <w:rPr>
                  <w:webHidden/>
                </w:rPr>
                <w:fldChar w:fldCharType="separate"/>
              </w:r>
              <w:r w:rsidR="00076EFC">
                <w:rPr>
                  <w:webHidden/>
                </w:rPr>
                <w:t>17</w:t>
              </w:r>
              <w:r w:rsidR="004C6A9B">
                <w:rPr>
                  <w:webHidden/>
                </w:rPr>
                <w:fldChar w:fldCharType="end"/>
              </w:r>
            </w:hyperlink>
          </w:p>
          <w:p w14:paraId="50C1D5B4" w14:textId="2C8324DE"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7" w:history="1">
              <w:r w:rsidR="004C6A9B" w:rsidRPr="00537920">
                <w:rPr>
                  <w:rStyle w:val="Hyperlink"/>
                </w:rPr>
                <w:t>9</w:t>
              </w:r>
              <w:r w:rsidR="004C6A9B">
                <w:rPr>
                  <w:rFonts w:asciiTheme="minorHAnsi" w:eastAsiaTheme="minorEastAsia" w:hAnsiTheme="minorHAnsi" w:cstheme="minorBidi"/>
                  <w:b w:val="0"/>
                  <w:bCs w:val="0"/>
                  <w:color w:val="auto"/>
                  <w:sz w:val="22"/>
                  <w:szCs w:val="22"/>
                </w:rPr>
                <w:tab/>
              </w:r>
              <w:r w:rsidR="004C6A9B" w:rsidRPr="00537920">
                <w:rPr>
                  <w:rStyle w:val="Hyperlink"/>
                </w:rPr>
                <w:t>Code</w:t>
              </w:r>
              <w:r w:rsidR="00B7388B">
                <w:rPr>
                  <w:rStyle w:val="Hyperlink"/>
                </w:rPr>
                <w:t xml:space="preserve"> </w:t>
              </w:r>
              <w:r w:rsidR="004C6A9B" w:rsidRPr="00537920">
                <w:rPr>
                  <w:rStyle w:val="Hyperlink"/>
                </w:rPr>
                <w:t>Specific</w:t>
              </w:r>
              <w:r w:rsidR="00B7388B">
                <w:rPr>
                  <w:rStyle w:val="Hyperlink"/>
                </w:rPr>
                <w:t xml:space="preserve"> </w:t>
              </w:r>
              <w:r w:rsidR="004C6A9B" w:rsidRPr="00537920">
                <w:rPr>
                  <w:rStyle w:val="Hyperlink"/>
                </w:rPr>
                <w:t>Matters</w:t>
              </w:r>
              <w:r w:rsidR="004C6A9B">
                <w:rPr>
                  <w:webHidden/>
                </w:rPr>
                <w:tab/>
              </w:r>
              <w:r w:rsidR="004C6A9B">
                <w:rPr>
                  <w:webHidden/>
                </w:rPr>
                <w:fldChar w:fldCharType="begin"/>
              </w:r>
              <w:r w:rsidR="004C6A9B">
                <w:rPr>
                  <w:webHidden/>
                </w:rPr>
                <w:instrText xml:space="preserve"> PAGEREF _Toc88488807 \h </w:instrText>
              </w:r>
              <w:r w:rsidR="004C6A9B">
                <w:rPr>
                  <w:webHidden/>
                </w:rPr>
              </w:r>
              <w:r w:rsidR="004C6A9B">
                <w:rPr>
                  <w:webHidden/>
                </w:rPr>
                <w:fldChar w:fldCharType="separate"/>
              </w:r>
              <w:r w:rsidR="00076EFC">
                <w:rPr>
                  <w:webHidden/>
                </w:rPr>
                <w:t>17</w:t>
              </w:r>
              <w:r w:rsidR="004C6A9B">
                <w:rPr>
                  <w:webHidden/>
                </w:rPr>
                <w:fldChar w:fldCharType="end"/>
              </w:r>
            </w:hyperlink>
          </w:p>
          <w:p w14:paraId="37304B9C" w14:textId="6F480BF9"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8" w:history="1">
              <w:r w:rsidR="004C6A9B" w:rsidRPr="00537920">
                <w:rPr>
                  <w:rStyle w:val="Hyperlink"/>
                </w:rPr>
                <w:t>10</w:t>
              </w:r>
              <w:r w:rsidR="004C6A9B">
                <w:rPr>
                  <w:rFonts w:asciiTheme="minorHAnsi" w:eastAsiaTheme="minorEastAsia" w:hAnsiTheme="minorHAnsi" w:cstheme="minorBidi"/>
                  <w:b w:val="0"/>
                  <w:bCs w:val="0"/>
                  <w:color w:val="auto"/>
                  <w:sz w:val="22"/>
                  <w:szCs w:val="22"/>
                </w:rPr>
                <w:tab/>
              </w:r>
              <w:r w:rsidR="004C6A9B" w:rsidRPr="00537920">
                <w:rPr>
                  <w:rStyle w:val="Hyperlink"/>
                </w:rPr>
                <w:t>Impacts</w:t>
              </w:r>
              <w:r w:rsidR="00B7388B">
                <w:rPr>
                  <w:rStyle w:val="Hyperlink"/>
                </w:rPr>
                <w:t xml:space="preserve"> </w:t>
              </w:r>
              <w:r w:rsidR="004C6A9B" w:rsidRPr="00537920">
                <w:rPr>
                  <w:rStyle w:val="Hyperlink"/>
                </w:rPr>
                <w:t>&amp;</w:t>
              </w:r>
              <w:r w:rsidR="00B7388B">
                <w:rPr>
                  <w:rStyle w:val="Hyperlink"/>
                </w:rPr>
                <w:t xml:space="preserve"> </w:t>
              </w:r>
              <w:r w:rsidR="004C6A9B" w:rsidRPr="00537920">
                <w:rPr>
                  <w:rStyle w:val="Hyperlink"/>
                </w:rPr>
                <w:t>Other</w:t>
              </w:r>
              <w:r w:rsidR="00B7388B">
                <w:rPr>
                  <w:rStyle w:val="Hyperlink"/>
                </w:rPr>
                <w:t xml:space="preserve"> </w:t>
              </w:r>
              <w:r w:rsidR="004C6A9B" w:rsidRPr="00537920">
                <w:rPr>
                  <w:rStyle w:val="Hyperlink"/>
                </w:rPr>
                <w:t>Considerations</w:t>
              </w:r>
              <w:r w:rsidR="004C6A9B">
                <w:rPr>
                  <w:webHidden/>
                </w:rPr>
                <w:tab/>
              </w:r>
              <w:r w:rsidR="004C6A9B">
                <w:rPr>
                  <w:webHidden/>
                </w:rPr>
                <w:fldChar w:fldCharType="begin"/>
              </w:r>
              <w:r w:rsidR="004C6A9B">
                <w:rPr>
                  <w:webHidden/>
                </w:rPr>
                <w:instrText xml:space="preserve"> PAGEREF _Toc88488808 \h </w:instrText>
              </w:r>
              <w:r w:rsidR="004C6A9B">
                <w:rPr>
                  <w:webHidden/>
                </w:rPr>
              </w:r>
              <w:r w:rsidR="004C6A9B">
                <w:rPr>
                  <w:webHidden/>
                </w:rPr>
                <w:fldChar w:fldCharType="separate"/>
              </w:r>
              <w:r w:rsidR="00076EFC">
                <w:rPr>
                  <w:webHidden/>
                </w:rPr>
                <w:t>18</w:t>
              </w:r>
              <w:r w:rsidR="004C6A9B">
                <w:rPr>
                  <w:webHidden/>
                </w:rPr>
                <w:fldChar w:fldCharType="end"/>
              </w:r>
            </w:hyperlink>
          </w:p>
          <w:p w14:paraId="52D164C1" w14:textId="388CBD1C"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09" w:history="1">
              <w:r w:rsidR="004C6A9B" w:rsidRPr="00537920">
                <w:rPr>
                  <w:rStyle w:val="Hyperlink"/>
                </w:rPr>
                <w:t>11</w:t>
              </w:r>
              <w:r w:rsidR="004C6A9B">
                <w:rPr>
                  <w:rFonts w:asciiTheme="minorHAnsi" w:eastAsiaTheme="minorEastAsia" w:hAnsiTheme="minorHAnsi" w:cstheme="minorBidi"/>
                  <w:b w:val="0"/>
                  <w:bCs w:val="0"/>
                  <w:color w:val="auto"/>
                  <w:sz w:val="22"/>
                  <w:szCs w:val="22"/>
                </w:rPr>
                <w:tab/>
              </w:r>
              <w:r w:rsidR="004C6A9B" w:rsidRPr="00537920">
                <w:rPr>
                  <w:rStyle w:val="Hyperlink"/>
                </w:rPr>
                <w:t>Implementation</w:t>
              </w:r>
              <w:r w:rsidR="00B7388B">
                <w:rPr>
                  <w:rStyle w:val="Hyperlink"/>
                </w:rPr>
                <w:t xml:space="preserve"> </w:t>
              </w:r>
              <w:r w:rsidR="004C6A9B" w:rsidRPr="00537920">
                <w:rPr>
                  <w:rStyle w:val="Hyperlink"/>
                </w:rPr>
                <w:t>Date</w:t>
              </w:r>
              <w:r w:rsidR="004C6A9B">
                <w:rPr>
                  <w:webHidden/>
                </w:rPr>
                <w:tab/>
              </w:r>
              <w:r w:rsidR="004C6A9B">
                <w:rPr>
                  <w:webHidden/>
                </w:rPr>
                <w:fldChar w:fldCharType="begin"/>
              </w:r>
              <w:r w:rsidR="004C6A9B">
                <w:rPr>
                  <w:webHidden/>
                </w:rPr>
                <w:instrText xml:space="preserve"> PAGEREF _Toc88488809 \h </w:instrText>
              </w:r>
              <w:r w:rsidR="004C6A9B">
                <w:rPr>
                  <w:webHidden/>
                </w:rPr>
              </w:r>
              <w:r w:rsidR="004C6A9B">
                <w:rPr>
                  <w:webHidden/>
                </w:rPr>
                <w:fldChar w:fldCharType="separate"/>
              </w:r>
              <w:r w:rsidR="00076EFC">
                <w:rPr>
                  <w:webHidden/>
                </w:rPr>
                <w:t>19</w:t>
              </w:r>
              <w:r w:rsidR="004C6A9B">
                <w:rPr>
                  <w:webHidden/>
                </w:rPr>
                <w:fldChar w:fldCharType="end"/>
              </w:r>
            </w:hyperlink>
          </w:p>
          <w:p w14:paraId="46132C16" w14:textId="4A1599FE"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10" w:history="1">
              <w:r w:rsidR="004C6A9B" w:rsidRPr="00537920">
                <w:rPr>
                  <w:rStyle w:val="Hyperlink"/>
                </w:rPr>
                <w:t>12</w:t>
              </w:r>
              <w:r w:rsidR="004C6A9B">
                <w:rPr>
                  <w:rFonts w:asciiTheme="minorHAnsi" w:eastAsiaTheme="minorEastAsia" w:hAnsiTheme="minorHAnsi" w:cstheme="minorBidi"/>
                  <w:b w:val="0"/>
                  <w:bCs w:val="0"/>
                  <w:color w:val="auto"/>
                  <w:sz w:val="22"/>
                  <w:szCs w:val="22"/>
                </w:rPr>
                <w:tab/>
              </w:r>
              <w:r w:rsidR="004C6A9B" w:rsidRPr="00537920">
                <w:rPr>
                  <w:rStyle w:val="Hyperlink"/>
                </w:rPr>
                <w:t>Recommendations</w:t>
              </w:r>
              <w:r w:rsidR="004C6A9B">
                <w:rPr>
                  <w:webHidden/>
                </w:rPr>
                <w:tab/>
              </w:r>
              <w:r w:rsidR="004C6A9B">
                <w:rPr>
                  <w:webHidden/>
                </w:rPr>
                <w:fldChar w:fldCharType="begin"/>
              </w:r>
              <w:r w:rsidR="004C6A9B">
                <w:rPr>
                  <w:webHidden/>
                </w:rPr>
                <w:instrText xml:space="preserve"> PAGEREF _Toc88488810 \h </w:instrText>
              </w:r>
              <w:r w:rsidR="004C6A9B">
                <w:rPr>
                  <w:webHidden/>
                </w:rPr>
              </w:r>
              <w:r w:rsidR="004C6A9B">
                <w:rPr>
                  <w:webHidden/>
                </w:rPr>
                <w:fldChar w:fldCharType="separate"/>
              </w:r>
              <w:r w:rsidR="00076EFC">
                <w:rPr>
                  <w:webHidden/>
                </w:rPr>
                <w:t>19</w:t>
              </w:r>
              <w:r w:rsidR="004C6A9B">
                <w:rPr>
                  <w:webHidden/>
                </w:rPr>
                <w:fldChar w:fldCharType="end"/>
              </w:r>
            </w:hyperlink>
          </w:p>
          <w:p w14:paraId="688F1803" w14:textId="506F9F1C" w:rsidR="004C6A9B" w:rsidRDefault="00367AA0">
            <w:pPr>
              <w:pStyle w:val="TOC1"/>
              <w:framePr w:wrap="around"/>
              <w:rPr>
                <w:rFonts w:asciiTheme="minorHAnsi" w:eastAsiaTheme="minorEastAsia" w:hAnsiTheme="minorHAnsi" w:cstheme="minorBidi"/>
                <w:b w:val="0"/>
                <w:bCs w:val="0"/>
                <w:color w:val="auto"/>
                <w:sz w:val="22"/>
                <w:szCs w:val="22"/>
              </w:rPr>
            </w:pPr>
            <w:hyperlink w:anchor="_Toc88488811" w:history="1">
              <w:r w:rsidR="004C6A9B" w:rsidRPr="00537920">
                <w:rPr>
                  <w:rStyle w:val="Hyperlink"/>
                </w:rPr>
                <w:t>13</w:t>
              </w:r>
              <w:r w:rsidR="004C6A9B">
                <w:rPr>
                  <w:rFonts w:asciiTheme="minorHAnsi" w:eastAsiaTheme="minorEastAsia" w:hAnsiTheme="minorHAnsi" w:cstheme="minorBidi"/>
                  <w:b w:val="0"/>
                  <w:bCs w:val="0"/>
                  <w:color w:val="auto"/>
                  <w:sz w:val="22"/>
                  <w:szCs w:val="22"/>
                </w:rPr>
                <w:tab/>
              </w:r>
              <w:r w:rsidR="004C6A9B" w:rsidRPr="00537920">
                <w:rPr>
                  <w:rStyle w:val="Hyperlink"/>
                </w:rPr>
                <w:t>Attachments</w:t>
              </w:r>
              <w:r w:rsidR="004C6A9B">
                <w:rPr>
                  <w:webHidden/>
                </w:rPr>
                <w:tab/>
              </w:r>
              <w:r w:rsidR="004C6A9B">
                <w:rPr>
                  <w:webHidden/>
                </w:rPr>
                <w:fldChar w:fldCharType="begin"/>
              </w:r>
              <w:r w:rsidR="004C6A9B">
                <w:rPr>
                  <w:webHidden/>
                </w:rPr>
                <w:instrText xml:space="preserve"> PAGEREF _Toc88488811 \h </w:instrText>
              </w:r>
              <w:r w:rsidR="004C6A9B">
                <w:rPr>
                  <w:webHidden/>
                </w:rPr>
              </w:r>
              <w:r w:rsidR="004C6A9B">
                <w:rPr>
                  <w:webHidden/>
                </w:rPr>
                <w:fldChar w:fldCharType="separate"/>
              </w:r>
              <w:r w:rsidR="00076EFC">
                <w:rPr>
                  <w:webHidden/>
                </w:rPr>
                <w:t>20</w:t>
              </w:r>
              <w:r w:rsidR="004C6A9B">
                <w:rPr>
                  <w:webHidden/>
                </w:rPr>
                <w:fldChar w:fldCharType="end"/>
              </w:r>
            </w:hyperlink>
          </w:p>
          <w:p w14:paraId="32DD5CD0" w14:textId="54992AFE" w:rsidR="009E48CC" w:rsidRPr="00EB32BB" w:rsidRDefault="004C6A9B" w:rsidP="009B60EF">
            <w:pPr>
              <w:pStyle w:val="TOCMOD"/>
              <w:keepLines/>
              <w:framePr w:hSpace="0" w:vSpace="0" w:wrap="auto" w:vAnchor="margin" w:yAlign="inline"/>
              <w:tabs>
                <w:tab w:val="clear" w:pos="382"/>
                <w:tab w:val="clear" w:pos="7655"/>
                <w:tab w:val="left" w:pos="5385"/>
              </w:tabs>
              <w:rPr>
                <w:rFonts w:cs="Arial"/>
              </w:rPr>
            </w:pPr>
            <w:r>
              <w:rPr>
                <w:rFonts w:cs="Arial"/>
              </w:rPr>
              <w:fldChar w:fldCharType="end"/>
            </w:r>
          </w:p>
          <w:p w14:paraId="713E6ACE" w14:textId="77777777" w:rsidR="009E48CC" w:rsidRPr="00AF7BAC" w:rsidRDefault="009E48CC" w:rsidP="00AF7BAC">
            <w:pPr>
              <w:pStyle w:val="Contents03"/>
              <w:rPr>
                <w:b/>
                <w:bCs w:val="0"/>
              </w:rPr>
            </w:pPr>
            <w:r w:rsidRPr="00AF7BAC">
              <w:rPr>
                <w:b/>
                <w:bCs w:val="0"/>
              </w:rPr>
              <w:t>Timetable</w:t>
            </w:r>
          </w:p>
          <w:p w14:paraId="02945979" w14:textId="5B28BFB5" w:rsidR="009E48CC" w:rsidRPr="00FF0C32" w:rsidRDefault="009E48CC" w:rsidP="009B60EF">
            <w:pPr>
              <w:keepLines/>
              <w:rPr>
                <w:szCs w:val="20"/>
                <w:lang w:val="en-US"/>
              </w:rPr>
            </w:pPr>
            <w:r w:rsidRPr="00FF0C32">
              <w:rPr>
                <w:szCs w:val="20"/>
                <w:lang w:val="en-US"/>
              </w:rPr>
              <w:t>The</w:t>
            </w:r>
            <w:r w:rsidR="00B7388B">
              <w:rPr>
                <w:szCs w:val="20"/>
                <w:lang w:val="en-US"/>
              </w:rPr>
              <w:t xml:space="preserve"> </w:t>
            </w:r>
            <w:r w:rsidRPr="00FF0C32">
              <w:rPr>
                <w:szCs w:val="20"/>
                <w:lang w:val="en-US"/>
              </w:rPr>
              <w:t>timetable</w:t>
            </w:r>
            <w:r w:rsidR="00B7388B">
              <w:rPr>
                <w:szCs w:val="20"/>
                <w:lang w:val="en-US"/>
              </w:rPr>
              <w:t xml:space="preserve"> </w:t>
            </w:r>
            <w:r w:rsidRPr="00FF0C32">
              <w:rPr>
                <w:szCs w:val="20"/>
                <w:lang w:val="en-US"/>
              </w:rPr>
              <w:t>for</w:t>
            </w:r>
            <w:r w:rsidR="00B7388B">
              <w:rPr>
                <w:szCs w:val="20"/>
                <w:lang w:val="en-US"/>
              </w:rPr>
              <w:t xml:space="preserve"> </w:t>
            </w:r>
            <w:r w:rsidRPr="00FF0C32">
              <w:rPr>
                <w:szCs w:val="20"/>
                <w:lang w:val="en-US"/>
              </w:rPr>
              <w:t>the</w:t>
            </w:r>
            <w:r w:rsidR="00B7388B">
              <w:rPr>
                <w:szCs w:val="20"/>
                <w:lang w:val="en-US"/>
              </w:rPr>
              <w:t xml:space="preserve"> </w:t>
            </w:r>
            <w:r w:rsidRPr="00FF0C32">
              <w:rPr>
                <w:szCs w:val="20"/>
                <w:lang w:val="en-US"/>
              </w:rPr>
              <w:t>progression</w:t>
            </w:r>
            <w:r w:rsidR="00B7388B">
              <w:rPr>
                <w:szCs w:val="20"/>
                <w:lang w:val="en-US"/>
              </w:rPr>
              <w:t xml:space="preserve"> </w:t>
            </w:r>
            <w:r w:rsidRPr="00FF0C32">
              <w:rPr>
                <w:szCs w:val="20"/>
                <w:lang w:val="en-US"/>
              </w:rPr>
              <w:t>of</w:t>
            </w:r>
            <w:r w:rsidR="00B7388B">
              <w:rPr>
                <w:szCs w:val="20"/>
                <w:lang w:val="en-US"/>
              </w:rPr>
              <w:t xml:space="preserve"> </w:t>
            </w:r>
            <w:r w:rsidRPr="00FF0C32">
              <w:rPr>
                <w:szCs w:val="20"/>
                <w:lang w:val="en-US"/>
              </w:rPr>
              <w:t>the</w:t>
            </w:r>
            <w:r w:rsidR="00B7388B">
              <w:rPr>
                <w:szCs w:val="20"/>
                <w:lang w:val="en-US"/>
              </w:rPr>
              <w:t xml:space="preserve"> </w:t>
            </w:r>
            <w:r w:rsidRPr="00FF0C32">
              <w:rPr>
                <w:szCs w:val="20"/>
                <w:lang w:val="en-US"/>
              </w:rPr>
              <w:t>CP</w:t>
            </w:r>
            <w:r w:rsidR="00B7388B">
              <w:rPr>
                <w:szCs w:val="20"/>
                <w:lang w:val="en-US"/>
              </w:rPr>
              <w:t xml:space="preserve"> </w:t>
            </w:r>
            <w:r w:rsidRPr="00FF0C32">
              <w:rPr>
                <w:szCs w:val="20"/>
                <w:lang w:val="en-US"/>
              </w:rPr>
              <w:t>is</w:t>
            </w:r>
            <w:r w:rsidR="00B7388B">
              <w:rPr>
                <w:szCs w:val="20"/>
                <w:lang w:val="en-US"/>
              </w:rPr>
              <w:t xml:space="preserve"> </w:t>
            </w:r>
            <w:r w:rsidRPr="00FF0C32">
              <w:rPr>
                <w:szCs w:val="20"/>
                <w:lang w:val="en-US"/>
              </w:rPr>
              <w:t>as</w:t>
            </w:r>
            <w:r w:rsidR="00B7388B">
              <w:rPr>
                <w:szCs w:val="20"/>
                <w:lang w:val="en-US"/>
              </w:rPr>
              <w:t xml:space="preserve"> </w:t>
            </w:r>
            <w:r w:rsidRPr="00FF0C32">
              <w:rPr>
                <w:szCs w:val="20"/>
                <w:lang w:val="en-US"/>
              </w:rPr>
              <w:t>follows:</w:t>
            </w:r>
          </w:p>
          <w:p w14:paraId="10393B85" w14:textId="49961BAD" w:rsidR="009E48CC" w:rsidRPr="005D1C6B" w:rsidRDefault="009E48CC" w:rsidP="009B60EF">
            <w:pPr>
              <w:pStyle w:val="Heading4"/>
              <w:keepLines/>
            </w:pPr>
            <w:r w:rsidRPr="00FF0C32">
              <w:t>Change</w:t>
            </w:r>
            <w:r w:rsidR="00B7388B">
              <w:t xml:space="preserve"> </w:t>
            </w:r>
            <w:r w:rsidRPr="00FF0C32">
              <w:t>Proposal</w:t>
            </w:r>
            <w:r w:rsidR="00B7388B">
              <w:t xml:space="preserve"> </w:t>
            </w:r>
            <w:r w:rsidRPr="00FF0C32">
              <w:t>timetable</w:t>
            </w:r>
          </w:p>
          <w:tbl>
            <w:tblPr>
              <w:tblW w:w="6821"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4147"/>
              <w:gridCol w:w="2674"/>
            </w:tblGrid>
            <w:tr w:rsidR="009E48CC" w:rsidRPr="00EB32BB" w14:paraId="7158AE4B" w14:textId="77777777" w:rsidTr="00717796">
              <w:tc>
                <w:tcPr>
                  <w:tcW w:w="4147" w:type="dxa"/>
                  <w:shd w:val="clear" w:color="auto" w:fill="BDD6EE"/>
                </w:tcPr>
                <w:p w14:paraId="7EAD1882" w14:textId="77777777" w:rsidR="009E48CC" w:rsidRPr="00FF0C32" w:rsidRDefault="009E48CC" w:rsidP="00D734DB">
                  <w:pPr>
                    <w:pStyle w:val="Heading4"/>
                  </w:pPr>
                  <w:r w:rsidRPr="00FF0C32">
                    <w:t>Activity</w:t>
                  </w:r>
                </w:p>
              </w:tc>
              <w:tc>
                <w:tcPr>
                  <w:tcW w:w="2674" w:type="dxa"/>
                  <w:shd w:val="clear" w:color="auto" w:fill="BDD6EE"/>
                  <w:vAlign w:val="center"/>
                </w:tcPr>
                <w:p w14:paraId="51923719" w14:textId="77777777" w:rsidR="009E48CC" w:rsidRPr="007F41DB" w:rsidRDefault="009E48CC" w:rsidP="00717796">
                  <w:pPr>
                    <w:pStyle w:val="Heading4"/>
                    <w:ind w:right="462"/>
                  </w:pPr>
                  <w:r w:rsidRPr="007F41DB">
                    <w:t>Date</w:t>
                  </w:r>
                </w:p>
              </w:tc>
            </w:tr>
            <w:tr w:rsidR="009E48CC" w:rsidRPr="00EB32BB" w14:paraId="44F08666" w14:textId="77777777" w:rsidTr="00717796">
              <w:tc>
                <w:tcPr>
                  <w:tcW w:w="4147" w:type="dxa"/>
                  <w:shd w:val="clear" w:color="auto" w:fill="auto"/>
                </w:tcPr>
                <w:p w14:paraId="722368E1" w14:textId="65A35E43" w:rsidR="009E48CC" w:rsidRPr="00EB32BB" w:rsidRDefault="009E48CC" w:rsidP="00D734DB">
                  <w:pPr>
                    <w:tabs>
                      <w:tab w:val="left" w:pos="171"/>
                    </w:tabs>
                    <w:spacing w:before="40" w:after="40"/>
                    <w:rPr>
                      <w:rFonts w:cs="Arial"/>
                      <w:szCs w:val="20"/>
                    </w:rPr>
                  </w:pPr>
                  <w:r w:rsidRPr="00EB32BB">
                    <w:rPr>
                      <w:rFonts w:cs="Arial"/>
                      <w:szCs w:val="20"/>
                    </w:rPr>
                    <w:t>Initial</w:t>
                  </w:r>
                  <w:r w:rsidR="00B7388B">
                    <w:rPr>
                      <w:rFonts w:cs="Arial"/>
                      <w:szCs w:val="20"/>
                    </w:rPr>
                    <w:t xml:space="preserve"> </w:t>
                  </w:r>
                  <w:r>
                    <w:rPr>
                      <w:rFonts w:cs="Arial"/>
                      <w:szCs w:val="20"/>
                    </w:rPr>
                    <w:t>Assessment</w:t>
                  </w:r>
                  <w:r w:rsidR="00B7388B">
                    <w:rPr>
                      <w:rFonts w:cs="Arial"/>
                      <w:szCs w:val="20"/>
                    </w:rPr>
                    <w:t xml:space="preserve"> </w:t>
                  </w:r>
                  <w:r>
                    <w:rPr>
                      <w:rFonts w:cs="Arial"/>
                      <w:szCs w:val="20"/>
                    </w:rPr>
                    <w:t>Report</w:t>
                  </w:r>
                </w:p>
              </w:tc>
              <w:tc>
                <w:tcPr>
                  <w:tcW w:w="2674" w:type="dxa"/>
                  <w:shd w:val="clear" w:color="auto" w:fill="auto"/>
                  <w:vAlign w:val="center"/>
                </w:tcPr>
                <w:p w14:paraId="537B86D5" w14:textId="4A863FAB" w:rsidR="009E48CC" w:rsidRPr="00EB32BB" w:rsidRDefault="009D5B96" w:rsidP="00717796">
                  <w:pPr>
                    <w:spacing w:before="40" w:after="40"/>
                    <w:ind w:right="462"/>
                    <w:rPr>
                      <w:rFonts w:cs="Arial"/>
                      <w:szCs w:val="20"/>
                    </w:rPr>
                  </w:pPr>
                  <w:r>
                    <w:rPr>
                      <w:rFonts w:cs="Arial"/>
                      <w:szCs w:val="20"/>
                    </w:rPr>
                    <w:t>11 May 2022</w:t>
                  </w:r>
                </w:p>
              </w:tc>
            </w:tr>
            <w:tr w:rsidR="009E48CC" w:rsidRPr="00EB32BB" w14:paraId="6C5B6F9A" w14:textId="77777777" w:rsidTr="00717796">
              <w:tc>
                <w:tcPr>
                  <w:tcW w:w="4147" w:type="dxa"/>
                  <w:shd w:val="clear" w:color="auto" w:fill="auto"/>
                </w:tcPr>
                <w:p w14:paraId="5A60DBE8" w14:textId="079A2D8D" w:rsidR="009E48CC" w:rsidRPr="00EB32BB" w:rsidRDefault="009E48CC" w:rsidP="00D734DB">
                  <w:pPr>
                    <w:tabs>
                      <w:tab w:val="left" w:pos="171"/>
                    </w:tabs>
                    <w:spacing w:before="40" w:after="40"/>
                    <w:rPr>
                      <w:rFonts w:cs="Arial"/>
                      <w:szCs w:val="20"/>
                    </w:rPr>
                  </w:pPr>
                  <w:r>
                    <w:rPr>
                      <w:rFonts w:cs="Arial"/>
                      <w:szCs w:val="20"/>
                    </w:rPr>
                    <w:t>Consultation</w:t>
                  </w:r>
                  <w:r w:rsidR="00B7388B">
                    <w:rPr>
                      <w:rFonts w:cs="Arial"/>
                      <w:szCs w:val="20"/>
                    </w:rPr>
                    <w:t xml:space="preserve"> </w:t>
                  </w:r>
                  <w:r>
                    <w:rPr>
                      <w:rFonts w:cs="Arial"/>
                      <w:szCs w:val="20"/>
                    </w:rPr>
                    <w:t>issued</w:t>
                  </w:r>
                  <w:r w:rsidR="00B7388B">
                    <w:rPr>
                      <w:rFonts w:cs="Arial"/>
                      <w:szCs w:val="20"/>
                    </w:rPr>
                    <w:t xml:space="preserve"> </w:t>
                  </w:r>
                  <w:r w:rsidRPr="00EB32BB">
                    <w:rPr>
                      <w:rFonts w:cs="Arial"/>
                      <w:szCs w:val="20"/>
                    </w:rPr>
                    <w:t>to</w:t>
                  </w:r>
                  <w:r w:rsidR="00B7388B">
                    <w:rPr>
                      <w:rFonts w:cs="Arial"/>
                      <w:szCs w:val="20"/>
                    </w:rPr>
                    <w:t xml:space="preserve"> </w:t>
                  </w:r>
                  <w:r w:rsidR="009D5B96">
                    <w:rPr>
                      <w:rFonts w:cs="Arial"/>
                      <w:szCs w:val="20"/>
                    </w:rPr>
                    <w:t xml:space="preserve">Industry </w:t>
                  </w:r>
                  <w:r w:rsidRPr="00EB32BB">
                    <w:rPr>
                      <w:rFonts w:cs="Arial"/>
                      <w:szCs w:val="20"/>
                    </w:rPr>
                    <w:t>P</w:t>
                  </w:r>
                  <w:r>
                    <w:rPr>
                      <w:rFonts w:cs="Arial"/>
                      <w:szCs w:val="20"/>
                    </w:rPr>
                    <w:t>art</w:t>
                  </w:r>
                  <w:r w:rsidR="009D5B96">
                    <w:rPr>
                      <w:rFonts w:cs="Arial"/>
                      <w:szCs w:val="20"/>
                    </w:rPr>
                    <w:t>icipants</w:t>
                  </w:r>
                </w:p>
              </w:tc>
              <w:tc>
                <w:tcPr>
                  <w:tcW w:w="2674" w:type="dxa"/>
                  <w:shd w:val="clear" w:color="auto" w:fill="auto"/>
                  <w:vAlign w:val="center"/>
                </w:tcPr>
                <w:p w14:paraId="50E13FDA" w14:textId="5E3FDE9D" w:rsidR="009E48CC" w:rsidRPr="00EB32BB" w:rsidRDefault="009D5B96" w:rsidP="00717796">
                  <w:pPr>
                    <w:spacing w:before="40" w:after="40"/>
                    <w:ind w:right="462"/>
                    <w:rPr>
                      <w:rFonts w:cs="Arial"/>
                      <w:szCs w:val="20"/>
                    </w:rPr>
                  </w:pPr>
                  <w:r>
                    <w:rPr>
                      <w:rFonts w:cs="Arial"/>
                      <w:szCs w:val="20"/>
                    </w:rPr>
                    <w:t>12 August 2022</w:t>
                  </w:r>
                </w:p>
              </w:tc>
            </w:tr>
            <w:tr w:rsidR="009E48CC" w:rsidRPr="00EB32BB" w14:paraId="55C6D020" w14:textId="77777777" w:rsidTr="00717796">
              <w:tc>
                <w:tcPr>
                  <w:tcW w:w="4147" w:type="dxa"/>
                  <w:shd w:val="clear" w:color="auto" w:fill="auto"/>
                </w:tcPr>
                <w:p w14:paraId="0AD545E2" w14:textId="4CE389C0" w:rsidR="009E48CC" w:rsidRPr="00EB32BB" w:rsidRDefault="009E48CC" w:rsidP="00D734DB">
                  <w:pPr>
                    <w:tabs>
                      <w:tab w:val="left" w:pos="171"/>
                    </w:tabs>
                    <w:spacing w:before="40" w:after="40"/>
                    <w:rPr>
                      <w:rFonts w:cs="Arial"/>
                      <w:szCs w:val="20"/>
                    </w:rPr>
                  </w:pPr>
                  <w:r>
                    <w:rPr>
                      <w:rFonts w:cs="Arial"/>
                      <w:szCs w:val="20"/>
                    </w:rPr>
                    <w:t>Change</w:t>
                  </w:r>
                  <w:r w:rsidR="00B7388B">
                    <w:rPr>
                      <w:rFonts w:cs="Arial"/>
                      <w:szCs w:val="20"/>
                    </w:rPr>
                    <w:t xml:space="preserve"> </w:t>
                  </w:r>
                  <w:r w:rsidRPr="00EB32BB">
                    <w:rPr>
                      <w:rFonts w:cs="Arial"/>
                      <w:szCs w:val="20"/>
                    </w:rPr>
                    <w:t>Report</w:t>
                  </w:r>
                  <w:r w:rsidR="00B7388B">
                    <w:rPr>
                      <w:rFonts w:cs="Arial"/>
                      <w:szCs w:val="20"/>
                    </w:rPr>
                    <w:t xml:space="preserve"> </w:t>
                  </w:r>
                  <w:r w:rsidR="00EC7380">
                    <w:rPr>
                      <w:rFonts w:cs="Arial"/>
                      <w:szCs w:val="20"/>
                    </w:rPr>
                    <w:t>Approved by Panel</w:t>
                  </w:r>
                </w:p>
              </w:tc>
              <w:tc>
                <w:tcPr>
                  <w:tcW w:w="2674" w:type="dxa"/>
                  <w:shd w:val="clear" w:color="auto" w:fill="auto"/>
                  <w:vAlign w:val="center"/>
                </w:tcPr>
                <w:p w14:paraId="32E6A7F9" w14:textId="00254392" w:rsidR="009E48CC" w:rsidRPr="00EB32BB" w:rsidRDefault="00EC7380" w:rsidP="00717796">
                  <w:pPr>
                    <w:spacing w:before="40" w:after="40"/>
                    <w:ind w:right="462"/>
                    <w:rPr>
                      <w:rFonts w:cs="Arial"/>
                      <w:szCs w:val="20"/>
                    </w:rPr>
                  </w:pPr>
                  <w:r>
                    <w:rPr>
                      <w:rFonts w:cs="Arial"/>
                      <w:szCs w:val="20"/>
                    </w:rPr>
                    <w:t>05 October 2022</w:t>
                  </w:r>
                </w:p>
              </w:tc>
            </w:tr>
            <w:tr w:rsidR="00C30383" w:rsidRPr="00EB32BB" w14:paraId="53C52818" w14:textId="77777777" w:rsidTr="00717796">
              <w:tc>
                <w:tcPr>
                  <w:tcW w:w="4147" w:type="dxa"/>
                  <w:shd w:val="clear" w:color="auto" w:fill="auto"/>
                </w:tcPr>
                <w:p w14:paraId="472B3F34" w14:textId="387A575A" w:rsidR="00C30383" w:rsidRPr="00EB32BB" w:rsidRDefault="00C30383" w:rsidP="00C30383">
                  <w:pPr>
                    <w:tabs>
                      <w:tab w:val="left" w:pos="171"/>
                    </w:tabs>
                    <w:spacing w:before="40" w:after="40"/>
                    <w:rPr>
                      <w:rFonts w:cs="Arial"/>
                      <w:szCs w:val="20"/>
                    </w:rPr>
                  </w:pPr>
                  <w:r>
                    <w:rPr>
                      <w:rFonts w:cs="Arial"/>
                      <w:szCs w:val="20"/>
                    </w:rPr>
                    <w:t>Change</w:t>
                  </w:r>
                  <w:r w:rsidR="00B7388B">
                    <w:rPr>
                      <w:rFonts w:cs="Arial"/>
                      <w:szCs w:val="20"/>
                    </w:rPr>
                    <w:t xml:space="preserve"> </w:t>
                  </w:r>
                  <w:r w:rsidRPr="00EB32BB">
                    <w:rPr>
                      <w:rFonts w:cs="Arial"/>
                      <w:szCs w:val="20"/>
                    </w:rPr>
                    <w:t>Report</w:t>
                  </w:r>
                  <w:r w:rsidR="00B7388B">
                    <w:rPr>
                      <w:rFonts w:cs="Arial"/>
                      <w:szCs w:val="20"/>
                    </w:rPr>
                    <w:t xml:space="preserve"> </w:t>
                  </w:r>
                  <w:r w:rsidRPr="00EB32BB">
                    <w:rPr>
                      <w:rFonts w:cs="Arial"/>
                      <w:szCs w:val="20"/>
                    </w:rPr>
                    <w:t>issued</w:t>
                  </w:r>
                  <w:r w:rsidR="00B7388B">
                    <w:rPr>
                      <w:rFonts w:cs="Arial"/>
                      <w:szCs w:val="20"/>
                    </w:rPr>
                    <w:t xml:space="preserve"> </w:t>
                  </w:r>
                  <w:r>
                    <w:rPr>
                      <w:rFonts w:cs="Arial"/>
                      <w:szCs w:val="20"/>
                    </w:rPr>
                    <w:t>for</w:t>
                  </w:r>
                  <w:r w:rsidR="00B7388B">
                    <w:rPr>
                      <w:rFonts w:cs="Arial"/>
                      <w:szCs w:val="20"/>
                    </w:rPr>
                    <w:t xml:space="preserve"> </w:t>
                  </w:r>
                  <w:r>
                    <w:rPr>
                      <w:rFonts w:cs="Arial"/>
                      <w:szCs w:val="20"/>
                    </w:rPr>
                    <w:t>Voting</w:t>
                  </w:r>
                </w:p>
              </w:tc>
              <w:tc>
                <w:tcPr>
                  <w:tcW w:w="2674" w:type="dxa"/>
                  <w:shd w:val="clear" w:color="auto" w:fill="auto"/>
                  <w:vAlign w:val="center"/>
                </w:tcPr>
                <w:p w14:paraId="61249717" w14:textId="58D13D1F" w:rsidR="00C30383" w:rsidRPr="00EB32BB" w:rsidRDefault="008A20C6" w:rsidP="00717796">
                  <w:pPr>
                    <w:spacing w:before="40" w:after="40"/>
                    <w:ind w:right="462"/>
                    <w:rPr>
                      <w:rFonts w:cs="Arial"/>
                      <w:szCs w:val="20"/>
                    </w:rPr>
                  </w:pPr>
                  <w:r>
                    <w:rPr>
                      <w:rFonts w:cs="Arial"/>
                      <w:szCs w:val="20"/>
                    </w:rPr>
                    <w:t>05 October 2022</w:t>
                  </w:r>
                </w:p>
              </w:tc>
            </w:tr>
            <w:tr w:rsidR="009E48CC" w:rsidRPr="00EB32BB" w14:paraId="4D6FD202" w14:textId="77777777" w:rsidTr="00717796">
              <w:tc>
                <w:tcPr>
                  <w:tcW w:w="4147" w:type="dxa"/>
                  <w:shd w:val="clear" w:color="auto" w:fill="auto"/>
                </w:tcPr>
                <w:p w14:paraId="4D9FF949" w14:textId="4D551673" w:rsidR="009E48CC" w:rsidRPr="00EB32BB" w:rsidRDefault="009E48CC" w:rsidP="00D734DB">
                  <w:pPr>
                    <w:tabs>
                      <w:tab w:val="left" w:pos="171"/>
                    </w:tabs>
                    <w:spacing w:before="40" w:after="40"/>
                    <w:rPr>
                      <w:rFonts w:cs="Arial"/>
                      <w:szCs w:val="20"/>
                    </w:rPr>
                  </w:pPr>
                  <w:r>
                    <w:rPr>
                      <w:rFonts w:cs="Arial"/>
                      <w:szCs w:val="20"/>
                    </w:rPr>
                    <w:t>Party</w:t>
                  </w:r>
                  <w:r w:rsidR="00B7388B">
                    <w:rPr>
                      <w:rFonts w:cs="Arial"/>
                      <w:szCs w:val="20"/>
                    </w:rPr>
                    <w:t xml:space="preserve"> </w:t>
                  </w:r>
                  <w:r>
                    <w:rPr>
                      <w:rFonts w:cs="Arial"/>
                      <w:szCs w:val="20"/>
                    </w:rPr>
                    <w:t>Voting</w:t>
                  </w:r>
                  <w:r w:rsidR="00B7388B">
                    <w:rPr>
                      <w:rFonts w:cs="Arial"/>
                      <w:szCs w:val="20"/>
                    </w:rPr>
                    <w:t xml:space="preserve"> </w:t>
                  </w:r>
                  <w:r>
                    <w:rPr>
                      <w:rFonts w:cs="Arial"/>
                      <w:szCs w:val="20"/>
                    </w:rPr>
                    <w:t>Ends</w:t>
                  </w:r>
                </w:p>
              </w:tc>
              <w:tc>
                <w:tcPr>
                  <w:tcW w:w="2674" w:type="dxa"/>
                  <w:shd w:val="clear" w:color="auto" w:fill="auto"/>
                  <w:vAlign w:val="center"/>
                </w:tcPr>
                <w:p w14:paraId="0D2B33D3" w14:textId="0323976E" w:rsidR="009E48CC" w:rsidRPr="00EB32BB" w:rsidRDefault="008A20C6" w:rsidP="00717796">
                  <w:pPr>
                    <w:spacing w:before="40" w:after="40"/>
                    <w:ind w:right="462"/>
                    <w:rPr>
                      <w:rFonts w:cs="Arial"/>
                      <w:szCs w:val="20"/>
                    </w:rPr>
                  </w:pPr>
                  <w:r>
                    <w:rPr>
                      <w:rFonts w:cs="Arial"/>
                      <w:szCs w:val="20"/>
                    </w:rPr>
                    <w:t>19 October 2022</w:t>
                  </w:r>
                </w:p>
              </w:tc>
            </w:tr>
            <w:tr w:rsidR="004C6A9B" w:rsidRPr="00EB32BB" w14:paraId="03DF7DFC" w14:textId="77777777" w:rsidTr="00717796">
              <w:tc>
                <w:tcPr>
                  <w:tcW w:w="4147" w:type="dxa"/>
                  <w:shd w:val="clear" w:color="auto" w:fill="auto"/>
                </w:tcPr>
                <w:p w14:paraId="55D884F2" w14:textId="2D7412C5" w:rsidR="004C6A9B" w:rsidRPr="00EB32BB" w:rsidRDefault="004C6A9B" w:rsidP="004C6A9B">
                  <w:pPr>
                    <w:tabs>
                      <w:tab w:val="left" w:pos="171"/>
                    </w:tabs>
                    <w:spacing w:before="40" w:after="40"/>
                    <w:rPr>
                      <w:rFonts w:cs="Arial"/>
                      <w:szCs w:val="20"/>
                    </w:rPr>
                  </w:pPr>
                  <w:r>
                    <w:rPr>
                      <w:rFonts w:cs="Arial"/>
                      <w:szCs w:val="20"/>
                    </w:rPr>
                    <w:t>Change</w:t>
                  </w:r>
                  <w:r w:rsidR="00B7388B">
                    <w:rPr>
                      <w:rFonts w:cs="Arial"/>
                      <w:szCs w:val="20"/>
                    </w:rPr>
                    <w:t xml:space="preserve"> </w:t>
                  </w:r>
                  <w:r>
                    <w:rPr>
                      <w:rFonts w:cs="Arial"/>
                      <w:szCs w:val="20"/>
                    </w:rPr>
                    <w:t>Declaration</w:t>
                  </w:r>
                  <w:r w:rsidR="00B7388B">
                    <w:rPr>
                      <w:rFonts w:cs="Arial"/>
                      <w:szCs w:val="20"/>
                    </w:rPr>
                    <w:t xml:space="preserve"> </w:t>
                  </w:r>
                  <w:r>
                    <w:rPr>
                      <w:rFonts w:cs="Arial"/>
                      <w:szCs w:val="20"/>
                    </w:rPr>
                    <w:t>issued</w:t>
                  </w:r>
                  <w:r w:rsidR="00B7388B">
                    <w:rPr>
                      <w:rFonts w:cs="Arial"/>
                      <w:szCs w:val="20"/>
                    </w:rPr>
                    <w:t xml:space="preserve"> </w:t>
                  </w:r>
                  <w:r>
                    <w:rPr>
                      <w:rFonts w:cs="Arial"/>
                      <w:szCs w:val="20"/>
                    </w:rPr>
                    <w:t>to</w:t>
                  </w:r>
                  <w:r w:rsidR="00B7388B">
                    <w:rPr>
                      <w:rFonts w:cs="Arial"/>
                      <w:szCs w:val="20"/>
                    </w:rPr>
                    <w:t xml:space="preserve"> </w:t>
                  </w:r>
                  <w:r>
                    <w:rPr>
                      <w:rFonts w:cs="Arial"/>
                      <w:szCs w:val="20"/>
                    </w:rPr>
                    <w:t>Authority</w:t>
                  </w:r>
                </w:p>
              </w:tc>
              <w:tc>
                <w:tcPr>
                  <w:tcW w:w="2674" w:type="dxa"/>
                  <w:shd w:val="clear" w:color="auto" w:fill="auto"/>
                  <w:vAlign w:val="center"/>
                </w:tcPr>
                <w:p w14:paraId="6E71192B" w14:textId="1459514D" w:rsidR="004C6A9B" w:rsidRPr="00EB32BB" w:rsidRDefault="008A20C6" w:rsidP="00717796">
                  <w:pPr>
                    <w:spacing w:before="40" w:after="40"/>
                    <w:ind w:right="462"/>
                    <w:rPr>
                      <w:rFonts w:cs="Arial"/>
                      <w:szCs w:val="20"/>
                    </w:rPr>
                  </w:pPr>
                  <w:r>
                    <w:rPr>
                      <w:rFonts w:cs="Arial"/>
                      <w:szCs w:val="20"/>
                    </w:rPr>
                    <w:t>20 October 2022</w:t>
                  </w:r>
                </w:p>
              </w:tc>
            </w:tr>
            <w:tr w:rsidR="00D734DB" w:rsidRPr="00EB32BB" w14:paraId="3BDB8CC4" w14:textId="77777777" w:rsidTr="00717796">
              <w:tc>
                <w:tcPr>
                  <w:tcW w:w="4147" w:type="dxa"/>
                  <w:shd w:val="clear" w:color="auto" w:fill="auto"/>
                </w:tcPr>
                <w:p w14:paraId="23C0872B" w14:textId="4EBB82C7" w:rsidR="00D734DB" w:rsidRDefault="00D734DB" w:rsidP="00D734DB">
                  <w:pPr>
                    <w:tabs>
                      <w:tab w:val="left" w:pos="171"/>
                    </w:tabs>
                    <w:spacing w:before="40" w:after="40"/>
                    <w:rPr>
                      <w:rFonts w:cs="Arial"/>
                      <w:szCs w:val="20"/>
                    </w:rPr>
                  </w:pPr>
                  <w:r w:rsidRPr="00500B96">
                    <w:t>Authority</w:t>
                  </w:r>
                  <w:r w:rsidR="00B7388B">
                    <w:t xml:space="preserve"> </w:t>
                  </w:r>
                  <w:r w:rsidRPr="00500B96">
                    <w:t>Decision</w:t>
                  </w:r>
                </w:p>
              </w:tc>
              <w:tc>
                <w:tcPr>
                  <w:tcW w:w="2674" w:type="dxa"/>
                  <w:shd w:val="clear" w:color="auto" w:fill="auto"/>
                </w:tcPr>
                <w:p w14:paraId="2C0E4E38" w14:textId="0EDD060D" w:rsidR="00D734DB" w:rsidRDefault="00C30383" w:rsidP="00717796">
                  <w:pPr>
                    <w:spacing w:before="40" w:after="40"/>
                    <w:ind w:right="462"/>
                    <w:rPr>
                      <w:rFonts w:cs="Arial"/>
                      <w:szCs w:val="20"/>
                    </w:rPr>
                  </w:pPr>
                  <w:r>
                    <w:t>TBC</w:t>
                  </w:r>
                  <w:r w:rsidR="00B7388B">
                    <w:t xml:space="preserve"> </w:t>
                  </w:r>
                </w:p>
              </w:tc>
            </w:tr>
            <w:tr w:rsidR="00D734DB" w:rsidRPr="00EB32BB" w14:paraId="6C039B28" w14:textId="77777777" w:rsidTr="00717796">
              <w:tc>
                <w:tcPr>
                  <w:tcW w:w="4147" w:type="dxa"/>
                  <w:shd w:val="clear" w:color="auto" w:fill="auto"/>
                </w:tcPr>
                <w:p w14:paraId="3BE0C054" w14:textId="6F55D672" w:rsidR="00D734DB" w:rsidRDefault="00D734DB" w:rsidP="00D734DB">
                  <w:pPr>
                    <w:tabs>
                      <w:tab w:val="left" w:pos="171"/>
                    </w:tabs>
                    <w:spacing w:before="40" w:after="40"/>
                    <w:rPr>
                      <w:rFonts w:cs="Arial"/>
                      <w:szCs w:val="20"/>
                    </w:rPr>
                  </w:pPr>
                  <w:r w:rsidRPr="00500B96">
                    <w:t>Implementation</w:t>
                  </w:r>
                  <w:r w:rsidR="00B7388B">
                    <w:t xml:space="preserve"> </w:t>
                  </w:r>
                  <w:r w:rsidRPr="00500B96">
                    <w:t>Date</w:t>
                  </w:r>
                </w:p>
              </w:tc>
              <w:tc>
                <w:tcPr>
                  <w:tcW w:w="2674" w:type="dxa"/>
                  <w:shd w:val="clear" w:color="auto" w:fill="auto"/>
                </w:tcPr>
                <w:p w14:paraId="383F35E6" w14:textId="2C1E82F3" w:rsidR="00D734DB" w:rsidRDefault="008A20C6" w:rsidP="00717796">
                  <w:pPr>
                    <w:spacing w:before="40" w:after="40"/>
                    <w:ind w:right="462"/>
                    <w:rPr>
                      <w:rFonts w:cs="Arial"/>
                      <w:szCs w:val="20"/>
                    </w:rPr>
                  </w:pPr>
                  <w:r>
                    <w:t>01 April 2023</w:t>
                  </w:r>
                </w:p>
              </w:tc>
            </w:tr>
          </w:tbl>
          <w:p w14:paraId="7A97B80C" w14:textId="77777777" w:rsidR="009E48CC" w:rsidRPr="00EB32BB" w:rsidRDefault="009E48CC" w:rsidP="009B60EF">
            <w:pPr>
              <w:pStyle w:val="BodyTextFirstIndent"/>
              <w:keepLines/>
              <w:ind w:firstLine="0"/>
              <w:rPr>
                <w:rFonts w:cs="Arial"/>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297C99EC" w14:textId="5D67EF72" w:rsidR="009E48CC" w:rsidRPr="00EB32BB" w:rsidRDefault="009E48CC" w:rsidP="009B60EF">
            <w:pPr>
              <w:pStyle w:val="BodyText"/>
              <w:keepLines/>
              <w:spacing w:before="60" w:after="60" w:line="240" w:lineRule="auto"/>
              <w:rPr>
                <w:rFonts w:cs="Arial"/>
                <w:szCs w:val="20"/>
              </w:rPr>
            </w:pPr>
            <w:r w:rsidRPr="00AF30A5">
              <w:rPr>
                <w:rFonts w:cs="Arial"/>
                <w:noProof/>
                <w:szCs w:val="20"/>
              </w:rPr>
              <w:drawing>
                <wp:inline distT="0" distB="0" distL="0" distR="0" wp14:anchorId="437EEF3B" wp14:editId="77AC85FE">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B7388B">
              <w:rPr>
                <w:rFonts w:cs="Arial"/>
                <w:b/>
                <w:color w:val="008576"/>
                <w:szCs w:val="20"/>
              </w:rPr>
              <w:t xml:space="preserve"> </w:t>
            </w:r>
            <w:r w:rsidRPr="00EB32BB">
              <w:rPr>
                <w:rFonts w:cs="Arial"/>
                <w:b/>
                <w:color w:val="008576"/>
                <w:szCs w:val="20"/>
              </w:rPr>
              <w:t>Any</w:t>
            </w:r>
            <w:r w:rsidR="00B7388B">
              <w:rPr>
                <w:rFonts w:cs="Arial"/>
                <w:b/>
                <w:color w:val="008576"/>
                <w:szCs w:val="20"/>
              </w:rPr>
              <w:t xml:space="preserve"> </w:t>
            </w:r>
            <w:r w:rsidRPr="00EB32BB">
              <w:rPr>
                <w:rFonts w:cs="Arial"/>
                <w:b/>
                <w:color w:val="008576"/>
                <w:szCs w:val="20"/>
              </w:rPr>
              <w:t>questions?</w:t>
            </w:r>
          </w:p>
        </w:tc>
      </w:tr>
      <w:tr w:rsidR="009E48CC" w:rsidRPr="00EB32BB" w14:paraId="1661C8FA"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5A943555"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02CEDF84" w14:textId="77777777" w:rsidR="009E48CC" w:rsidRDefault="009E48CC" w:rsidP="009B60EF">
            <w:pPr>
              <w:keepLines/>
              <w:spacing w:before="60" w:after="60" w:line="240" w:lineRule="auto"/>
              <w:rPr>
                <w:rFonts w:cs="Arial"/>
                <w:color w:val="008576"/>
                <w:szCs w:val="20"/>
              </w:rPr>
            </w:pPr>
            <w:r>
              <w:rPr>
                <w:rFonts w:cs="Arial"/>
                <w:color w:val="008576"/>
                <w:szCs w:val="20"/>
              </w:rPr>
              <w:t>Contact:</w:t>
            </w:r>
          </w:p>
          <w:p w14:paraId="55617211" w14:textId="4C2A2A81" w:rsidR="009E48CC" w:rsidRPr="00EB32BB" w:rsidRDefault="009E48CC" w:rsidP="009B60EF">
            <w:pPr>
              <w:pStyle w:val="BodyText"/>
              <w:keepLines/>
              <w:spacing w:before="60" w:after="60" w:line="240" w:lineRule="auto"/>
              <w:rPr>
                <w:rFonts w:cs="Arial"/>
                <w:color w:val="008576"/>
                <w:szCs w:val="20"/>
              </w:rPr>
            </w:pPr>
            <w:r>
              <w:rPr>
                <w:rFonts w:cs="Arial"/>
                <w:b/>
                <w:color w:val="008576"/>
                <w:szCs w:val="20"/>
              </w:rPr>
              <w:t>Code</w:t>
            </w:r>
            <w:r w:rsidR="00B7388B">
              <w:rPr>
                <w:rFonts w:cs="Arial"/>
                <w:b/>
                <w:color w:val="008576"/>
                <w:szCs w:val="20"/>
              </w:rPr>
              <w:t xml:space="preserve"> </w:t>
            </w:r>
            <w:r>
              <w:rPr>
                <w:rFonts w:cs="Arial"/>
                <w:b/>
                <w:color w:val="008576"/>
                <w:szCs w:val="20"/>
              </w:rPr>
              <w:t>Administrator</w:t>
            </w:r>
          </w:p>
        </w:tc>
      </w:tr>
      <w:tr w:rsidR="009E48CC" w:rsidRPr="00EB32BB" w14:paraId="5C50F50D"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4067DE49"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6BC76A96" w14:textId="77777777"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309D6021" wp14:editId="207D9966">
                  <wp:extent cx="285750" cy="285750"/>
                  <wp:effectExtent l="0" t="0" r="0" b="0"/>
                  <wp:docPr id="7"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dcusa@electralink.co.uk</w:t>
            </w:r>
          </w:p>
        </w:tc>
      </w:tr>
      <w:tr w:rsidR="009E48CC" w:rsidRPr="00EB32BB" w14:paraId="25C1B04A"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28D5D79B"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2EBD0DA8" w14:textId="0C7349FD"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0D729581" wp14:editId="7FDE3938">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rPr>
              <w:t>0207</w:t>
            </w:r>
            <w:r w:rsidR="003C4BE1">
              <w:rPr>
                <w:rFonts w:cs="Arial"/>
                <w:b/>
                <w:color w:val="008576"/>
                <w:szCs w:val="20"/>
              </w:rPr>
              <w:t xml:space="preserve"> </w:t>
            </w:r>
            <w:r>
              <w:rPr>
                <w:rFonts w:cs="Arial"/>
                <w:b/>
                <w:color w:val="008576"/>
                <w:szCs w:val="20"/>
              </w:rPr>
              <w:t>432</w:t>
            </w:r>
            <w:r w:rsidR="00B7388B">
              <w:rPr>
                <w:rFonts w:cs="Arial"/>
                <w:b/>
                <w:color w:val="008576"/>
                <w:szCs w:val="20"/>
              </w:rPr>
              <w:t xml:space="preserve"> </w:t>
            </w:r>
            <w:r>
              <w:rPr>
                <w:rFonts w:cs="Arial"/>
                <w:b/>
                <w:color w:val="008576"/>
                <w:szCs w:val="20"/>
              </w:rPr>
              <w:t>3011</w:t>
            </w:r>
          </w:p>
        </w:tc>
      </w:tr>
      <w:tr w:rsidR="009E48CC" w:rsidRPr="00EB32BB" w14:paraId="5865B001"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1294BA96"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6EC6CCB4" w14:textId="77777777" w:rsidR="009E48CC" w:rsidRPr="00C30383" w:rsidRDefault="009E48CC" w:rsidP="009B60EF">
            <w:pPr>
              <w:keepLines/>
              <w:spacing w:before="60" w:after="60" w:line="240" w:lineRule="auto"/>
              <w:rPr>
                <w:rFonts w:cs="Arial"/>
                <w:bCs/>
                <w:color w:val="008576"/>
                <w:szCs w:val="20"/>
                <w:lang w:val="en-US"/>
              </w:rPr>
            </w:pPr>
            <w:r w:rsidRPr="00C30383">
              <w:rPr>
                <w:rFonts w:cs="Arial"/>
                <w:bCs/>
                <w:color w:val="008576"/>
                <w:szCs w:val="20"/>
                <w:lang w:val="en-US"/>
              </w:rPr>
              <w:t>Proposer:</w:t>
            </w:r>
          </w:p>
          <w:p w14:paraId="5BA808C7" w14:textId="6BCFF840" w:rsidR="009E48CC" w:rsidRPr="00C30383" w:rsidRDefault="00CF1347" w:rsidP="00C30383">
            <w:pPr>
              <w:pStyle w:val="Default"/>
              <w:rPr>
                <w:rFonts w:ascii="Arial" w:eastAsia="Times New Roman" w:hAnsi="Arial" w:cs="Arial"/>
                <w:b/>
                <w:color w:val="008576"/>
                <w:sz w:val="20"/>
                <w:szCs w:val="20"/>
                <w:lang w:val="en-US"/>
              </w:rPr>
            </w:pPr>
            <w:r>
              <w:rPr>
                <w:rFonts w:ascii="Arial" w:eastAsia="Times New Roman" w:hAnsi="Arial" w:cs="Arial"/>
                <w:b/>
                <w:color w:val="008576"/>
                <w:sz w:val="20"/>
                <w:szCs w:val="20"/>
                <w:lang w:val="en-US"/>
              </w:rPr>
              <w:t>Brian Hoy</w:t>
            </w:r>
          </w:p>
        </w:tc>
      </w:tr>
      <w:tr w:rsidR="009E48CC" w:rsidRPr="00EB32BB" w14:paraId="66CE3BB1"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501DFDEA"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3D0D99F3" w14:textId="77777777" w:rsidR="00C30383" w:rsidRPr="00C30383" w:rsidRDefault="009E48CC" w:rsidP="009B60EF">
            <w:pPr>
              <w:pStyle w:val="BodyText"/>
              <w:keepLines/>
              <w:spacing w:before="60" w:after="60" w:line="240" w:lineRule="auto"/>
              <w:rPr>
                <w:rFonts w:cs="Arial"/>
                <w:b/>
                <w:color w:val="008576"/>
                <w:szCs w:val="20"/>
                <w:lang w:val="en-US"/>
              </w:rPr>
            </w:pPr>
            <w:r w:rsidRPr="00C30383">
              <w:rPr>
                <w:rFonts w:cs="Arial"/>
                <w:b/>
                <w:noProof/>
                <w:color w:val="008576"/>
                <w:szCs w:val="20"/>
                <w:lang w:val="en-US"/>
              </w:rPr>
              <w:drawing>
                <wp:inline distT="0" distB="0" distL="0" distR="0" wp14:anchorId="0B4624DD" wp14:editId="1D00EE28">
                  <wp:extent cx="285750" cy="285750"/>
                  <wp:effectExtent l="0" t="0" r="0" b="0"/>
                  <wp:docPr id="5"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14:paraId="29A2D4E6" w14:textId="4E591B13" w:rsidR="009E48CC" w:rsidRPr="00CF1347" w:rsidRDefault="00CF1347" w:rsidP="00CF1347">
            <w:pPr>
              <w:pStyle w:val="Default"/>
              <w:rPr>
                <w:rFonts w:ascii="Arial" w:eastAsia="Times New Roman" w:hAnsi="Arial" w:cs="Arial"/>
                <w:b/>
                <w:color w:val="008576"/>
                <w:sz w:val="20"/>
                <w:szCs w:val="20"/>
                <w:lang w:val="en-US"/>
              </w:rPr>
            </w:pPr>
            <w:r>
              <w:rPr>
                <w:rFonts w:ascii="Arial" w:eastAsia="Times New Roman" w:hAnsi="Arial" w:cs="Arial"/>
                <w:b/>
                <w:color w:val="008576"/>
                <w:sz w:val="20"/>
                <w:szCs w:val="20"/>
                <w:lang w:val="en-US"/>
              </w:rPr>
              <w:t>brian.hoy@enwl.co.uk</w:t>
            </w:r>
          </w:p>
        </w:tc>
      </w:tr>
      <w:tr w:rsidR="009E48CC" w:rsidRPr="00EB32BB" w14:paraId="3DEB5906"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10D4E1BA"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51E449AD" w14:textId="27F9B755"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47BD2D07" wp14:editId="3F753DBC">
                  <wp:extent cx="285750" cy="285750"/>
                  <wp:effectExtent l="0" t="0" r="0" b="0"/>
                  <wp:docPr id="2"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B7388B">
              <w:rPr>
                <w:rFonts w:cs="Arial"/>
                <w:b/>
                <w:color w:val="008576"/>
                <w:szCs w:val="20"/>
              </w:rPr>
              <w:t xml:space="preserve"> </w:t>
            </w:r>
            <w:r w:rsidR="00C30383" w:rsidRPr="00C30383">
              <w:rPr>
                <w:rFonts w:cs="Arial"/>
                <w:b/>
                <w:color w:val="008576"/>
                <w:szCs w:val="20"/>
              </w:rPr>
              <w:t>0</w:t>
            </w:r>
            <w:r w:rsidR="00CF1347">
              <w:rPr>
                <w:rFonts w:cs="Arial"/>
                <w:b/>
                <w:color w:val="008576"/>
                <w:szCs w:val="20"/>
              </w:rPr>
              <w:t>7795 447 817</w:t>
            </w:r>
          </w:p>
        </w:tc>
      </w:tr>
      <w:tr w:rsidR="009E48CC" w:rsidRPr="00EB32BB" w14:paraId="0C2A07EE"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42B6A911"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7480CC49" w14:textId="1DD7CA43" w:rsidR="009E48CC" w:rsidRPr="00EB32BB" w:rsidRDefault="00B7388B" w:rsidP="009B60EF">
            <w:pPr>
              <w:pStyle w:val="BodyText"/>
              <w:keepLines/>
              <w:spacing w:after="60" w:line="240" w:lineRule="auto"/>
              <w:rPr>
                <w:rFonts w:cs="Arial"/>
                <w:color w:val="008576"/>
                <w:szCs w:val="20"/>
              </w:rPr>
            </w:pPr>
            <w:r>
              <w:rPr>
                <w:rFonts w:cs="Arial"/>
                <w:color w:val="008576"/>
                <w:szCs w:val="20"/>
              </w:rPr>
              <w:t xml:space="preserve">  </w:t>
            </w:r>
          </w:p>
        </w:tc>
      </w:tr>
    </w:tbl>
    <w:p w14:paraId="0DC165D6" w14:textId="1B8FDBC2" w:rsidR="00D734DB" w:rsidRDefault="00D734DB" w:rsidP="00D734DB">
      <w:pPr>
        <w:pStyle w:val="NoSpacing"/>
      </w:pPr>
      <w:bookmarkStart w:id="2" w:name="_Toc188527263"/>
      <w:bookmarkStart w:id="3" w:name="_Toc318962133"/>
      <w:bookmarkStart w:id="4" w:name="_Toc453107796"/>
      <w:r>
        <w:br w:type="page"/>
      </w:r>
    </w:p>
    <w:p w14:paraId="4F04168B" w14:textId="596B8B07" w:rsidR="00143041" w:rsidRPr="00882F64" w:rsidRDefault="004C6117" w:rsidP="004726B8">
      <w:pPr>
        <w:pStyle w:val="Heading03"/>
      </w:pPr>
      <w:bookmarkStart w:id="5" w:name="_Toc77143152"/>
      <w:bookmarkStart w:id="6" w:name="_Toc88488799"/>
      <w:r w:rsidRPr="00882F64">
        <w:lastRenderedPageBreak/>
        <w:t>Summary</w:t>
      </w:r>
      <w:bookmarkEnd w:id="2"/>
      <w:bookmarkEnd w:id="3"/>
      <w:bookmarkEnd w:id="4"/>
      <w:bookmarkEnd w:id="5"/>
      <w:bookmarkEnd w:id="6"/>
    </w:p>
    <w:p w14:paraId="2542D00B" w14:textId="4E4580FC" w:rsidR="00FD160A" w:rsidRDefault="00FD160A" w:rsidP="00FD160A">
      <w:pPr>
        <w:keepNext/>
        <w:spacing w:before="240"/>
        <w:outlineLvl w:val="3"/>
        <w:rPr>
          <w:rFonts w:cs="Arial"/>
          <w:b/>
          <w:bCs/>
          <w:color w:val="008576"/>
          <w:sz w:val="24"/>
          <w:szCs w:val="28"/>
        </w:rPr>
      </w:pPr>
      <w:bookmarkStart w:id="7" w:name="_Toc318962134"/>
      <w:r w:rsidRPr="00FD160A">
        <w:rPr>
          <w:rFonts w:cs="Arial"/>
          <w:b/>
          <w:bCs/>
          <w:color w:val="008576"/>
          <w:sz w:val="24"/>
          <w:szCs w:val="28"/>
        </w:rPr>
        <w:t>What?</w:t>
      </w:r>
    </w:p>
    <w:p w14:paraId="5B926060" w14:textId="77777777" w:rsidR="000F0592" w:rsidRPr="00F162B5" w:rsidRDefault="000F0592" w:rsidP="00367AA0">
      <w:pPr>
        <w:pStyle w:val="ListParagraph"/>
        <w:numPr>
          <w:ilvl w:val="1"/>
          <w:numId w:val="26"/>
        </w:numPr>
        <w:tabs>
          <w:tab w:val="left" w:pos="567"/>
        </w:tabs>
        <w:spacing w:line="360" w:lineRule="auto"/>
        <w:ind w:left="567" w:hanging="567"/>
        <w:jc w:val="both"/>
      </w:pPr>
      <w:r>
        <w:t xml:space="preserve">The </w:t>
      </w:r>
      <w:r w:rsidRPr="00F162B5">
        <w:t xml:space="preserve">On 3 May 2022 Ofgem published its final decision (the ‘Access SCR Decision’) and direction (the ‘Access SCR Direction’) to implement the Access Significant Code Review (SCR) which can be found </w:t>
      </w:r>
      <w:hyperlink r:id="rId17" w:history="1">
        <w:r w:rsidRPr="00F162B5">
          <w:rPr>
            <w:rStyle w:val="Hyperlink"/>
          </w:rPr>
          <w:t>here</w:t>
        </w:r>
      </w:hyperlink>
      <w:r w:rsidRPr="00F162B5">
        <w:t>.</w:t>
      </w:r>
    </w:p>
    <w:p w14:paraId="198821A9" w14:textId="77777777" w:rsidR="000F0592" w:rsidRDefault="000F0592" w:rsidP="00367AA0">
      <w:pPr>
        <w:pStyle w:val="ListParagraph"/>
        <w:numPr>
          <w:ilvl w:val="1"/>
          <w:numId w:val="26"/>
        </w:numPr>
        <w:tabs>
          <w:tab w:val="left" w:pos="567"/>
        </w:tabs>
        <w:spacing w:line="360" w:lineRule="auto"/>
        <w:ind w:left="567" w:hanging="567"/>
        <w:jc w:val="both"/>
      </w:pPr>
      <w:r>
        <w:t xml:space="preserve">Ofgem’s work on the distribution connection charging boundary has considered whether current arrangements continue to work in the best interests of consumers – especially considering the need for increased investment associated with the electrification of heat and transport, as well as low carbon sources of generation. Ofgem has concluded that the charging arrangements no longer provide an effective signal for network users, and without change, may slow down the roll-out of low carbon technologies (LCTs) across the energy system. </w:t>
      </w:r>
    </w:p>
    <w:p w14:paraId="1680219F" w14:textId="77777777" w:rsidR="000F0592" w:rsidRDefault="000F0592" w:rsidP="00367AA0">
      <w:pPr>
        <w:pStyle w:val="ListParagraph"/>
        <w:numPr>
          <w:ilvl w:val="1"/>
          <w:numId w:val="26"/>
        </w:numPr>
        <w:tabs>
          <w:tab w:val="left" w:pos="567"/>
        </w:tabs>
        <w:spacing w:line="360" w:lineRule="auto"/>
        <w:ind w:left="567" w:hanging="567"/>
        <w:jc w:val="both"/>
      </w:pPr>
      <w:r>
        <w:t xml:space="preserve">The Access SCR Decision focuses on two main areas: changes to the connection charging boundary for demand and generation distribution network connections; and changes to better define non-firm access arrangements at distribution.  Specifically, this CP seeks to implement the necessary changes to the DCUSA to deliver the obligations placed on DNOs in the Access SCR Direction </w:t>
      </w:r>
      <w:proofErr w:type="gramStart"/>
      <w:r>
        <w:t>with regard to</w:t>
      </w:r>
      <w:proofErr w:type="gramEnd"/>
      <w:r>
        <w:t xml:space="preserve"> Speculative Developments.</w:t>
      </w:r>
    </w:p>
    <w:p w14:paraId="4C968057" w14:textId="77777777" w:rsidR="000F0592" w:rsidRDefault="000F0592" w:rsidP="00367AA0">
      <w:pPr>
        <w:pStyle w:val="ListParagraph"/>
        <w:numPr>
          <w:ilvl w:val="1"/>
          <w:numId w:val="26"/>
        </w:numPr>
        <w:tabs>
          <w:tab w:val="left" w:pos="567"/>
        </w:tabs>
        <w:spacing w:line="360" w:lineRule="auto"/>
        <w:ind w:left="567" w:hanging="567"/>
        <w:jc w:val="both"/>
      </w:pPr>
      <w:r>
        <w:t>As part of implementation, Ofgem has directed the DNOs to raise a code modification(s) that will:</w:t>
      </w:r>
    </w:p>
    <w:p w14:paraId="44C6708F" w14:textId="77777777" w:rsidR="000F0592" w:rsidRDefault="000F0592" w:rsidP="00367AA0">
      <w:pPr>
        <w:pStyle w:val="ListParagraph"/>
        <w:numPr>
          <w:ilvl w:val="0"/>
          <w:numId w:val="27"/>
        </w:numPr>
        <w:tabs>
          <w:tab w:val="left" w:pos="567"/>
        </w:tabs>
        <w:spacing w:line="360" w:lineRule="auto"/>
        <w:jc w:val="both"/>
      </w:pPr>
      <w:r>
        <w:t xml:space="preserve">Amend the description of speculative developments as currently set out in the CCCM. This should include refining the characteristics </w:t>
      </w:r>
      <w:proofErr w:type="gramStart"/>
      <w:r>
        <w:t>in order to</w:t>
      </w:r>
      <w:proofErr w:type="gramEnd"/>
      <w:r>
        <w:t xml:space="preserve"> ensure consistent interpretation across DNOs, as well as considering more explicit treatment for connections where phased or future expansion may be the most appropriate approach for both the customer and DNO. </w:t>
      </w:r>
    </w:p>
    <w:p w14:paraId="0BD8E775" w14:textId="77777777" w:rsidR="000F0592" w:rsidRDefault="000F0592" w:rsidP="00367AA0">
      <w:pPr>
        <w:pStyle w:val="ListParagraph"/>
        <w:numPr>
          <w:ilvl w:val="0"/>
          <w:numId w:val="27"/>
        </w:numPr>
        <w:tabs>
          <w:tab w:val="left" w:pos="567"/>
        </w:tabs>
        <w:spacing w:line="360" w:lineRule="auto"/>
        <w:jc w:val="both"/>
      </w:pPr>
      <w:r>
        <w:t xml:space="preserve">Clarify that where capacity caters for future expansion rather than the immediate requirements of an end user, </w:t>
      </w:r>
      <w:proofErr w:type="gramStart"/>
      <w:r>
        <w:t>i.e.</w:t>
      </w:r>
      <w:proofErr w:type="gramEnd"/>
      <w:r>
        <w:t xml:space="preserve"> for subsequent phases of a project, it does not always have to be treated as a speculative development. This should be subject to DNO discretion based on an evidence-based assessment of the timing and confidence in delivery of future phases of work. Ofgem expects the working group to further develop a clearer indication of the information and criteria that may be </w:t>
      </w:r>
      <w:proofErr w:type="gramStart"/>
      <w:r>
        <w:t>taken into account</w:t>
      </w:r>
      <w:proofErr w:type="gramEnd"/>
      <w:r>
        <w:t xml:space="preserve"> by the DNO in determining whether the connection should be treated as speculative. </w:t>
      </w:r>
    </w:p>
    <w:p w14:paraId="1B342E40" w14:textId="77777777" w:rsidR="000F0592" w:rsidRDefault="000F0592" w:rsidP="00367AA0">
      <w:pPr>
        <w:pStyle w:val="ListParagraph"/>
        <w:numPr>
          <w:ilvl w:val="0"/>
          <w:numId w:val="27"/>
        </w:numPr>
        <w:tabs>
          <w:tab w:val="left" w:pos="567"/>
        </w:tabs>
        <w:spacing w:line="360" w:lineRule="auto"/>
        <w:jc w:val="both"/>
      </w:pPr>
      <w:r>
        <w:t xml:space="preserve">Clarify that phased developments do not always have to be treated as speculative developments, where the customer can provide sufficient relevant evidence to support this treatment. This should include providing greater clarity on what information is required to determine what is a ‘speculative phase’ and an ‘initial phase’ and how the distinction is made. </w:t>
      </w:r>
    </w:p>
    <w:p w14:paraId="3BDF1050" w14:textId="77777777" w:rsidR="000F0592" w:rsidRDefault="000F0592" w:rsidP="00367AA0">
      <w:pPr>
        <w:pStyle w:val="ListParagraph"/>
        <w:numPr>
          <w:ilvl w:val="0"/>
          <w:numId w:val="27"/>
        </w:numPr>
        <w:tabs>
          <w:tab w:val="left" w:pos="567"/>
        </w:tabs>
        <w:spacing w:line="360" w:lineRule="auto"/>
        <w:jc w:val="both"/>
      </w:pPr>
      <w:r>
        <w:t>Consideration of introducing a methodology for connections with planned phases or future expansion which would otherwise be deemed speculative, where a case can be made for the cost efficiency and wider network benefit of not treating them as such.</w:t>
      </w:r>
    </w:p>
    <w:p w14:paraId="17A286E0" w14:textId="2EFFF6EC" w:rsidR="00FD160A" w:rsidRPr="00FD160A" w:rsidRDefault="00FD160A" w:rsidP="00D734DB">
      <w:pPr>
        <w:spacing w:before="240"/>
        <w:outlineLvl w:val="3"/>
        <w:rPr>
          <w:rFonts w:cs="Arial"/>
          <w:b/>
          <w:bCs/>
          <w:color w:val="008576"/>
          <w:sz w:val="24"/>
          <w:szCs w:val="28"/>
        </w:rPr>
      </w:pPr>
      <w:r w:rsidRPr="00FD160A">
        <w:rPr>
          <w:rFonts w:cs="Arial"/>
          <w:b/>
          <w:bCs/>
          <w:color w:val="008576"/>
          <w:sz w:val="24"/>
          <w:szCs w:val="28"/>
        </w:rPr>
        <w:t>Why?</w:t>
      </w:r>
    </w:p>
    <w:p w14:paraId="20DF2241" w14:textId="77777777" w:rsidR="003A64F3" w:rsidRPr="00E2559F" w:rsidRDefault="003A64F3" w:rsidP="00367AA0">
      <w:pPr>
        <w:pStyle w:val="ListParagraph"/>
        <w:numPr>
          <w:ilvl w:val="1"/>
          <w:numId w:val="26"/>
        </w:numPr>
        <w:tabs>
          <w:tab w:val="left" w:pos="567"/>
        </w:tabs>
        <w:spacing w:line="360" w:lineRule="auto"/>
        <w:ind w:left="567" w:hanging="567"/>
        <w:jc w:val="both"/>
      </w:pPr>
      <w:r w:rsidRPr="0070552C">
        <w:lastRenderedPageBreak/>
        <w:t>The Access SCR Direction places an obligation on DNOs to bring forward the necessary code changes to implement the Access SCR Decision. Failure to do so may lead to DNOs breaching their Licence obligations.</w:t>
      </w:r>
    </w:p>
    <w:p w14:paraId="22344C9B" w14:textId="77777777" w:rsidR="00FD160A" w:rsidRPr="00FD160A" w:rsidRDefault="00FD160A" w:rsidP="00FD160A">
      <w:pPr>
        <w:keepNext/>
        <w:spacing w:before="240"/>
        <w:outlineLvl w:val="3"/>
        <w:rPr>
          <w:rFonts w:cs="Arial"/>
          <w:b/>
          <w:bCs/>
          <w:color w:val="008576"/>
          <w:sz w:val="24"/>
          <w:szCs w:val="28"/>
        </w:rPr>
      </w:pPr>
      <w:r w:rsidRPr="00FD160A">
        <w:rPr>
          <w:rFonts w:cs="Arial"/>
          <w:b/>
          <w:bCs/>
          <w:color w:val="008576"/>
          <w:sz w:val="24"/>
          <w:szCs w:val="28"/>
        </w:rPr>
        <w:t>How?</w:t>
      </w:r>
    </w:p>
    <w:p w14:paraId="2A827F8D" w14:textId="77777777" w:rsidR="003878FB" w:rsidRDefault="003878FB" w:rsidP="003878FB">
      <w:pPr>
        <w:pStyle w:val="ListParagraph"/>
        <w:numPr>
          <w:ilvl w:val="1"/>
          <w:numId w:val="14"/>
        </w:numPr>
        <w:tabs>
          <w:tab w:val="left" w:pos="567"/>
        </w:tabs>
        <w:spacing w:line="360" w:lineRule="auto"/>
        <w:jc w:val="both"/>
      </w:pPr>
      <w:bookmarkStart w:id="8" w:name="_Toc313090984"/>
      <w:bookmarkStart w:id="9" w:name="_Toc459803619"/>
      <w:bookmarkStart w:id="10" w:name="_Toc77143153"/>
      <w:bookmarkStart w:id="11" w:name="_Toc88488800"/>
      <w:r>
        <w:t xml:space="preserve">Revisions to the existing drafting in the CCCM describing speculative connections will be required. </w:t>
      </w:r>
    </w:p>
    <w:p w14:paraId="6B641BF6" w14:textId="77777777" w:rsidR="003878FB" w:rsidRPr="00E2559F" w:rsidRDefault="003878FB" w:rsidP="003878FB">
      <w:pPr>
        <w:pStyle w:val="ListParagraph"/>
        <w:numPr>
          <w:ilvl w:val="1"/>
          <w:numId w:val="14"/>
        </w:numPr>
        <w:tabs>
          <w:tab w:val="left" w:pos="567"/>
        </w:tabs>
        <w:spacing w:line="360" w:lineRule="auto"/>
        <w:jc w:val="both"/>
      </w:pPr>
      <w:r>
        <w:t>Changes to Schedule 32 will be needed to ensure that phased capacity developments are allocated to a ‘residual charging band’ appropriately for the purposes of Distribution Use of System (DUoS) charging to reflect phased demand requirements.</w:t>
      </w:r>
    </w:p>
    <w:p w14:paraId="5CD6A676" w14:textId="7C24300B" w:rsidR="00FD160A" w:rsidRPr="00FD160A" w:rsidRDefault="00FD160A" w:rsidP="004726B8">
      <w:pPr>
        <w:pStyle w:val="Heading03"/>
      </w:pPr>
      <w:r w:rsidRPr="00FD160A">
        <w:t>Governance</w:t>
      </w:r>
      <w:bookmarkEnd w:id="8"/>
      <w:bookmarkEnd w:id="9"/>
      <w:bookmarkEnd w:id="10"/>
      <w:bookmarkEnd w:id="11"/>
    </w:p>
    <w:p w14:paraId="31BCEA30" w14:textId="7109EB15" w:rsidR="00FD160A" w:rsidRPr="00FD160A" w:rsidRDefault="00FD160A" w:rsidP="00FD160A">
      <w:pPr>
        <w:keepNext/>
        <w:spacing w:before="240"/>
        <w:outlineLvl w:val="3"/>
        <w:rPr>
          <w:rFonts w:cs="Arial"/>
          <w:b/>
          <w:bCs/>
          <w:color w:val="008576"/>
          <w:sz w:val="24"/>
        </w:rPr>
      </w:pPr>
      <w:r w:rsidRPr="00FD160A">
        <w:rPr>
          <w:rFonts w:cs="Arial"/>
          <w:b/>
          <w:bCs/>
          <w:color w:val="008576"/>
          <w:sz w:val="24"/>
        </w:rPr>
        <w:t>Justification</w:t>
      </w:r>
      <w:r w:rsidR="00B7388B">
        <w:rPr>
          <w:rFonts w:cs="Arial"/>
          <w:b/>
          <w:bCs/>
          <w:color w:val="008576"/>
          <w:sz w:val="24"/>
        </w:rPr>
        <w:t xml:space="preserve"> </w:t>
      </w:r>
      <w:r w:rsidRPr="00FD160A">
        <w:rPr>
          <w:rFonts w:cs="Arial"/>
          <w:b/>
          <w:bCs/>
          <w:color w:val="008576"/>
          <w:sz w:val="24"/>
        </w:rPr>
        <w:t>for</w:t>
      </w:r>
      <w:r w:rsidR="00B7388B">
        <w:rPr>
          <w:rFonts w:cs="Arial"/>
          <w:b/>
          <w:bCs/>
          <w:color w:val="008576"/>
          <w:sz w:val="24"/>
        </w:rPr>
        <w:t xml:space="preserve"> </w:t>
      </w:r>
      <w:r w:rsidRPr="00FD160A">
        <w:rPr>
          <w:rFonts w:cs="Arial"/>
          <w:b/>
          <w:bCs/>
          <w:color w:val="008576"/>
          <w:sz w:val="24"/>
        </w:rPr>
        <w:t>Part</w:t>
      </w:r>
      <w:r w:rsidR="00B7388B">
        <w:rPr>
          <w:rFonts w:cs="Arial"/>
          <w:b/>
          <w:bCs/>
          <w:color w:val="008576"/>
          <w:sz w:val="24"/>
        </w:rPr>
        <w:t xml:space="preserve"> </w:t>
      </w:r>
      <w:r w:rsidRPr="00FD160A">
        <w:rPr>
          <w:rFonts w:cs="Arial"/>
          <w:b/>
          <w:bCs/>
          <w:color w:val="008576"/>
          <w:sz w:val="24"/>
        </w:rPr>
        <w:t>1</w:t>
      </w:r>
      <w:r w:rsidR="00B7388B">
        <w:rPr>
          <w:rFonts w:cs="Arial"/>
          <w:b/>
          <w:bCs/>
          <w:color w:val="008576"/>
          <w:sz w:val="24"/>
        </w:rPr>
        <w:t xml:space="preserve"> </w:t>
      </w:r>
      <w:r w:rsidRPr="00FD160A">
        <w:rPr>
          <w:rFonts w:cs="Arial"/>
          <w:b/>
          <w:bCs/>
          <w:color w:val="008576"/>
          <w:sz w:val="24"/>
        </w:rPr>
        <w:t>Matter</w:t>
      </w:r>
    </w:p>
    <w:p w14:paraId="0B3E6FA6" w14:textId="77777777" w:rsidR="007D2E23" w:rsidRDefault="007D2E23" w:rsidP="007D2E23">
      <w:pPr>
        <w:pStyle w:val="Heading2"/>
      </w:pPr>
      <w:r>
        <w:t xml:space="preserve">This CP </w:t>
      </w:r>
      <w:proofErr w:type="gramStart"/>
      <w:r>
        <w:t>is considered to be</w:t>
      </w:r>
      <w:proofErr w:type="gramEnd"/>
      <w:r>
        <w:t xml:space="preserve"> a Part 1 Matter in accordance with DCUSA Clauses 9.4.1 and 9.4.6, being:</w:t>
      </w:r>
    </w:p>
    <w:p w14:paraId="754DDB77" w14:textId="77777777" w:rsidR="007D2E23" w:rsidRDefault="007D2E23">
      <w:pPr>
        <w:pStyle w:val="ListParagraph"/>
        <w:numPr>
          <w:ilvl w:val="0"/>
          <w:numId w:val="24"/>
        </w:numPr>
        <w:spacing w:before="0" w:after="0" w:line="360" w:lineRule="auto"/>
        <w:ind w:left="2160"/>
        <w:rPr>
          <w:rFonts w:eastAsia="Calibri" w:cs="Arial"/>
          <w:szCs w:val="20"/>
        </w:rPr>
      </w:pPr>
      <w:r>
        <w:rPr>
          <w:rFonts w:cs="Arial"/>
          <w:szCs w:val="20"/>
        </w:rPr>
        <w:t xml:space="preserve">9.4.1 it is likely to have a significant impact on the interests of electricity </w:t>
      </w:r>
      <w:proofErr w:type="gramStart"/>
      <w:r>
        <w:rPr>
          <w:rFonts w:cs="Arial"/>
          <w:szCs w:val="20"/>
        </w:rPr>
        <w:t>consumers;</w:t>
      </w:r>
      <w:proofErr w:type="gramEnd"/>
    </w:p>
    <w:p w14:paraId="46E94BDB" w14:textId="77777777" w:rsidR="007D2E23" w:rsidRDefault="007D2E23">
      <w:pPr>
        <w:pStyle w:val="ListParagraph"/>
        <w:numPr>
          <w:ilvl w:val="0"/>
          <w:numId w:val="24"/>
        </w:numPr>
        <w:spacing w:before="0" w:after="0" w:line="360" w:lineRule="auto"/>
        <w:ind w:left="2160"/>
        <w:rPr>
          <w:rFonts w:cs="Arial"/>
          <w:szCs w:val="20"/>
        </w:rPr>
      </w:pPr>
      <w:r>
        <w:rPr>
          <w:rFonts w:cs="Arial"/>
          <w:szCs w:val="20"/>
        </w:rPr>
        <w:t>9.4.6 it has been raised by the Authority or a DNO/IDNO Party pursuant to Clause 10.2.5, and/or the Authority has made one or more directions in relation to it in accordance with Clause 11.9A.</w:t>
      </w:r>
    </w:p>
    <w:p w14:paraId="7F0FF27D" w14:textId="77777777" w:rsidR="007D2E23" w:rsidRDefault="007D2E23" w:rsidP="007D2E23">
      <w:pPr>
        <w:pStyle w:val="Heading2"/>
      </w:pPr>
      <w:r>
        <w:rPr>
          <w:szCs w:val="20"/>
        </w:rPr>
        <w:t xml:space="preserve">The DCUSA Panel have agreed that this CP is to be treated as an Urgent Change. </w:t>
      </w:r>
      <w:r>
        <w:t>It is important that this CP is submitted to Ofgem for approval by October 2022 to allow DNOs to meet the obligation placed on them in the Access SCR Direction.</w:t>
      </w:r>
    </w:p>
    <w:p w14:paraId="21D68EC3" w14:textId="77777777" w:rsidR="007D2E23" w:rsidRDefault="007D2E23" w:rsidP="007D2E23">
      <w:pPr>
        <w:pStyle w:val="Heading2"/>
      </w:pPr>
      <w:r>
        <w:t>This CP cannot be withdrawn without the Authority’s consent to do so. In accordance with Clause 11.9A, the Authority may also, by direction, specify and/or amend the relevant timetable to apply to each stage of the Assessment Process.</w:t>
      </w:r>
    </w:p>
    <w:p w14:paraId="072B4D90" w14:textId="424AEF8D" w:rsidR="00FD160A" w:rsidRPr="00FD160A" w:rsidRDefault="00FD160A" w:rsidP="00FD160A">
      <w:pPr>
        <w:keepNext/>
        <w:spacing w:before="240"/>
        <w:outlineLvl w:val="3"/>
        <w:rPr>
          <w:rFonts w:cs="Arial"/>
          <w:bCs/>
          <w:i/>
          <w:color w:val="FF0000"/>
          <w:szCs w:val="20"/>
        </w:rPr>
      </w:pPr>
      <w:r w:rsidRPr="00FD160A">
        <w:rPr>
          <w:rFonts w:cs="Arial"/>
          <w:b/>
          <w:bCs/>
          <w:color w:val="008576"/>
          <w:sz w:val="24"/>
        </w:rPr>
        <w:t>Next</w:t>
      </w:r>
      <w:r w:rsidR="00B7388B">
        <w:rPr>
          <w:rFonts w:cs="Arial"/>
          <w:b/>
          <w:bCs/>
          <w:color w:val="008576"/>
          <w:sz w:val="24"/>
        </w:rPr>
        <w:t xml:space="preserve"> </w:t>
      </w:r>
      <w:r w:rsidRPr="00FD160A">
        <w:rPr>
          <w:rFonts w:cs="Arial"/>
          <w:b/>
          <w:bCs/>
          <w:color w:val="008576"/>
          <w:sz w:val="24"/>
        </w:rPr>
        <w:t>Steps</w:t>
      </w:r>
    </w:p>
    <w:p w14:paraId="362940C8" w14:textId="0FE0C030" w:rsidR="00A87C53" w:rsidRDefault="00A87C53" w:rsidP="00A87C53">
      <w:pPr>
        <w:pStyle w:val="Heading2"/>
      </w:pPr>
      <w:bookmarkStart w:id="12" w:name="_Toc313090985"/>
      <w:bookmarkStart w:id="13" w:name="_Toc459803620"/>
      <w:bookmarkStart w:id="14" w:name="_Toc77143154"/>
      <w:bookmarkStart w:id="15" w:name="_Toc88488801"/>
      <w:r>
        <w:t>Following a review of the Consultation responses, the Working Group will work to agree the final detail of the solution for DCP 40</w:t>
      </w:r>
      <w:r w:rsidR="003878FB">
        <w:t>7</w:t>
      </w:r>
      <w:r>
        <w:t xml:space="preserve"> and if appropriate progress to the Change Report phase. </w:t>
      </w:r>
    </w:p>
    <w:p w14:paraId="481B4543" w14:textId="312B00C0" w:rsidR="00FD160A" w:rsidRPr="00FD160A" w:rsidRDefault="00FD160A" w:rsidP="004726B8">
      <w:pPr>
        <w:pStyle w:val="Heading03"/>
      </w:pPr>
      <w:r w:rsidRPr="00FD160A">
        <w:t>Why</w:t>
      </w:r>
      <w:r w:rsidR="00B7388B">
        <w:t xml:space="preserve"> </w:t>
      </w:r>
      <w:r w:rsidRPr="00FD160A">
        <w:t>Change?</w:t>
      </w:r>
      <w:bookmarkEnd w:id="12"/>
      <w:bookmarkEnd w:id="13"/>
      <w:bookmarkEnd w:id="14"/>
      <w:bookmarkEnd w:id="15"/>
    </w:p>
    <w:p w14:paraId="53E8E15C" w14:textId="0902C77F" w:rsidR="003D294F" w:rsidRDefault="003D294F" w:rsidP="003D294F">
      <w:pPr>
        <w:pStyle w:val="Heading4"/>
      </w:pPr>
      <w:bookmarkStart w:id="16" w:name="_Toc77143155"/>
      <w:bookmarkStart w:id="17" w:name="_Toc88488802"/>
      <w:bookmarkStart w:id="18" w:name="_Toc313090987"/>
      <w:bookmarkStart w:id="19" w:name="_Toc459803621"/>
      <w:r>
        <w:t>Background of DCP 40</w:t>
      </w:r>
      <w:r w:rsidR="003878FB">
        <w:t>7</w:t>
      </w:r>
    </w:p>
    <w:p w14:paraId="43E7B153" w14:textId="77777777" w:rsidR="00A47B2C" w:rsidRPr="0070552C" w:rsidRDefault="00A47B2C" w:rsidP="00367AA0">
      <w:pPr>
        <w:pStyle w:val="ListParagraph"/>
        <w:numPr>
          <w:ilvl w:val="1"/>
          <w:numId w:val="28"/>
        </w:numPr>
        <w:spacing w:line="360" w:lineRule="auto"/>
        <w:ind w:left="567" w:hanging="567"/>
        <w:jc w:val="both"/>
      </w:pPr>
      <w:r w:rsidRPr="0070552C">
        <w:t xml:space="preserve">As </w:t>
      </w:r>
      <w:proofErr w:type="gramStart"/>
      <w:r w:rsidRPr="0070552C">
        <w:t>noted</w:t>
      </w:r>
      <w:proofErr w:type="gramEnd"/>
      <w:r w:rsidRPr="0070552C">
        <w:t xml:space="preserve"> this CP seeks to make the necessary modifications to the DCUSA in relation the CCCM and Schedule 32, to implement the changes to the connection charging boundary arrangements set out in the Access SCR Decision, in particular with reference to speculative connections. Specifically, this change has been raised to address paragraph 16 of the Access SCR Direction, which has been set out below for reference:</w:t>
      </w:r>
    </w:p>
    <w:p w14:paraId="2A8A90B3" w14:textId="77777777" w:rsidR="00A47B2C" w:rsidRPr="00E76194" w:rsidRDefault="00A47B2C" w:rsidP="00367AA0">
      <w:pPr>
        <w:pStyle w:val="ListParagraph"/>
        <w:widowControl w:val="0"/>
        <w:numPr>
          <w:ilvl w:val="0"/>
          <w:numId w:val="29"/>
        </w:numPr>
        <w:tabs>
          <w:tab w:val="left" w:pos="603"/>
        </w:tabs>
        <w:autoSpaceDE w:val="0"/>
        <w:autoSpaceDN w:val="0"/>
        <w:spacing w:line="276" w:lineRule="auto"/>
        <w:ind w:left="1134" w:hanging="567"/>
        <w:jc w:val="both"/>
        <w:rPr>
          <w:rFonts w:cs="Arial"/>
          <w:i/>
          <w:iCs/>
          <w:color w:val="767171" w:themeColor="background2" w:themeShade="80"/>
          <w:szCs w:val="20"/>
        </w:rPr>
      </w:pPr>
      <w:r w:rsidRPr="00E76194">
        <w:rPr>
          <w:rFonts w:cs="Arial"/>
          <w:i/>
          <w:iCs/>
          <w:color w:val="767171" w:themeColor="background2" w:themeShade="80"/>
          <w:szCs w:val="20"/>
        </w:rPr>
        <w:t>The Proposal(s) should include amendments to the description of Speculative Developments, as defined in the CCCM. These amendments should include consideration of the following:</w:t>
      </w:r>
    </w:p>
    <w:p w14:paraId="20DDEAD0" w14:textId="77777777" w:rsidR="00A47B2C" w:rsidRPr="00E76194" w:rsidRDefault="00A47B2C" w:rsidP="00367AA0">
      <w:pPr>
        <w:pStyle w:val="ListParagraph"/>
        <w:widowControl w:val="0"/>
        <w:numPr>
          <w:ilvl w:val="1"/>
          <w:numId w:val="29"/>
        </w:numPr>
        <w:autoSpaceDE w:val="0"/>
        <w:autoSpaceDN w:val="0"/>
        <w:spacing w:before="0" w:line="276" w:lineRule="auto"/>
        <w:ind w:left="1560" w:hanging="426"/>
        <w:rPr>
          <w:rFonts w:cs="Arial"/>
          <w:i/>
          <w:iCs/>
          <w:color w:val="767171" w:themeColor="background2" w:themeShade="80"/>
          <w:szCs w:val="20"/>
        </w:rPr>
      </w:pPr>
      <w:r w:rsidRPr="00E76194">
        <w:rPr>
          <w:rFonts w:cs="Arial"/>
          <w:i/>
          <w:iCs/>
          <w:color w:val="767171" w:themeColor="background2" w:themeShade="80"/>
          <w:szCs w:val="20"/>
        </w:rPr>
        <w:t xml:space="preserve">Greater clarity on the characteristic “the capacity requested caters for future expansion rather than the immediate requirements of (an) end user(s)”, provided through clearer </w:t>
      </w:r>
      <w:r w:rsidRPr="00E76194">
        <w:rPr>
          <w:rFonts w:cs="Arial"/>
          <w:i/>
          <w:iCs/>
          <w:color w:val="767171" w:themeColor="background2" w:themeShade="80"/>
          <w:szCs w:val="20"/>
        </w:rPr>
        <w:lastRenderedPageBreak/>
        <w:t>indication of the information required to determine whether the connection should be treated as speculative.</w:t>
      </w:r>
    </w:p>
    <w:p w14:paraId="7C85E17C" w14:textId="77777777" w:rsidR="00A47B2C" w:rsidRPr="00E76194" w:rsidRDefault="00A47B2C" w:rsidP="00367AA0">
      <w:pPr>
        <w:pStyle w:val="ListParagraph"/>
        <w:widowControl w:val="0"/>
        <w:numPr>
          <w:ilvl w:val="1"/>
          <w:numId w:val="29"/>
        </w:numPr>
        <w:autoSpaceDE w:val="0"/>
        <w:autoSpaceDN w:val="0"/>
        <w:spacing w:before="0" w:line="276" w:lineRule="auto"/>
        <w:ind w:left="1560" w:hanging="426"/>
        <w:rPr>
          <w:rFonts w:cs="Arial"/>
          <w:i/>
          <w:iCs/>
          <w:color w:val="767171" w:themeColor="background2" w:themeShade="80"/>
          <w:szCs w:val="20"/>
        </w:rPr>
      </w:pPr>
      <w:r w:rsidRPr="00E76194">
        <w:rPr>
          <w:rFonts w:cs="Arial"/>
          <w:i/>
          <w:iCs/>
          <w:color w:val="767171" w:themeColor="background2" w:themeShade="80"/>
          <w:szCs w:val="20"/>
        </w:rPr>
        <w:t>Greater clarity on the characteristic “the capacity requested caters for future speculative phases of a development rather than the initial phase(s) of the development”, provided through clearer indication of what constitutes a “speculative phase” or an “initial phase”, and what information is required to determine this distinction. This should include clarification that phased developments are not always treated as speculative developments where the customer can provide sufficient relevant evidence.</w:t>
      </w:r>
    </w:p>
    <w:p w14:paraId="37284D88" w14:textId="77777777" w:rsidR="00A47B2C" w:rsidRPr="00EF5E5F" w:rsidRDefault="00A47B2C" w:rsidP="00367AA0">
      <w:pPr>
        <w:pStyle w:val="ListParagraph"/>
        <w:widowControl w:val="0"/>
        <w:numPr>
          <w:ilvl w:val="1"/>
          <w:numId w:val="29"/>
        </w:numPr>
        <w:autoSpaceDE w:val="0"/>
        <w:autoSpaceDN w:val="0"/>
        <w:spacing w:before="0" w:line="276" w:lineRule="auto"/>
        <w:ind w:left="1560" w:hanging="426"/>
        <w:rPr>
          <w:rFonts w:cs="Arial"/>
          <w:i/>
          <w:iCs/>
          <w:color w:val="767171" w:themeColor="background2" w:themeShade="80"/>
          <w:szCs w:val="20"/>
        </w:rPr>
      </w:pPr>
      <w:r w:rsidRPr="00E76194">
        <w:rPr>
          <w:rFonts w:cs="Arial"/>
          <w:i/>
          <w:iCs/>
          <w:color w:val="767171" w:themeColor="background2" w:themeShade="80"/>
          <w:szCs w:val="20"/>
        </w:rPr>
        <w:t>Consideration of introducing a methodology for connections with planned phases or future expansion which would otherwise be deemed speculative, where a case can be made for the cost efficiency and wider network benefit.</w:t>
      </w:r>
    </w:p>
    <w:p w14:paraId="20331B12" w14:textId="77777777" w:rsidR="00A47B2C" w:rsidRDefault="00A47B2C" w:rsidP="00367AA0">
      <w:pPr>
        <w:pStyle w:val="ListParagraph"/>
        <w:numPr>
          <w:ilvl w:val="1"/>
          <w:numId w:val="28"/>
        </w:numPr>
      </w:pPr>
      <w:r w:rsidRPr="00EF5E5F">
        <w:t>Failure to develop these proposals and implement associated change by 1 April 2023 will result in failure to implement the Access SCR Decision, and in doing so could result in DNOs being in breach of the distribution licence</w:t>
      </w:r>
      <w:r>
        <w:t>.</w:t>
      </w:r>
    </w:p>
    <w:p w14:paraId="0CCB76A8" w14:textId="1A0AC22D" w:rsidR="0085503A" w:rsidRPr="004726B8" w:rsidRDefault="0085503A" w:rsidP="004726B8">
      <w:pPr>
        <w:pStyle w:val="Heading03"/>
      </w:pPr>
      <w:r w:rsidRPr="004726B8">
        <w:t>Working</w:t>
      </w:r>
      <w:r w:rsidR="00B7388B" w:rsidRPr="004726B8">
        <w:t xml:space="preserve"> </w:t>
      </w:r>
      <w:r w:rsidRPr="004726B8">
        <w:t>Group</w:t>
      </w:r>
      <w:r w:rsidR="00B7388B" w:rsidRPr="004726B8">
        <w:t xml:space="preserve"> </w:t>
      </w:r>
      <w:r w:rsidRPr="004726B8">
        <w:t>Assessment</w:t>
      </w:r>
      <w:bookmarkEnd w:id="16"/>
      <w:bookmarkEnd w:id="17"/>
      <w:r w:rsidR="00B7388B" w:rsidRPr="004726B8">
        <w:t xml:space="preserve"> </w:t>
      </w:r>
    </w:p>
    <w:p w14:paraId="70F8835E" w14:textId="77777777" w:rsidR="00440CC1" w:rsidRPr="00313A0A" w:rsidRDefault="00440CC1" w:rsidP="00440CC1">
      <w:pPr>
        <w:pStyle w:val="Heading4"/>
        <w:jc w:val="both"/>
        <w:rPr>
          <w:b w:val="0"/>
          <w:i/>
          <w:color w:val="auto"/>
        </w:rPr>
      </w:pPr>
      <w:bookmarkStart w:id="20" w:name="_Toc318962139"/>
      <w:bookmarkStart w:id="21" w:name="_Toc318967199"/>
      <w:bookmarkStart w:id="22" w:name="_Hlk111213590"/>
      <w:bookmarkStart w:id="23" w:name="_Toc40010087"/>
      <w:bookmarkStart w:id="24" w:name="_Hlk39730327"/>
      <w:bookmarkStart w:id="25" w:name="_Toc40482667"/>
      <w:bookmarkStart w:id="26" w:name="_Toc88488803"/>
      <w:r>
        <w:t>DCP 407 Working Group Assessment</w:t>
      </w:r>
    </w:p>
    <w:p w14:paraId="08D49514" w14:textId="77777777" w:rsidR="00440CC1" w:rsidRPr="00313A0A" w:rsidRDefault="00440CC1" w:rsidP="00367AA0">
      <w:pPr>
        <w:pStyle w:val="ListParagraph"/>
        <w:numPr>
          <w:ilvl w:val="1"/>
          <w:numId w:val="30"/>
        </w:numPr>
        <w:spacing w:line="360" w:lineRule="auto"/>
        <w:ind w:left="567" w:hanging="567"/>
        <w:jc w:val="both"/>
      </w:pPr>
      <w:r w:rsidRPr="00313A0A">
        <w:t>The DCUSA Panel established a Working Group to assess DCP 406. This Working Group consists of Supplier, DNO, IDNO representatives and other interested industry participants</w:t>
      </w:r>
      <w:r w:rsidRPr="00313A0A">
        <w:rPr>
          <w:color w:val="FF0000"/>
        </w:rPr>
        <w:t xml:space="preserve">. </w:t>
      </w:r>
      <w:r w:rsidRPr="00313A0A">
        <w:t xml:space="preserve">Meetings were held in open session and the minutes and papers of each meeting are available on the DCUSA website – </w:t>
      </w:r>
      <w:hyperlink r:id="rId18" w:history="1">
        <w:r w:rsidRPr="00313A0A">
          <w:rPr>
            <w:color w:val="0000FF"/>
            <w:u w:val="single"/>
          </w:rPr>
          <w:t>www.dcusa.co.uk</w:t>
        </w:r>
      </w:hyperlink>
      <w:r w:rsidRPr="00313A0A">
        <w:t>.</w:t>
      </w:r>
    </w:p>
    <w:p w14:paraId="5E67D158" w14:textId="77777777" w:rsidR="00440CC1" w:rsidRPr="00313A0A" w:rsidRDefault="00440CC1" w:rsidP="00367AA0">
      <w:pPr>
        <w:pStyle w:val="ListParagraph"/>
        <w:numPr>
          <w:ilvl w:val="1"/>
          <w:numId w:val="30"/>
        </w:numPr>
        <w:spacing w:line="360" w:lineRule="auto"/>
        <w:ind w:left="567" w:hanging="567"/>
        <w:jc w:val="both"/>
      </w:pPr>
      <w:r w:rsidRPr="00313A0A">
        <w:t xml:space="preserve">In the Access </w:t>
      </w:r>
      <w:proofErr w:type="spellStart"/>
      <w:r w:rsidRPr="00313A0A">
        <w:t>SCRDirection</w:t>
      </w:r>
      <w:proofErr w:type="spellEnd"/>
      <w:r w:rsidRPr="00313A0A">
        <w:t xml:space="preserve">, Ofgem identified three </w:t>
      </w:r>
      <w:proofErr w:type="gramStart"/>
      <w:r w:rsidRPr="00313A0A">
        <w:t>particular aspects</w:t>
      </w:r>
      <w:proofErr w:type="gramEnd"/>
      <w:r w:rsidRPr="00313A0A">
        <w:t xml:space="preserve"> that should be considered.  Each aspect was reviewed by the Working Group which concluded that considering these in isolation was not appropriate.  </w:t>
      </w:r>
    </w:p>
    <w:p w14:paraId="4FD6F5D5" w14:textId="77777777" w:rsidR="00440CC1" w:rsidRPr="00313A0A" w:rsidRDefault="00440CC1" w:rsidP="00367AA0">
      <w:pPr>
        <w:pStyle w:val="ListParagraph"/>
        <w:numPr>
          <w:ilvl w:val="1"/>
          <w:numId w:val="30"/>
        </w:numPr>
        <w:spacing w:line="360" w:lineRule="auto"/>
        <w:ind w:left="567" w:hanging="567"/>
        <w:jc w:val="both"/>
      </w:pPr>
      <w:r w:rsidRPr="00313A0A">
        <w:t xml:space="preserve">The Working Group developed these ideas and used them to form part of the proposal that is documented below.  This proposed methodology sets conditions whereby applications can be evaluated to consider whether they are speculative or not across </w:t>
      </w:r>
      <w:proofErr w:type="gramStart"/>
      <w:r w:rsidRPr="00313A0A">
        <w:t>a number of</w:t>
      </w:r>
      <w:proofErr w:type="gramEnd"/>
      <w:r w:rsidRPr="00313A0A">
        <w:t xml:space="preserve"> criteria.  In terms of the specific aspects Ofgem required consideration of:</w:t>
      </w:r>
    </w:p>
    <w:p w14:paraId="04A1D68E" w14:textId="77777777" w:rsidR="00440CC1" w:rsidRPr="00313A0A" w:rsidRDefault="00440CC1" w:rsidP="00367AA0">
      <w:pPr>
        <w:widowControl w:val="0"/>
        <w:numPr>
          <w:ilvl w:val="0"/>
          <w:numId w:val="32"/>
        </w:numPr>
        <w:spacing w:before="0" w:line="276" w:lineRule="auto"/>
        <w:rPr>
          <w:rFonts w:cs="Arial"/>
          <w:i/>
          <w:iCs/>
          <w:color w:val="767171"/>
        </w:rPr>
      </w:pPr>
      <w:r w:rsidRPr="00313A0A">
        <w:rPr>
          <w:rFonts w:cs="Arial"/>
          <w:i/>
          <w:iCs/>
          <w:color w:val="767171"/>
        </w:rPr>
        <w:t>Greater clarity on the characteristic “the capacity requested caters for future expansion rather than the immediate requirements of (an) end user(s)”, provided through clearer indication of the information required to determine whether the connection should be treated as speculative.</w:t>
      </w:r>
    </w:p>
    <w:p w14:paraId="4FB0C7D2" w14:textId="77777777" w:rsidR="00440CC1" w:rsidRDefault="00440CC1" w:rsidP="00367AA0">
      <w:pPr>
        <w:pStyle w:val="ListParagraph"/>
        <w:numPr>
          <w:ilvl w:val="1"/>
          <w:numId w:val="30"/>
        </w:numPr>
        <w:spacing w:line="360" w:lineRule="auto"/>
        <w:ind w:left="567" w:hanging="567"/>
        <w:jc w:val="both"/>
      </w:pPr>
      <w:r>
        <w:t xml:space="preserve">In relation to the first requirement above, this forms part of the proposed methodology, which the Working Group has sought to address through Criteria 4 and </w:t>
      </w:r>
      <w:proofErr w:type="gramStart"/>
      <w:r>
        <w:t>5 in particular</w:t>
      </w:r>
      <w:proofErr w:type="gramEnd"/>
      <w:r>
        <w:t>.</w:t>
      </w:r>
    </w:p>
    <w:p w14:paraId="4BEEB302" w14:textId="77777777" w:rsidR="00440CC1" w:rsidRPr="00313A0A" w:rsidRDefault="00440CC1" w:rsidP="00367AA0">
      <w:pPr>
        <w:widowControl w:val="0"/>
        <w:numPr>
          <w:ilvl w:val="0"/>
          <w:numId w:val="32"/>
        </w:numPr>
        <w:spacing w:before="0" w:line="276" w:lineRule="auto"/>
        <w:rPr>
          <w:rFonts w:cs="Arial"/>
          <w:i/>
          <w:iCs/>
          <w:color w:val="767171"/>
        </w:rPr>
      </w:pPr>
      <w:r w:rsidRPr="00313A0A">
        <w:rPr>
          <w:rFonts w:cs="Arial"/>
          <w:i/>
          <w:iCs/>
          <w:color w:val="767171"/>
        </w:rPr>
        <w:t>Greater clarity on the characteristic “the capacity requested caters for future speculative phases of a development rather than the initial phase(s) of the development”, provided through clearer indication of what constitutes a “speculative phase” or an “initial phase”, and what information is required to determine this distinction. This should include clarification that phased developments are not always treated as speculative developments where the customer can provide sufficient relevant evidence.</w:t>
      </w:r>
    </w:p>
    <w:p w14:paraId="1F5626E6" w14:textId="77777777" w:rsidR="00440CC1" w:rsidRPr="00313A0A" w:rsidRDefault="00440CC1" w:rsidP="00367AA0">
      <w:pPr>
        <w:pStyle w:val="ListParagraph"/>
        <w:numPr>
          <w:ilvl w:val="1"/>
          <w:numId w:val="30"/>
        </w:numPr>
        <w:spacing w:line="360" w:lineRule="auto"/>
        <w:ind w:left="567" w:hanging="567"/>
        <w:jc w:val="both"/>
      </w:pPr>
      <w:r w:rsidRPr="00313A0A">
        <w:t>In relation to the second requirement above, the Working Group concluded that it was difficult to create clear definitions that distinguished between a “speculative phase” and an “initial phase</w:t>
      </w:r>
      <w:proofErr w:type="gramStart"/>
      <w:r w:rsidRPr="00313A0A">
        <w:t>”, but</w:t>
      </w:r>
      <w:proofErr w:type="gramEnd"/>
      <w:r w:rsidRPr="00313A0A">
        <w:t xml:space="preserve"> sought to address the requirement through Criteria 6.</w:t>
      </w:r>
    </w:p>
    <w:p w14:paraId="471F10DC" w14:textId="77777777" w:rsidR="00440CC1" w:rsidRPr="00313A0A" w:rsidRDefault="00440CC1" w:rsidP="00367AA0">
      <w:pPr>
        <w:widowControl w:val="0"/>
        <w:numPr>
          <w:ilvl w:val="0"/>
          <w:numId w:val="33"/>
        </w:numPr>
        <w:spacing w:before="0" w:line="276" w:lineRule="auto"/>
        <w:rPr>
          <w:rFonts w:cs="Arial"/>
          <w:i/>
          <w:iCs/>
          <w:color w:val="767171"/>
        </w:rPr>
      </w:pPr>
      <w:r w:rsidRPr="00313A0A">
        <w:rPr>
          <w:rFonts w:cs="Arial"/>
          <w:i/>
          <w:iCs/>
          <w:color w:val="767171"/>
        </w:rPr>
        <w:lastRenderedPageBreak/>
        <w:t>Consideration of introducing a methodology for connections with planned phases or future expansion which would otherwise be deemed speculative, where a case can be made for the cost efficiency and wider network benefit.</w:t>
      </w:r>
    </w:p>
    <w:p w14:paraId="0DD69075" w14:textId="77777777" w:rsidR="00440CC1" w:rsidRPr="00313A0A" w:rsidRDefault="00440CC1" w:rsidP="00367AA0">
      <w:pPr>
        <w:pStyle w:val="ListParagraph"/>
        <w:numPr>
          <w:ilvl w:val="1"/>
          <w:numId w:val="30"/>
        </w:numPr>
        <w:spacing w:line="360" w:lineRule="auto"/>
        <w:ind w:left="567" w:hanging="567"/>
        <w:jc w:val="both"/>
      </w:pPr>
      <w:r w:rsidRPr="00313A0A">
        <w:t xml:space="preserve">In relation to the third requirement above, the Working Group developed this </w:t>
      </w:r>
      <w:proofErr w:type="gramStart"/>
      <w:r w:rsidRPr="00313A0A">
        <w:t>idea</w:t>
      </w:r>
      <w:proofErr w:type="gramEnd"/>
      <w:r w:rsidRPr="00313A0A">
        <w:t xml:space="preserve"> and it forms part of the proposal that is documented below.  In addition, proposed legal text was developed to set out how a ‘ramped capacity agreement’ could be established, see section 2.</w:t>
      </w:r>
    </w:p>
    <w:p w14:paraId="7B708562" w14:textId="77777777" w:rsidR="00440CC1" w:rsidRPr="00313A0A" w:rsidRDefault="00440CC1" w:rsidP="00440CC1">
      <w:pPr>
        <w:rPr>
          <w:b/>
          <w:bCs/>
        </w:rPr>
      </w:pPr>
      <w:r w:rsidRPr="00313A0A">
        <w:rPr>
          <w:b/>
          <w:bCs/>
        </w:rPr>
        <w:t xml:space="preserve">Proposed </w:t>
      </w:r>
      <w:r>
        <w:rPr>
          <w:b/>
          <w:bCs/>
        </w:rPr>
        <w:t>S</w:t>
      </w:r>
      <w:r w:rsidRPr="00313A0A">
        <w:rPr>
          <w:b/>
          <w:bCs/>
        </w:rPr>
        <w:t xml:space="preserve">olution </w:t>
      </w:r>
    </w:p>
    <w:p w14:paraId="26B9F93D" w14:textId="77777777" w:rsidR="00440CC1" w:rsidRDefault="00440CC1" w:rsidP="00367AA0">
      <w:pPr>
        <w:pStyle w:val="ListParagraph"/>
        <w:numPr>
          <w:ilvl w:val="1"/>
          <w:numId w:val="30"/>
        </w:numPr>
        <w:spacing w:line="360" w:lineRule="auto"/>
        <w:ind w:left="567" w:hanging="567"/>
        <w:jc w:val="both"/>
      </w:pPr>
      <w:r>
        <w:t xml:space="preserve">The Access SCR Direction requires DNOs to provide greater clarity on the characteristics that may be deemed to be speculative and to consider introducing a methodology for connections with planned phases or future expansion plans. The Working Group (WG) queried how DNOs interpret the current definition of Speculative Developments and compared the approaches </w:t>
      </w:r>
      <w:proofErr w:type="gramStart"/>
      <w:r>
        <w:t>in order to</w:t>
      </w:r>
      <w:proofErr w:type="gramEnd"/>
      <w:r>
        <w:t xml:space="preserve"> highlight the discrepancies.</w:t>
      </w:r>
    </w:p>
    <w:p w14:paraId="479B5DB8" w14:textId="77777777" w:rsidR="00440CC1" w:rsidRDefault="00440CC1" w:rsidP="00367AA0">
      <w:pPr>
        <w:pStyle w:val="ListParagraph"/>
        <w:numPr>
          <w:ilvl w:val="1"/>
          <w:numId w:val="30"/>
        </w:numPr>
        <w:spacing w:line="360" w:lineRule="auto"/>
        <w:ind w:left="567" w:hanging="567"/>
        <w:jc w:val="both"/>
      </w:pPr>
      <w:r>
        <w:t xml:space="preserve">The WG built on these approaches to explain what each DNO would do in a variety of scenarios to facilitate the development of a solution. The review of scenarios established </w:t>
      </w:r>
      <w:proofErr w:type="gramStart"/>
      <w:r>
        <w:t>a number of</w:t>
      </w:r>
      <w:proofErr w:type="gramEnd"/>
      <w:r>
        <w:t xml:space="preserve"> criteria that could be applied to each of the scenarios. </w:t>
      </w:r>
    </w:p>
    <w:p w14:paraId="2E673D67" w14:textId="77777777" w:rsidR="00440CC1" w:rsidRDefault="00440CC1" w:rsidP="00367AA0">
      <w:pPr>
        <w:pStyle w:val="ListParagraph"/>
        <w:numPr>
          <w:ilvl w:val="1"/>
          <w:numId w:val="30"/>
        </w:numPr>
        <w:spacing w:line="360" w:lineRule="auto"/>
        <w:ind w:left="567" w:hanging="567"/>
        <w:jc w:val="both"/>
      </w:pPr>
      <w:r>
        <w:t xml:space="preserve">The WG developed a set of consistent criteria which utilises a scoring matrix as part of a quantitative approach which it believes better meets the Access SCR Direction. This approach provides a clearer indication to applicants of how the DNO has deemed the site to be either speculative or </w:t>
      </w:r>
      <w:proofErr w:type="gramStart"/>
      <w:r>
        <w:t>Non-Speculative</w:t>
      </w:r>
      <w:proofErr w:type="gramEnd"/>
      <w:r>
        <w:t>.  This approach is the ‘Speculative Scoring Methodology’.</w:t>
      </w:r>
    </w:p>
    <w:p w14:paraId="49AB5EED" w14:textId="77777777" w:rsidR="00440CC1" w:rsidRDefault="00440CC1" w:rsidP="00367AA0">
      <w:pPr>
        <w:pStyle w:val="ListParagraph"/>
        <w:numPr>
          <w:ilvl w:val="1"/>
          <w:numId w:val="30"/>
        </w:numPr>
        <w:spacing w:line="360" w:lineRule="auto"/>
        <w:ind w:left="567" w:hanging="567"/>
        <w:jc w:val="both"/>
      </w:pPr>
      <w:r>
        <w:t>The proposed criteria list is detailed in paragraphs 4.14 to 4.16 ‘Identification of and Quantifying the Selected Criteria’.</w:t>
      </w:r>
    </w:p>
    <w:p w14:paraId="4E658104" w14:textId="77777777" w:rsidR="00440CC1" w:rsidRPr="00313A0A" w:rsidRDefault="00440CC1" w:rsidP="00440CC1">
      <w:pPr>
        <w:rPr>
          <w:rFonts w:cs="Arial"/>
          <w:b/>
          <w:bCs/>
          <w:color w:val="414042"/>
        </w:rPr>
      </w:pPr>
      <w:r w:rsidRPr="00313A0A">
        <w:rPr>
          <w:rFonts w:cs="Arial"/>
          <w:b/>
          <w:bCs/>
          <w:color w:val="414042"/>
        </w:rPr>
        <w:t>Scope</w:t>
      </w:r>
    </w:p>
    <w:p w14:paraId="271344E8" w14:textId="77777777" w:rsidR="00440CC1" w:rsidRPr="00313A0A" w:rsidRDefault="00440CC1" w:rsidP="00367AA0">
      <w:pPr>
        <w:pStyle w:val="ListParagraph"/>
        <w:numPr>
          <w:ilvl w:val="1"/>
          <w:numId w:val="30"/>
        </w:numPr>
        <w:ind w:left="567" w:hanging="567"/>
        <w:jc w:val="both"/>
      </w:pPr>
      <w:r w:rsidRPr="00313A0A">
        <w:t xml:space="preserve">The Speculative Scoring Methodology shall be applied to all customer projects that require reinforcement works, including those received from Building Network Operators (BNOs), Independent Connection Providers (ICPs) and Independent Distribution Network Operators (IDNOs) that have provided all the minimum information requirements. Further details are included in Attachment </w:t>
      </w:r>
      <w:r>
        <w:t>4</w:t>
      </w:r>
      <w:r w:rsidRPr="00313A0A">
        <w:t xml:space="preserve">. </w:t>
      </w:r>
    </w:p>
    <w:p w14:paraId="29473294" w14:textId="77777777" w:rsidR="00440CC1" w:rsidRPr="00313A0A" w:rsidRDefault="00440CC1" w:rsidP="00440CC1">
      <w:pPr>
        <w:rPr>
          <w:b/>
          <w:bCs/>
          <w:u w:val="single"/>
        </w:rPr>
      </w:pPr>
      <w:r w:rsidRPr="00313A0A">
        <w:rPr>
          <w:b/>
          <w:bCs/>
          <w:u w:val="single"/>
        </w:rPr>
        <w:t>Identification of and quantifying the selected criteria</w:t>
      </w:r>
    </w:p>
    <w:p w14:paraId="2B6C1762" w14:textId="77777777" w:rsidR="00440CC1" w:rsidRDefault="00440CC1" w:rsidP="00367AA0">
      <w:pPr>
        <w:pStyle w:val="ListParagraph"/>
        <w:numPr>
          <w:ilvl w:val="1"/>
          <w:numId w:val="30"/>
        </w:numPr>
        <w:ind w:left="567" w:hanging="567"/>
        <w:jc w:val="both"/>
      </w:pPr>
      <w:r>
        <w:t xml:space="preserve">The WG developed criteria for the assessment of an application to determine if it should be treated as a Speculative Development. The proposed criteria utilise the characteristics of a Speculative Development that are in the existing CCCM and expands on these to provide greater clarity on their definition, significance, and how they are to be assessed to determine if the application is a Speculative Development. </w:t>
      </w:r>
    </w:p>
    <w:p w14:paraId="6CC9C63E" w14:textId="77777777" w:rsidR="00440CC1" w:rsidRDefault="00440CC1" w:rsidP="00367AA0">
      <w:pPr>
        <w:pStyle w:val="ListParagraph"/>
        <w:numPr>
          <w:ilvl w:val="1"/>
          <w:numId w:val="30"/>
        </w:numPr>
        <w:ind w:left="567" w:hanging="567"/>
        <w:jc w:val="both"/>
      </w:pPr>
      <w:r>
        <w:t xml:space="preserve">The intention of the criteria is to enable applications to be reviewed clearly, </w:t>
      </w:r>
      <w:proofErr w:type="gramStart"/>
      <w:r>
        <w:t>consistently</w:t>
      </w:r>
      <w:proofErr w:type="gramEnd"/>
      <w:r>
        <w:t xml:space="preserve"> and objectively by each DNO. Clarity is provided for each criterion in the form of detailed explanations, with quantitative values (where applicable) and weighted scoring used relative to the importance of the respective criterion. Note that the quantitative values are not based on the outcome of a quantitative assessment, instead they are based on the experiences of the members of the WG and their respective organisations. This approach </w:t>
      </w:r>
      <w:proofErr w:type="gramStart"/>
      <w:r>
        <w:t>is considered to be</w:t>
      </w:r>
      <w:proofErr w:type="gramEnd"/>
      <w:r>
        <w:t xml:space="preserve"> clear and comprehensive for consistent application.</w:t>
      </w:r>
    </w:p>
    <w:p w14:paraId="13C728D8" w14:textId="77777777" w:rsidR="00440CC1" w:rsidRPr="00313A0A" w:rsidRDefault="00440CC1" w:rsidP="00440CC1">
      <w:pPr>
        <w:rPr>
          <w:rFonts w:cs="Arial"/>
          <w:b/>
          <w:bCs/>
          <w:color w:val="414042"/>
        </w:rPr>
      </w:pPr>
      <w:r w:rsidRPr="00313A0A">
        <w:rPr>
          <w:rFonts w:cs="Arial"/>
          <w:b/>
          <w:bCs/>
          <w:color w:val="414042"/>
        </w:rPr>
        <w:t>Weighting of criteria</w:t>
      </w:r>
    </w:p>
    <w:p w14:paraId="5A76A4BC" w14:textId="77777777" w:rsidR="00440CC1" w:rsidRDefault="00440CC1" w:rsidP="00367AA0">
      <w:pPr>
        <w:pStyle w:val="ListParagraph"/>
        <w:numPr>
          <w:ilvl w:val="1"/>
          <w:numId w:val="30"/>
        </w:numPr>
        <w:ind w:left="567" w:hanging="567"/>
        <w:jc w:val="both"/>
      </w:pPr>
      <w:r>
        <w:t xml:space="preserve">Some criteria are deemed to have a lower level of significance than others and this has been recognised in the Speculative Scoring Methodology. The rationale for this is based on the criteria having either (i) a </w:t>
      </w:r>
      <w:r>
        <w:lastRenderedPageBreak/>
        <w:t>low impact on the likelihood of the project progressing or (ii) providing a lower level of assurance that all phases of the project will be delivered. The two criteria that are deemed to have these characteristics are Criterion 2 (that is associated with the project phasing) and Criterion 7 (that is associated with the project having only achieved outline planning permission).</w:t>
      </w:r>
    </w:p>
    <w:p w14:paraId="149A97F7" w14:textId="77777777" w:rsidR="00440CC1" w:rsidRDefault="00440CC1" w:rsidP="00367AA0">
      <w:pPr>
        <w:pStyle w:val="ListParagraph"/>
        <w:numPr>
          <w:ilvl w:val="1"/>
          <w:numId w:val="30"/>
        </w:numPr>
        <w:ind w:left="567" w:hanging="567"/>
        <w:jc w:val="both"/>
      </w:pPr>
      <w:r>
        <w:t>The working group proposes the following criteria:</w:t>
      </w:r>
    </w:p>
    <w:p w14:paraId="09C4A624" w14:textId="77777777" w:rsidR="00440CC1" w:rsidRPr="005D0A9F" w:rsidRDefault="00440CC1" w:rsidP="00440CC1">
      <w:pPr>
        <w:ind w:left="567" w:hanging="567"/>
        <w:rPr>
          <w:b/>
          <w:bCs/>
        </w:rPr>
      </w:pPr>
      <w:r w:rsidRPr="005D0A9F">
        <w:rPr>
          <w:b/>
          <w:bCs/>
        </w:rPr>
        <w:t xml:space="preserve">Criterion 1: </w:t>
      </w:r>
      <w:bookmarkStart w:id="27" w:name="_Hlk110945117"/>
      <w:r>
        <w:rPr>
          <w:b/>
          <w:bCs/>
        </w:rPr>
        <w:t>Details</w:t>
      </w:r>
      <w:r w:rsidRPr="005D0A9F">
        <w:rPr>
          <w:b/>
          <w:bCs/>
        </w:rPr>
        <w:t xml:space="preserve"> of the </w:t>
      </w:r>
      <w:r>
        <w:rPr>
          <w:b/>
          <w:bCs/>
        </w:rPr>
        <w:t>e</w:t>
      </w:r>
      <w:r w:rsidRPr="005D0A9F">
        <w:rPr>
          <w:b/>
          <w:bCs/>
        </w:rPr>
        <w:t xml:space="preserve">lectrical </w:t>
      </w:r>
      <w:r>
        <w:rPr>
          <w:b/>
          <w:bCs/>
        </w:rPr>
        <w:t>l</w:t>
      </w:r>
      <w:r w:rsidRPr="005D0A9F">
        <w:rPr>
          <w:b/>
          <w:bCs/>
        </w:rPr>
        <w:t xml:space="preserve">oad </w:t>
      </w:r>
      <w:r>
        <w:rPr>
          <w:b/>
          <w:bCs/>
        </w:rPr>
        <w:t>r</w:t>
      </w:r>
      <w:r w:rsidRPr="005D0A9F">
        <w:rPr>
          <w:b/>
          <w:bCs/>
        </w:rPr>
        <w:t>equ</w:t>
      </w:r>
      <w:r>
        <w:rPr>
          <w:b/>
          <w:bCs/>
        </w:rPr>
        <w:t>irements are not known</w:t>
      </w:r>
      <w:bookmarkEnd w:id="27"/>
    </w:p>
    <w:p w14:paraId="58266A86" w14:textId="77777777" w:rsidR="00440CC1" w:rsidRPr="00315848" w:rsidRDefault="00440CC1" w:rsidP="00367AA0">
      <w:pPr>
        <w:pStyle w:val="ListParagraph"/>
        <w:numPr>
          <w:ilvl w:val="1"/>
          <w:numId w:val="30"/>
        </w:numPr>
        <w:ind w:left="567" w:hanging="567"/>
        <w:jc w:val="both"/>
      </w:pPr>
      <w:r w:rsidRPr="00315848">
        <w:t xml:space="preserve">This is an important factor to consider because it is likely to have a high bearing on the extent of reinforcement works that may be required. </w:t>
      </w:r>
    </w:p>
    <w:p w14:paraId="54D18067" w14:textId="77777777" w:rsidR="00440CC1" w:rsidRPr="00315848" w:rsidRDefault="00440CC1" w:rsidP="00367AA0">
      <w:pPr>
        <w:pStyle w:val="ListParagraph"/>
        <w:numPr>
          <w:ilvl w:val="1"/>
          <w:numId w:val="30"/>
        </w:numPr>
        <w:ind w:left="567" w:hanging="567"/>
        <w:jc w:val="both"/>
      </w:pPr>
      <w:r w:rsidRPr="00315848">
        <w:t>This criterion will only be applied to Commercial Use developments where neither (i) detailed electrical load requirements or (ii) basis of calculation of the requested capacity has been provided. It is only in the absence of load details that the network operator would assess the application against industry guidelines. If no load details are provided, then:</w:t>
      </w:r>
    </w:p>
    <w:p w14:paraId="0437D493" w14:textId="77777777" w:rsidR="00440CC1" w:rsidRDefault="00440CC1" w:rsidP="00367AA0">
      <w:pPr>
        <w:pStyle w:val="ListParagraph"/>
        <w:numPr>
          <w:ilvl w:val="0"/>
          <w:numId w:val="31"/>
        </w:numPr>
        <w:tabs>
          <w:tab w:val="left" w:pos="567"/>
        </w:tabs>
        <w:spacing w:line="360" w:lineRule="auto"/>
        <w:jc w:val="both"/>
      </w:pPr>
      <w:r>
        <w:t xml:space="preserve">If the load requested falls within existing industry guidelines, plus 20%, then this will be scored as a non-speculative development. The rationale for using 20% is to provide an additional tolerance around the range, to the Customers benefit. </w:t>
      </w:r>
    </w:p>
    <w:p w14:paraId="6CE2C71E" w14:textId="77777777" w:rsidR="00440CC1" w:rsidRDefault="00440CC1" w:rsidP="00367AA0">
      <w:pPr>
        <w:pStyle w:val="ListParagraph"/>
        <w:numPr>
          <w:ilvl w:val="0"/>
          <w:numId w:val="31"/>
        </w:numPr>
        <w:tabs>
          <w:tab w:val="left" w:pos="567"/>
        </w:tabs>
        <w:spacing w:line="360" w:lineRule="auto"/>
        <w:jc w:val="both"/>
      </w:pPr>
      <w:r>
        <w:t>If the load requested is more than double industry guidelines, then this will be scored as a speculative development. The working group considered that if the load was more than double industry guidelines, without any justification, then it is reasonable for it to be considered a speculative development.</w:t>
      </w:r>
    </w:p>
    <w:p w14:paraId="52FDC12F" w14:textId="77777777" w:rsidR="00440CC1" w:rsidRDefault="00440CC1" w:rsidP="00367AA0">
      <w:pPr>
        <w:pStyle w:val="ListParagraph"/>
        <w:numPr>
          <w:ilvl w:val="1"/>
          <w:numId w:val="30"/>
        </w:numPr>
        <w:ind w:left="567" w:hanging="567"/>
        <w:jc w:val="both"/>
      </w:pPr>
      <w:r>
        <w:t>Domestic premises are exempt from this criterion because their ADMD (After Diversity Maximum Demand) loads are well established in industry and do not vary as extensively by premises type and are covered by Criterion 3. Industrial loads are exempt because their electrical loads can vary significantly and are dependent on the use of the premises, what equipment is installed and times of operation and therefore no suitable industry guidelines could be identified.</w:t>
      </w:r>
    </w:p>
    <w:p w14:paraId="6BE90881" w14:textId="77777777" w:rsidR="00440CC1" w:rsidRDefault="00440CC1" w:rsidP="00367AA0">
      <w:pPr>
        <w:pStyle w:val="ListParagraph"/>
        <w:numPr>
          <w:ilvl w:val="1"/>
          <w:numId w:val="30"/>
        </w:numPr>
        <w:ind w:left="567" w:hanging="567"/>
        <w:jc w:val="both"/>
      </w:pPr>
      <w:r>
        <w:t>The WG propose therefore that the requested capacity for Commercial Premises only is reviewed against relevant Industry Guidelines. The Chartered Institution of Building Services Engineers and the Building Services Research and Information Association are examples of sources which may be referenced. These can be accessed via the following links [</w:t>
      </w:r>
      <w:hyperlink r:id="rId19" w:history="1">
        <w:r w:rsidRPr="00712FA6">
          <w:rPr>
            <w:rStyle w:val="Hyperlink"/>
          </w:rPr>
          <w:t>cibse.org</w:t>
        </w:r>
      </w:hyperlink>
      <w:r>
        <w:t>] and [</w:t>
      </w:r>
      <w:hyperlink r:id="rId20" w:history="1">
        <w:r w:rsidRPr="00536375">
          <w:rPr>
            <w:rStyle w:val="Hyperlink"/>
          </w:rPr>
          <w:t>bsria.com</w:t>
        </w:r>
      </w:hyperlink>
      <w:r>
        <w:t>] respectively, however other relevant guidance information and reference materials may also be considered by each DNO.</w:t>
      </w:r>
    </w:p>
    <w:p w14:paraId="65F8344C" w14:textId="77777777" w:rsidR="00440CC1" w:rsidRPr="005D0A9F" w:rsidRDefault="00440CC1" w:rsidP="00440CC1">
      <w:pPr>
        <w:spacing w:line="360" w:lineRule="auto"/>
        <w:jc w:val="both"/>
        <w:rPr>
          <w:b/>
          <w:bCs/>
        </w:rPr>
      </w:pPr>
      <w:r w:rsidRPr="005D0A9F">
        <w:rPr>
          <w:b/>
          <w:bCs/>
        </w:rPr>
        <w:t xml:space="preserve">Criterion 2: </w:t>
      </w:r>
      <w:bookmarkStart w:id="28" w:name="_Hlk110945297"/>
      <w:r w:rsidRPr="00AE4155">
        <w:rPr>
          <w:b/>
          <w:bCs/>
        </w:rPr>
        <w:t xml:space="preserve">The development is phased over </w:t>
      </w:r>
      <w:proofErr w:type="gramStart"/>
      <w:r w:rsidRPr="00AE4155">
        <w:rPr>
          <w:b/>
          <w:bCs/>
        </w:rPr>
        <w:t>a period of time</w:t>
      </w:r>
      <w:proofErr w:type="gramEnd"/>
      <w:r w:rsidRPr="00AE4155">
        <w:rPr>
          <w:b/>
          <w:bCs/>
        </w:rPr>
        <w:t xml:space="preserve"> and the timing of the phases is unclear </w:t>
      </w:r>
      <w:r>
        <w:rPr>
          <w:b/>
          <w:bCs/>
        </w:rPr>
        <w:t>(duration)</w:t>
      </w:r>
      <w:bookmarkEnd w:id="28"/>
    </w:p>
    <w:p w14:paraId="7DFB3620" w14:textId="77777777" w:rsidR="00440CC1" w:rsidRPr="00315848" w:rsidRDefault="00440CC1" w:rsidP="00367AA0">
      <w:pPr>
        <w:pStyle w:val="ListParagraph"/>
        <w:numPr>
          <w:ilvl w:val="1"/>
          <w:numId w:val="30"/>
        </w:numPr>
        <w:ind w:left="567" w:hanging="567"/>
        <w:jc w:val="both"/>
        <w:rPr>
          <w:rFonts w:eastAsia="Arial" w:cs="Arial"/>
          <w:szCs w:val="20"/>
        </w:rPr>
      </w:pPr>
      <w:bookmarkStart w:id="29" w:name="_Hlk110945285"/>
      <w:r w:rsidRPr="00315848">
        <w:t>Criterion</w:t>
      </w:r>
      <w:r w:rsidRPr="00315848">
        <w:rPr>
          <w:rFonts w:eastAsia="Arial" w:cs="Arial"/>
          <w:szCs w:val="20"/>
        </w:rPr>
        <w:t xml:space="preserve"> 2 assesses the development programme in relation to the overall duration and transparency of the development programme. </w:t>
      </w:r>
    </w:p>
    <w:p w14:paraId="295866C2" w14:textId="77777777" w:rsidR="00440CC1" w:rsidRPr="00315848" w:rsidRDefault="00440CC1" w:rsidP="00440CC1">
      <w:pPr>
        <w:spacing w:line="360" w:lineRule="auto"/>
        <w:jc w:val="both"/>
        <w:rPr>
          <w:rFonts w:eastAsia="Arial" w:cs="Arial"/>
          <w:szCs w:val="20"/>
          <w:u w:val="single"/>
        </w:rPr>
      </w:pPr>
      <w:r w:rsidRPr="00315848">
        <w:rPr>
          <w:rFonts w:eastAsia="Arial" w:cs="Arial"/>
          <w:szCs w:val="20"/>
          <w:u w:val="single"/>
        </w:rPr>
        <w:t>No</w:t>
      </w:r>
      <w:r>
        <w:rPr>
          <w:rFonts w:eastAsia="Arial" w:cs="Arial"/>
          <w:szCs w:val="20"/>
          <w:u w:val="single"/>
        </w:rPr>
        <w:t>n</w:t>
      </w:r>
      <w:r w:rsidRPr="00315848">
        <w:rPr>
          <w:rFonts w:eastAsia="Arial" w:cs="Arial"/>
          <w:szCs w:val="20"/>
          <w:u w:val="single"/>
        </w:rPr>
        <w:t>-speculative considerations:</w:t>
      </w:r>
    </w:p>
    <w:p w14:paraId="3F6AE124" w14:textId="77777777" w:rsidR="00440CC1" w:rsidRPr="00315848" w:rsidRDefault="00440CC1" w:rsidP="00367AA0">
      <w:pPr>
        <w:pStyle w:val="ListParagraph"/>
        <w:numPr>
          <w:ilvl w:val="0"/>
          <w:numId w:val="31"/>
        </w:numPr>
        <w:tabs>
          <w:tab w:val="left" w:pos="567"/>
        </w:tabs>
        <w:spacing w:line="360" w:lineRule="auto"/>
        <w:jc w:val="both"/>
      </w:pPr>
      <w:r w:rsidRPr="00315848">
        <w:t xml:space="preserve">Should the development have an overall timescale of up to two years from time of initial application to completion of the final phase it will not be considered speculative. </w:t>
      </w:r>
    </w:p>
    <w:p w14:paraId="024BF28E" w14:textId="77777777" w:rsidR="00440CC1" w:rsidRPr="00315848" w:rsidRDefault="00440CC1" w:rsidP="00367AA0">
      <w:pPr>
        <w:pStyle w:val="ListParagraph"/>
        <w:numPr>
          <w:ilvl w:val="0"/>
          <w:numId w:val="31"/>
        </w:numPr>
        <w:tabs>
          <w:tab w:val="left" w:pos="567"/>
        </w:tabs>
        <w:spacing w:line="360" w:lineRule="auto"/>
        <w:jc w:val="both"/>
      </w:pPr>
      <w:r w:rsidRPr="00315848">
        <w:t xml:space="preserve">Should the applicant be able to provide a clear phasing plan for the complete development then the WG believes that this will provide the network operator with sufficient confidence that the reinforcement works can be completed with limited risk of being left with stranded assets, and it will not be considered speculative. </w:t>
      </w:r>
    </w:p>
    <w:p w14:paraId="36A4E836" w14:textId="77777777" w:rsidR="00440CC1" w:rsidRDefault="00440CC1" w:rsidP="00367AA0">
      <w:pPr>
        <w:pStyle w:val="ListParagraph"/>
        <w:numPr>
          <w:ilvl w:val="1"/>
          <w:numId w:val="30"/>
        </w:numPr>
        <w:ind w:left="567" w:hanging="567"/>
        <w:jc w:val="both"/>
        <w:rPr>
          <w:rFonts w:eastAsia="Arial" w:cs="Arial"/>
          <w:szCs w:val="20"/>
        </w:rPr>
      </w:pPr>
      <w:r w:rsidRPr="00315848">
        <w:lastRenderedPageBreak/>
        <w:t>Accordingly</w:t>
      </w:r>
      <w:r w:rsidRPr="005F1C13">
        <w:rPr>
          <w:rFonts w:eastAsia="Arial" w:cs="Arial"/>
          <w:szCs w:val="20"/>
        </w:rPr>
        <w:t>, the application will receive points in the ‘</w:t>
      </w:r>
      <w:proofErr w:type="gramStart"/>
      <w:r>
        <w:t>Non-Speculative</w:t>
      </w:r>
      <w:proofErr w:type="gramEnd"/>
      <w:r>
        <w:rPr>
          <w:rFonts w:eastAsia="Arial" w:cs="Arial"/>
          <w:szCs w:val="20"/>
        </w:rPr>
        <w:t xml:space="preserve">’ </w:t>
      </w:r>
      <w:r w:rsidRPr="005F1C13">
        <w:rPr>
          <w:rFonts w:eastAsia="Arial" w:cs="Arial"/>
          <w:szCs w:val="20"/>
        </w:rPr>
        <w:t>column</w:t>
      </w:r>
      <w:r>
        <w:rPr>
          <w:rFonts w:eastAsia="Arial" w:cs="Arial"/>
          <w:szCs w:val="20"/>
        </w:rPr>
        <w:t xml:space="preserve"> of the Speculative Scoring Methodology</w:t>
      </w:r>
      <w:r w:rsidRPr="005F1C13">
        <w:rPr>
          <w:rFonts w:eastAsia="Arial" w:cs="Arial"/>
          <w:szCs w:val="20"/>
        </w:rPr>
        <w:t>.</w:t>
      </w:r>
      <w:r>
        <w:rPr>
          <w:rFonts w:eastAsia="Arial" w:cs="Arial"/>
          <w:szCs w:val="20"/>
        </w:rPr>
        <w:t xml:space="preserve">  </w:t>
      </w:r>
    </w:p>
    <w:p w14:paraId="6F6D230D" w14:textId="77777777" w:rsidR="00440CC1" w:rsidRPr="00315848" w:rsidRDefault="00440CC1" w:rsidP="00440CC1">
      <w:pPr>
        <w:spacing w:line="360" w:lineRule="auto"/>
        <w:jc w:val="both"/>
        <w:rPr>
          <w:rFonts w:eastAsia="Arial" w:cs="Arial"/>
          <w:szCs w:val="20"/>
          <w:u w:val="single"/>
        </w:rPr>
      </w:pPr>
      <w:r w:rsidRPr="00315848">
        <w:rPr>
          <w:rFonts w:eastAsia="Arial" w:cs="Arial"/>
          <w:szCs w:val="20"/>
          <w:u w:val="single"/>
        </w:rPr>
        <w:t>Speculative considerations:</w:t>
      </w:r>
    </w:p>
    <w:p w14:paraId="48E6ACD9" w14:textId="77777777" w:rsidR="00440CC1" w:rsidRPr="00315848" w:rsidRDefault="00440CC1" w:rsidP="00367AA0">
      <w:pPr>
        <w:pStyle w:val="ListParagraph"/>
        <w:numPr>
          <w:ilvl w:val="0"/>
          <w:numId w:val="31"/>
        </w:numPr>
        <w:tabs>
          <w:tab w:val="left" w:pos="567"/>
        </w:tabs>
        <w:spacing w:line="360" w:lineRule="auto"/>
        <w:jc w:val="both"/>
      </w:pPr>
      <w:r w:rsidRPr="00315848">
        <w:t>Should the development have an overall timescale of over ten years then the assessment is dependent on whether a phasing plan is provided.  If no phasing plan is provided, then the development would be considered speculative.</w:t>
      </w:r>
    </w:p>
    <w:p w14:paraId="5481D5E0" w14:textId="77777777" w:rsidR="00440CC1" w:rsidRPr="00315848" w:rsidRDefault="00440CC1" w:rsidP="00367AA0">
      <w:pPr>
        <w:pStyle w:val="ListParagraph"/>
        <w:numPr>
          <w:ilvl w:val="1"/>
          <w:numId w:val="30"/>
        </w:numPr>
        <w:ind w:left="567" w:hanging="567"/>
        <w:jc w:val="both"/>
        <w:rPr>
          <w:rFonts w:eastAsia="Arial" w:cs="Arial"/>
          <w:szCs w:val="20"/>
        </w:rPr>
      </w:pPr>
      <w:r w:rsidRPr="00315848">
        <w:rPr>
          <w:rFonts w:eastAsia="Arial" w:cs="Arial"/>
          <w:szCs w:val="20"/>
        </w:rPr>
        <w:t xml:space="preserve">The WG believes that this could potentially pose a significant risk of stranded assets and the application </w:t>
      </w:r>
      <w:r w:rsidRPr="00315848">
        <w:t>should</w:t>
      </w:r>
      <w:r w:rsidRPr="00315848">
        <w:rPr>
          <w:rFonts w:eastAsia="Arial" w:cs="Arial"/>
          <w:szCs w:val="20"/>
        </w:rPr>
        <w:t xml:space="preserve"> be deemed as more speculative. Accordingly, the application will receive ‘points’ in the ‘Speculative’ column of the Speculative Scoring Methodology. </w:t>
      </w:r>
    </w:p>
    <w:p w14:paraId="13F6D270" w14:textId="77777777" w:rsidR="00440CC1" w:rsidRPr="00315848" w:rsidRDefault="00440CC1" w:rsidP="00367AA0">
      <w:pPr>
        <w:pStyle w:val="ListParagraph"/>
        <w:numPr>
          <w:ilvl w:val="1"/>
          <w:numId w:val="30"/>
        </w:numPr>
        <w:ind w:left="567" w:hanging="567"/>
        <w:jc w:val="both"/>
        <w:rPr>
          <w:rFonts w:eastAsia="Arial" w:cs="Arial"/>
          <w:szCs w:val="20"/>
        </w:rPr>
      </w:pPr>
      <w:r>
        <w:rPr>
          <w:rFonts w:eastAsia="Arial" w:cs="Arial"/>
          <w:szCs w:val="20"/>
        </w:rPr>
        <w:t>T</w:t>
      </w:r>
      <w:r w:rsidRPr="005F1C13">
        <w:rPr>
          <w:rFonts w:eastAsia="Arial" w:cs="Arial"/>
          <w:szCs w:val="20"/>
        </w:rPr>
        <w:t xml:space="preserve">he </w:t>
      </w:r>
      <w:r>
        <w:rPr>
          <w:rFonts w:eastAsia="Arial" w:cs="Arial"/>
          <w:szCs w:val="20"/>
        </w:rPr>
        <w:t>WG</w:t>
      </w:r>
      <w:r w:rsidRPr="005F1C13">
        <w:rPr>
          <w:rFonts w:eastAsia="Arial" w:cs="Arial"/>
          <w:szCs w:val="20"/>
        </w:rPr>
        <w:t xml:space="preserve"> </w:t>
      </w:r>
      <w:r>
        <w:rPr>
          <w:rFonts w:eastAsia="Arial" w:cs="Arial"/>
          <w:szCs w:val="20"/>
        </w:rPr>
        <w:t>consider</w:t>
      </w:r>
      <w:r w:rsidRPr="005F1C13">
        <w:rPr>
          <w:rFonts w:eastAsia="Arial" w:cs="Arial"/>
          <w:szCs w:val="20"/>
        </w:rPr>
        <w:t xml:space="preserve"> this </w:t>
      </w:r>
      <w:r>
        <w:rPr>
          <w:rFonts w:eastAsia="Arial" w:cs="Arial"/>
          <w:szCs w:val="20"/>
        </w:rPr>
        <w:t>to be</w:t>
      </w:r>
      <w:r w:rsidRPr="005F1C13">
        <w:rPr>
          <w:rFonts w:eastAsia="Arial" w:cs="Arial"/>
          <w:szCs w:val="20"/>
        </w:rPr>
        <w:t xml:space="preserve"> a low</w:t>
      </w:r>
      <w:r>
        <w:rPr>
          <w:rFonts w:eastAsia="Arial" w:cs="Arial"/>
          <w:szCs w:val="20"/>
        </w:rPr>
        <w:t>er</w:t>
      </w:r>
      <w:r w:rsidRPr="005F1C13">
        <w:rPr>
          <w:rFonts w:eastAsia="Arial" w:cs="Arial"/>
          <w:szCs w:val="20"/>
        </w:rPr>
        <w:t xml:space="preserve"> </w:t>
      </w:r>
      <w:r>
        <w:rPr>
          <w:rFonts w:eastAsia="Arial" w:cs="Arial"/>
          <w:szCs w:val="20"/>
        </w:rPr>
        <w:t>significance</w:t>
      </w:r>
      <w:r w:rsidRPr="005F1C13">
        <w:rPr>
          <w:rFonts w:eastAsia="Arial" w:cs="Arial"/>
          <w:szCs w:val="20"/>
        </w:rPr>
        <w:t xml:space="preserve"> criterion</w:t>
      </w:r>
      <w:r>
        <w:rPr>
          <w:rFonts w:eastAsia="Arial" w:cs="Arial"/>
          <w:szCs w:val="20"/>
        </w:rPr>
        <w:t xml:space="preserve"> and is weighted as such in the Speculative Scoring Methodology</w:t>
      </w:r>
      <w:r w:rsidRPr="005F1C13">
        <w:rPr>
          <w:rFonts w:eastAsia="Arial" w:cs="Arial"/>
          <w:szCs w:val="20"/>
        </w:rPr>
        <w:t>.</w:t>
      </w:r>
      <w:bookmarkEnd w:id="29"/>
    </w:p>
    <w:p w14:paraId="7EF3C0EA" w14:textId="77777777" w:rsidR="00440CC1" w:rsidRPr="005D0A9F" w:rsidRDefault="00440CC1" w:rsidP="00440CC1">
      <w:pPr>
        <w:spacing w:line="360" w:lineRule="auto"/>
        <w:jc w:val="both"/>
        <w:rPr>
          <w:b/>
          <w:bCs/>
        </w:rPr>
      </w:pPr>
      <w:r w:rsidRPr="005D0A9F">
        <w:rPr>
          <w:b/>
          <w:bCs/>
        </w:rPr>
        <w:t xml:space="preserve">Criterion 3: The development is phased over </w:t>
      </w:r>
      <w:proofErr w:type="gramStart"/>
      <w:r w:rsidRPr="005D0A9F">
        <w:rPr>
          <w:b/>
          <w:bCs/>
        </w:rPr>
        <w:t>a period of time</w:t>
      </w:r>
      <w:proofErr w:type="gramEnd"/>
      <w:r w:rsidRPr="005D0A9F">
        <w:rPr>
          <w:b/>
          <w:bCs/>
        </w:rPr>
        <w:t xml:space="preserve"> and the timing of the phases is unclear (housing developments only). </w:t>
      </w:r>
    </w:p>
    <w:p w14:paraId="683CD3FB" w14:textId="77777777" w:rsidR="00440CC1" w:rsidRDefault="00440CC1" w:rsidP="00367AA0">
      <w:pPr>
        <w:pStyle w:val="ListParagraph"/>
        <w:numPr>
          <w:ilvl w:val="1"/>
          <w:numId w:val="30"/>
        </w:numPr>
        <w:ind w:left="567" w:hanging="567"/>
        <w:jc w:val="both"/>
      </w:pPr>
      <w:r>
        <w:t>This criterion assesses the development programme in relation to the size of the development (</w:t>
      </w:r>
      <w:r w:rsidRPr="00DC127E">
        <w:rPr>
          <w:rFonts w:eastAsia="Arial" w:cs="Arial"/>
          <w:szCs w:val="20"/>
        </w:rPr>
        <w:t>housing</w:t>
      </w:r>
      <w:r>
        <w:t xml:space="preserve"> developments only) on the basis that connection assets of larger developments are likely to be installed in phases over time and possibly for </w:t>
      </w:r>
      <w:proofErr w:type="gramStart"/>
      <w:r>
        <w:t>a number of</w:t>
      </w:r>
      <w:proofErr w:type="gramEnd"/>
      <w:r>
        <w:t xml:space="preserve"> different applicants. In such cases, it is likely that there will be a delay in the connection assets being fully utilised. Should the complete development be less than one hundred dwellings or up to two permanent LV substations beyond the POC (Point of Connection), then the WG considers that this will provide limited risk of stranded assets and the application will receive ‘points’ in the ‘</w:t>
      </w:r>
      <w:proofErr w:type="gramStart"/>
      <w:r>
        <w:t>Non-Speculative</w:t>
      </w:r>
      <w:proofErr w:type="gramEnd"/>
      <w:r>
        <w:rPr>
          <w:rFonts w:eastAsia="Arial" w:cs="Arial"/>
          <w:szCs w:val="20"/>
        </w:rPr>
        <w:t>’</w:t>
      </w:r>
      <w:r>
        <w:t>’ column of the Speculative Scoring Methodology.</w:t>
      </w:r>
    </w:p>
    <w:p w14:paraId="009D3182" w14:textId="77777777" w:rsidR="00440CC1" w:rsidRDefault="00440CC1" w:rsidP="00367AA0">
      <w:pPr>
        <w:pStyle w:val="ListParagraph"/>
        <w:numPr>
          <w:ilvl w:val="1"/>
          <w:numId w:val="30"/>
        </w:numPr>
        <w:ind w:left="567" w:hanging="567"/>
        <w:jc w:val="both"/>
      </w:pPr>
      <w:r>
        <w:t>In contrast, should the complete development include more than 5,000 dwellings or require more than ten permanent LV substations beyond the POC, then the WG believes that this could potentially pose a significant risk of stranded assets and the application will receive ‘points’ in the ‘Speculative’ column of the Speculative Scoring Methodology.</w:t>
      </w:r>
    </w:p>
    <w:p w14:paraId="2980FC3A" w14:textId="77777777" w:rsidR="00440CC1" w:rsidRDefault="00440CC1" w:rsidP="00367AA0">
      <w:pPr>
        <w:pStyle w:val="ListParagraph"/>
        <w:numPr>
          <w:ilvl w:val="1"/>
          <w:numId w:val="30"/>
        </w:numPr>
        <w:ind w:left="567" w:hanging="567"/>
        <w:jc w:val="both"/>
      </w:pPr>
      <w:r>
        <w:t>The WG identify this as a high importance criterion.</w:t>
      </w:r>
    </w:p>
    <w:p w14:paraId="54591928" w14:textId="77777777" w:rsidR="00440CC1" w:rsidRPr="003A08F4" w:rsidRDefault="00440CC1" w:rsidP="00440CC1">
      <w:pPr>
        <w:spacing w:line="360" w:lineRule="auto"/>
        <w:jc w:val="both"/>
        <w:rPr>
          <w:b/>
          <w:bCs/>
        </w:rPr>
      </w:pPr>
      <w:r w:rsidRPr="003A08F4">
        <w:rPr>
          <w:b/>
          <w:bCs/>
        </w:rPr>
        <w:t>Capacity Profile</w:t>
      </w:r>
    </w:p>
    <w:p w14:paraId="792701EF" w14:textId="77777777" w:rsidR="00440CC1" w:rsidRDefault="00440CC1" w:rsidP="00367AA0">
      <w:pPr>
        <w:pStyle w:val="ListParagraph"/>
        <w:numPr>
          <w:ilvl w:val="1"/>
          <w:numId w:val="30"/>
        </w:numPr>
        <w:ind w:left="567" w:hanging="567"/>
        <w:jc w:val="both"/>
      </w:pPr>
      <w:bookmarkStart w:id="30" w:name="_Hlk110945453"/>
      <w:r w:rsidRPr="00503CB1">
        <w:t xml:space="preserve">The </w:t>
      </w:r>
      <w:r>
        <w:t>WG</w:t>
      </w:r>
      <w:r w:rsidRPr="00503CB1">
        <w:t xml:space="preserve"> propose assessing the capacity profile of a development based on three separate criteri</w:t>
      </w:r>
      <w:r>
        <w:t>a</w:t>
      </w:r>
      <w:r w:rsidRPr="00503CB1">
        <w:t xml:space="preserve"> – Criterion 4, 5 and 6</w:t>
      </w:r>
      <w:r>
        <w:t xml:space="preserve"> which are described in more detail below</w:t>
      </w:r>
      <w:r w:rsidRPr="00503CB1">
        <w:t xml:space="preserve">. </w:t>
      </w:r>
    </w:p>
    <w:bookmarkEnd w:id="30"/>
    <w:p w14:paraId="688233A5" w14:textId="77777777" w:rsidR="00440CC1" w:rsidRPr="005D0A9F" w:rsidRDefault="00440CC1" w:rsidP="00440CC1">
      <w:pPr>
        <w:spacing w:line="360" w:lineRule="auto"/>
        <w:jc w:val="both"/>
        <w:rPr>
          <w:rFonts w:eastAsia="Calibri" w:cs="Arial"/>
          <w:b/>
          <w:bCs/>
          <w:szCs w:val="20"/>
        </w:rPr>
      </w:pPr>
      <w:r w:rsidRPr="005D0A9F">
        <w:rPr>
          <w:rFonts w:eastAsia="Calibri" w:cs="Arial"/>
          <w:b/>
          <w:bCs/>
          <w:szCs w:val="20"/>
        </w:rPr>
        <w:t xml:space="preserve">Criterion 4: The capacity requested caters for future expansion rather than the immediate requirements of (an) end user(s). </w:t>
      </w:r>
    </w:p>
    <w:p w14:paraId="66042AAA" w14:textId="77777777" w:rsidR="00440CC1" w:rsidRPr="00DC127E" w:rsidRDefault="00440CC1" w:rsidP="00440CC1">
      <w:pPr>
        <w:spacing w:line="360" w:lineRule="auto"/>
        <w:jc w:val="both"/>
        <w:rPr>
          <w:rFonts w:eastAsia="Calibri" w:cs="Arial"/>
          <w:szCs w:val="20"/>
          <w:u w:val="single"/>
        </w:rPr>
      </w:pPr>
      <w:r w:rsidRPr="00DC127E">
        <w:rPr>
          <w:rFonts w:eastAsia="Calibri" w:cs="Arial"/>
          <w:szCs w:val="20"/>
          <w:u w:val="single"/>
        </w:rPr>
        <w:t>Phased Capacity Site.</w:t>
      </w:r>
    </w:p>
    <w:p w14:paraId="48E5A0E9" w14:textId="77777777" w:rsidR="00440CC1" w:rsidRDefault="00440CC1" w:rsidP="00367AA0">
      <w:pPr>
        <w:pStyle w:val="ListParagraph"/>
        <w:numPr>
          <w:ilvl w:val="1"/>
          <w:numId w:val="30"/>
        </w:numPr>
        <w:ind w:left="567" w:hanging="567"/>
        <w:jc w:val="both"/>
        <w:rPr>
          <w:rFonts w:eastAsia="Calibri" w:cs="Arial"/>
          <w:szCs w:val="20"/>
        </w:rPr>
      </w:pPr>
      <w:r>
        <w:rPr>
          <w:rFonts w:eastAsia="Calibri" w:cs="Arial"/>
          <w:szCs w:val="20"/>
        </w:rPr>
        <w:t>This criterion assesses the confidence associated forecast levels of capacity where</w:t>
      </w:r>
      <w:r w:rsidRPr="00817C57">
        <w:t xml:space="preserve"> </w:t>
      </w:r>
      <w:r>
        <w:t>the application is for capacity that is not immediately required but caters for future expansion</w:t>
      </w:r>
      <w:r>
        <w:rPr>
          <w:rFonts w:eastAsia="Calibri" w:cs="Arial"/>
          <w:szCs w:val="20"/>
        </w:rPr>
        <w:t>. T</w:t>
      </w:r>
      <w:r w:rsidRPr="005D0A9F">
        <w:rPr>
          <w:rFonts w:eastAsia="Calibri" w:cs="Arial"/>
          <w:szCs w:val="20"/>
        </w:rPr>
        <w:t xml:space="preserve">he </w:t>
      </w:r>
      <w:r w:rsidRPr="00DC127E">
        <w:t>applicant</w:t>
      </w:r>
      <w:r w:rsidRPr="005D0A9F">
        <w:rPr>
          <w:rFonts w:eastAsia="Calibri" w:cs="Arial"/>
          <w:szCs w:val="20"/>
        </w:rPr>
        <w:t xml:space="preserve"> </w:t>
      </w:r>
      <w:r>
        <w:rPr>
          <w:rFonts w:eastAsia="Calibri" w:cs="Arial"/>
          <w:szCs w:val="20"/>
        </w:rPr>
        <w:t xml:space="preserve">will need to </w:t>
      </w:r>
      <w:r w:rsidRPr="005D0A9F">
        <w:rPr>
          <w:rFonts w:eastAsia="Calibri" w:cs="Arial"/>
          <w:szCs w:val="20"/>
        </w:rPr>
        <w:t>provide a capacity ramp profile for the complete development</w:t>
      </w:r>
      <w:r>
        <w:rPr>
          <w:rFonts w:eastAsia="Calibri" w:cs="Arial"/>
          <w:szCs w:val="20"/>
        </w:rPr>
        <w:t xml:space="preserve"> to </w:t>
      </w:r>
      <w:r w:rsidRPr="005D0A9F">
        <w:rPr>
          <w:rFonts w:eastAsia="Calibri" w:cs="Arial"/>
          <w:szCs w:val="20"/>
        </w:rPr>
        <w:t>provide the network operator with sufficient transparency of the capacity allocation and sufficient information to allow the network operator to develop their investment plan for the associated network.</w:t>
      </w:r>
      <w:r w:rsidRPr="00247F90">
        <w:rPr>
          <w:rFonts w:eastAsia="Calibri" w:cs="Arial"/>
          <w:szCs w:val="20"/>
        </w:rPr>
        <w:t xml:space="preserve"> Accordingly, the application will receive </w:t>
      </w:r>
      <w:r>
        <w:rPr>
          <w:rFonts w:eastAsia="Calibri" w:cs="Arial"/>
          <w:szCs w:val="20"/>
        </w:rPr>
        <w:t>‘</w:t>
      </w:r>
      <w:r w:rsidRPr="00247F90">
        <w:rPr>
          <w:rFonts w:eastAsia="Calibri" w:cs="Arial"/>
          <w:szCs w:val="20"/>
        </w:rPr>
        <w:t>points</w:t>
      </w:r>
      <w:r>
        <w:rPr>
          <w:rFonts w:eastAsia="Calibri" w:cs="Arial"/>
          <w:szCs w:val="20"/>
        </w:rPr>
        <w:t>’</w:t>
      </w:r>
      <w:r w:rsidRPr="00247F90">
        <w:rPr>
          <w:rFonts w:eastAsia="Calibri" w:cs="Arial"/>
          <w:szCs w:val="20"/>
        </w:rPr>
        <w:t xml:space="preserve"> in the ‘</w:t>
      </w:r>
      <w:proofErr w:type="gramStart"/>
      <w:r>
        <w:t>Non-Speculative</w:t>
      </w:r>
      <w:proofErr w:type="gramEnd"/>
      <w:r>
        <w:rPr>
          <w:rFonts w:eastAsia="Arial" w:cs="Arial"/>
          <w:szCs w:val="20"/>
        </w:rPr>
        <w:t>’</w:t>
      </w:r>
      <w:r w:rsidRPr="00247F90">
        <w:rPr>
          <w:rFonts w:eastAsia="Calibri" w:cs="Arial"/>
          <w:szCs w:val="20"/>
        </w:rPr>
        <w:t>’ column of the Speculative Scoring Methodology.</w:t>
      </w:r>
    </w:p>
    <w:p w14:paraId="2C5AECBA" w14:textId="77777777" w:rsidR="00440CC1" w:rsidRDefault="00440CC1" w:rsidP="00367AA0">
      <w:pPr>
        <w:pStyle w:val="ListParagraph"/>
        <w:numPr>
          <w:ilvl w:val="1"/>
          <w:numId w:val="30"/>
        </w:numPr>
        <w:ind w:left="567" w:hanging="567"/>
        <w:jc w:val="both"/>
        <w:rPr>
          <w:rFonts w:eastAsia="Calibri" w:cs="Arial"/>
          <w:szCs w:val="20"/>
        </w:rPr>
      </w:pPr>
      <w:r>
        <w:rPr>
          <w:rFonts w:eastAsia="Calibri" w:cs="Arial"/>
          <w:szCs w:val="20"/>
        </w:rPr>
        <w:t>There two slightly different approaches developed by the WG:</w:t>
      </w:r>
    </w:p>
    <w:p w14:paraId="37386C7E" w14:textId="77777777" w:rsidR="00440CC1" w:rsidRDefault="00440CC1" w:rsidP="00367AA0">
      <w:pPr>
        <w:pStyle w:val="ListParagraph"/>
        <w:numPr>
          <w:ilvl w:val="0"/>
          <w:numId w:val="38"/>
        </w:numPr>
        <w:spacing w:line="360" w:lineRule="auto"/>
        <w:jc w:val="both"/>
        <w:rPr>
          <w:rFonts w:eastAsia="Calibri" w:cs="Arial"/>
          <w:szCs w:val="20"/>
        </w:rPr>
      </w:pPr>
      <w:r>
        <w:rPr>
          <w:rFonts w:eastAsia="Calibri" w:cs="Arial"/>
          <w:szCs w:val="20"/>
        </w:rPr>
        <w:t xml:space="preserve">The customer </w:t>
      </w:r>
      <w:proofErr w:type="gramStart"/>
      <w:r>
        <w:rPr>
          <w:rFonts w:eastAsia="Calibri" w:cs="Arial"/>
          <w:szCs w:val="20"/>
        </w:rPr>
        <w:t>has to</w:t>
      </w:r>
      <w:proofErr w:type="gramEnd"/>
      <w:r>
        <w:rPr>
          <w:rFonts w:eastAsia="Calibri" w:cs="Arial"/>
          <w:szCs w:val="20"/>
        </w:rPr>
        <w:t xml:space="preserve"> agree to be a ‘Phased Capacity Site’ as explained in paragraphs 4.44 to 4.49 In this situation, the customer must provide a ramped profile plus agree to paying </w:t>
      </w:r>
      <w:r>
        <w:rPr>
          <w:rFonts w:eastAsia="Calibri" w:cs="Arial"/>
          <w:szCs w:val="20"/>
        </w:rPr>
        <w:lastRenderedPageBreak/>
        <w:t>DUoS charges based on that ramped profile of capacity.  It is considered that this financial commitment acts as a deterrent to the customer to overstate their capacity requirements.</w:t>
      </w:r>
    </w:p>
    <w:p w14:paraId="0AA6FE36" w14:textId="77777777" w:rsidR="00440CC1" w:rsidRPr="006D0656" w:rsidRDefault="00440CC1" w:rsidP="00367AA0">
      <w:pPr>
        <w:pStyle w:val="ListParagraph"/>
        <w:numPr>
          <w:ilvl w:val="0"/>
          <w:numId w:val="38"/>
        </w:numPr>
        <w:spacing w:line="360" w:lineRule="auto"/>
        <w:jc w:val="both"/>
        <w:rPr>
          <w:rFonts w:eastAsia="Calibri" w:cs="Arial"/>
          <w:szCs w:val="20"/>
        </w:rPr>
      </w:pPr>
      <w:r>
        <w:rPr>
          <w:rFonts w:eastAsia="Calibri" w:cs="Arial"/>
          <w:szCs w:val="20"/>
        </w:rPr>
        <w:t>The customer only must provide a ramped profile of the capacity that they require without any financial commitment.</w:t>
      </w:r>
    </w:p>
    <w:p w14:paraId="43730854" w14:textId="77777777" w:rsidR="00440CC1" w:rsidRPr="00F5449E" w:rsidRDefault="00440CC1" w:rsidP="00367AA0">
      <w:pPr>
        <w:pStyle w:val="ListParagraph"/>
        <w:numPr>
          <w:ilvl w:val="1"/>
          <w:numId w:val="30"/>
        </w:numPr>
        <w:ind w:left="567" w:hanging="567"/>
        <w:jc w:val="both"/>
        <w:rPr>
          <w:rFonts w:eastAsia="Calibri" w:cs="Arial"/>
          <w:szCs w:val="20"/>
        </w:rPr>
      </w:pPr>
      <w:r w:rsidRPr="00F5449E">
        <w:rPr>
          <w:rFonts w:eastAsia="Calibri" w:cs="Arial"/>
          <w:szCs w:val="20"/>
        </w:rPr>
        <w:t>In either situation, if the conditions above are met, then, the application will receive ‘points’ in the ‘</w:t>
      </w:r>
      <w:proofErr w:type="gramStart"/>
      <w:r w:rsidRPr="00F5449E">
        <w:rPr>
          <w:rFonts w:eastAsia="Calibri" w:cs="Arial"/>
          <w:szCs w:val="20"/>
        </w:rPr>
        <w:t>N</w:t>
      </w:r>
      <w:r>
        <w:rPr>
          <w:rFonts w:eastAsia="Calibri" w:cs="Arial"/>
          <w:szCs w:val="20"/>
        </w:rPr>
        <w:t>on-</w:t>
      </w:r>
      <w:r w:rsidRPr="00F5449E">
        <w:rPr>
          <w:rFonts w:eastAsia="Calibri" w:cs="Arial"/>
          <w:szCs w:val="20"/>
        </w:rPr>
        <w:t>Speculative</w:t>
      </w:r>
      <w:proofErr w:type="gramEnd"/>
      <w:r w:rsidRPr="00F5449E">
        <w:rPr>
          <w:rFonts w:eastAsia="Calibri" w:cs="Arial"/>
          <w:szCs w:val="20"/>
        </w:rPr>
        <w:t>’ column of the Speculative Scoring Methodology.</w:t>
      </w:r>
    </w:p>
    <w:p w14:paraId="2F134686" w14:textId="77777777" w:rsidR="00440CC1" w:rsidRPr="00DC127E" w:rsidRDefault="00440CC1" w:rsidP="00367AA0">
      <w:pPr>
        <w:pStyle w:val="ListParagraph"/>
        <w:numPr>
          <w:ilvl w:val="1"/>
          <w:numId w:val="30"/>
        </w:numPr>
        <w:ind w:left="567" w:hanging="567"/>
        <w:jc w:val="both"/>
      </w:pPr>
      <w:r w:rsidRPr="00DC127E">
        <w:t>In contrast, if a capacity ramp profile cannot be provided and a portion of the capacity is for future expansion, then the application will receive ‘points’ in the ‘Speculative’ column of the Speculative Scoring Methodology.</w:t>
      </w:r>
    </w:p>
    <w:p w14:paraId="11854B83" w14:textId="77777777" w:rsidR="00440CC1" w:rsidRPr="00DC127E" w:rsidRDefault="00440CC1" w:rsidP="00367AA0">
      <w:pPr>
        <w:pStyle w:val="ListParagraph"/>
        <w:numPr>
          <w:ilvl w:val="1"/>
          <w:numId w:val="30"/>
        </w:numPr>
        <w:ind w:left="567" w:hanging="567"/>
        <w:jc w:val="both"/>
      </w:pPr>
      <w:r w:rsidRPr="00DC127E">
        <w:t>The WG identify this as a high importance criterion.</w:t>
      </w:r>
    </w:p>
    <w:p w14:paraId="41AEA958" w14:textId="77777777" w:rsidR="00440CC1" w:rsidRPr="00DC127E" w:rsidRDefault="00440CC1" w:rsidP="00440CC1">
      <w:pPr>
        <w:jc w:val="both"/>
        <w:rPr>
          <w:rFonts w:eastAsia="Calibri" w:cs="Arial"/>
          <w:b/>
          <w:bCs/>
          <w:szCs w:val="20"/>
        </w:rPr>
      </w:pPr>
      <w:r w:rsidRPr="00DC127E">
        <w:rPr>
          <w:rFonts w:eastAsia="Calibri" w:cs="Arial"/>
          <w:b/>
          <w:bCs/>
          <w:szCs w:val="20"/>
        </w:rPr>
        <w:t xml:space="preserve">Criterion 5: The capacity requested caters for future expansion rather than the immediate requirements of (an) end user(s). </w:t>
      </w:r>
    </w:p>
    <w:p w14:paraId="64A37D1E" w14:textId="77777777" w:rsidR="00440CC1" w:rsidRPr="00DC127E" w:rsidRDefault="00440CC1" w:rsidP="00440CC1">
      <w:pPr>
        <w:jc w:val="both"/>
        <w:rPr>
          <w:u w:val="single"/>
        </w:rPr>
      </w:pPr>
      <w:r w:rsidRPr="00DC127E">
        <w:rPr>
          <w:u w:val="single"/>
        </w:rPr>
        <w:t>Financial Commitment</w:t>
      </w:r>
    </w:p>
    <w:p w14:paraId="6F03D42B" w14:textId="77777777" w:rsidR="00440CC1" w:rsidRDefault="00440CC1" w:rsidP="00367AA0">
      <w:pPr>
        <w:pStyle w:val="ListParagraph"/>
        <w:numPr>
          <w:ilvl w:val="1"/>
          <w:numId w:val="30"/>
        </w:numPr>
        <w:ind w:left="567" w:hanging="567"/>
        <w:jc w:val="both"/>
      </w:pPr>
      <w:r>
        <w:t>The WG consider provision of a financial commitment to reflect a higher level of confidence that the development will be completed in its entirety and to the details provided at initial application. Should the applicant provide a financial commitment in support of the application, then the application will receive ‘points# in the ‘</w:t>
      </w:r>
      <w:proofErr w:type="gramStart"/>
      <w:r>
        <w:t>Non-Speculative</w:t>
      </w:r>
      <w:proofErr w:type="gramEnd"/>
      <w:r>
        <w:rPr>
          <w:rFonts w:eastAsia="Arial" w:cs="Arial"/>
          <w:szCs w:val="20"/>
        </w:rPr>
        <w:t>’</w:t>
      </w:r>
      <w:r>
        <w:t>’ column of the Speculative Scoring Methodology.</w:t>
      </w:r>
    </w:p>
    <w:p w14:paraId="00EF6186" w14:textId="77777777" w:rsidR="00440CC1" w:rsidRDefault="00440CC1" w:rsidP="00367AA0">
      <w:pPr>
        <w:pStyle w:val="ListParagraph"/>
        <w:numPr>
          <w:ilvl w:val="1"/>
          <w:numId w:val="30"/>
        </w:numPr>
        <w:ind w:left="567" w:hanging="567"/>
        <w:jc w:val="both"/>
      </w:pPr>
      <w:r>
        <w:t>The WG identify this as a high importance criterion.</w:t>
      </w:r>
    </w:p>
    <w:p w14:paraId="7A7CF45E" w14:textId="77777777" w:rsidR="00440CC1" w:rsidRDefault="00440CC1" w:rsidP="00367AA0">
      <w:pPr>
        <w:pStyle w:val="ListParagraph"/>
        <w:numPr>
          <w:ilvl w:val="1"/>
          <w:numId w:val="30"/>
        </w:numPr>
        <w:ind w:left="567" w:hanging="567"/>
        <w:jc w:val="both"/>
      </w:pPr>
      <w:r>
        <w:t xml:space="preserve">A financial commitment </w:t>
      </w:r>
      <w:proofErr w:type="gramStart"/>
      <w:r>
        <w:t>is considered to be</w:t>
      </w:r>
      <w:proofErr w:type="gramEnd"/>
      <w:r>
        <w:t xml:space="preserve"> made where (and where applicable only):</w:t>
      </w:r>
    </w:p>
    <w:p w14:paraId="26B7BE2D" w14:textId="77777777" w:rsidR="00440CC1" w:rsidRDefault="00440CC1" w:rsidP="00367AA0">
      <w:pPr>
        <w:pStyle w:val="ListParagraph"/>
        <w:numPr>
          <w:ilvl w:val="0"/>
          <w:numId w:val="31"/>
        </w:numPr>
        <w:tabs>
          <w:tab w:val="left" w:pos="567"/>
        </w:tabs>
        <w:spacing w:line="360" w:lineRule="auto"/>
        <w:jc w:val="both"/>
      </w:pPr>
      <w:r>
        <w:t>The assets installed at initial connection are sized sufficiently to accommodate the complete future development rather than just the capacity to be utilised in the early phases of construction.</w:t>
      </w:r>
    </w:p>
    <w:p w14:paraId="7207854F" w14:textId="77777777" w:rsidR="00440CC1" w:rsidRDefault="00440CC1" w:rsidP="00367AA0">
      <w:pPr>
        <w:pStyle w:val="ListParagraph"/>
        <w:numPr>
          <w:ilvl w:val="0"/>
          <w:numId w:val="31"/>
        </w:numPr>
        <w:tabs>
          <w:tab w:val="left" w:pos="567"/>
        </w:tabs>
        <w:spacing w:line="360" w:lineRule="auto"/>
        <w:jc w:val="both"/>
      </w:pPr>
      <w:r>
        <w:t>The applicant agrees to pay Operation &amp; Maintenance costs for the complete development which shall be included within the Connection Offer and payable prior to initial connection.</w:t>
      </w:r>
    </w:p>
    <w:p w14:paraId="2592140C" w14:textId="77777777" w:rsidR="00440CC1" w:rsidRDefault="00440CC1" w:rsidP="00367AA0">
      <w:pPr>
        <w:pStyle w:val="ListParagraph"/>
        <w:numPr>
          <w:ilvl w:val="0"/>
          <w:numId w:val="31"/>
        </w:numPr>
        <w:tabs>
          <w:tab w:val="left" w:pos="567"/>
        </w:tabs>
        <w:spacing w:line="360" w:lineRule="auto"/>
        <w:jc w:val="both"/>
      </w:pPr>
      <w:r>
        <w:t>The applicant agrees to commit to the DUoS residual banding allocation upon initial connection respective of the capacity of the final phase of the development. For example, if the connection will be ramped from 1MVA to 5MVA over 10 years, then the customer will commit to DUoS charges (p/kVA/day) from initial connection relative to a 5MVA connection, and which may vary relative to the capacity at each stage of the development in terms of residual fixed charges.</w:t>
      </w:r>
    </w:p>
    <w:p w14:paraId="7017DD02" w14:textId="77777777" w:rsidR="00440CC1" w:rsidRPr="005D0A9F" w:rsidRDefault="00440CC1" w:rsidP="00440CC1">
      <w:pPr>
        <w:spacing w:line="360" w:lineRule="auto"/>
        <w:jc w:val="both"/>
        <w:rPr>
          <w:rFonts w:eastAsia="Calibri" w:cs="Arial"/>
          <w:b/>
          <w:bCs/>
          <w:szCs w:val="20"/>
        </w:rPr>
      </w:pPr>
      <w:r w:rsidRPr="005D0A9F">
        <w:rPr>
          <w:rFonts w:eastAsia="Calibri" w:cs="Arial"/>
          <w:b/>
          <w:bCs/>
          <w:szCs w:val="20"/>
        </w:rPr>
        <w:t xml:space="preserve">Criterion 6: The capacity requested caters for future speculative phases of a development rather than the initial phase(s) of the development. </w:t>
      </w:r>
    </w:p>
    <w:p w14:paraId="5E868EF6" w14:textId="77777777" w:rsidR="00440CC1" w:rsidRPr="00DC127E" w:rsidRDefault="00440CC1" w:rsidP="00367AA0">
      <w:pPr>
        <w:pStyle w:val="ListParagraph"/>
        <w:numPr>
          <w:ilvl w:val="1"/>
          <w:numId w:val="30"/>
        </w:numPr>
        <w:ind w:left="567" w:hanging="567"/>
        <w:jc w:val="both"/>
      </w:pPr>
      <w:r w:rsidRPr="00DC127E">
        <w:t>Criterion 6 assesses the capacity profile in relation to the proportion of the development included as part of the first construction phase of the development against the proportion of the development required for the proceeding phases. This criterion is included by the WG on the expectation that, where the first construction phase of a development accommodates a greater proportion of the connections or the capacity, then the risk of stranded assets is reduced.</w:t>
      </w:r>
    </w:p>
    <w:p w14:paraId="6B27494F" w14:textId="77777777" w:rsidR="00440CC1" w:rsidRPr="00DC127E" w:rsidRDefault="00440CC1" w:rsidP="00367AA0">
      <w:pPr>
        <w:pStyle w:val="ListParagraph"/>
        <w:numPr>
          <w:ilvl w:val="1"/>
          <w:numId w:val="30"/>
        </w:numPr>
        <w:ind w:left="567" w:hanging="567"/>
        <w:jc w:val="both"/>
      </w:pPr>
      <w:r w:rsidRPr="00DC127E">
        <w:t>Where more than 75% of the total connections or more than 75% of the total load are delivered in the first construction phase of the development, the application will receive ‘points’ in the ‘</w:t>
      </w:r>
      <w:proofErr w:type="gramStart"/>
      <w:r>
        <w:t>Non-Speculative</w:t>
      </w:r>
      <w:proofErr w:type="gramEnd"/>
      <w:r>
        <w:rPr>
          <w:rFonts w:eastAsia="Arial" w:cs="Arial"/>
          <w:szCs w:val="20"/>
        </w:rPr>
        <w:t>’</w:t>
      </w:r>
      <w:r w:rsidRPr="00DC127E">
        <w:t>’ column of the Speculative Scoring Methodology.</w:t>
      </w:r>
    </w:p>
    <w:p w14:paraId="5D3442A6" w14:textId="77777777" w:rsidR="00440CC1" w:rsidRPr="00DC127E" w:rsidRDefault="00440CC1" w:rsidP="00367AA0">
      <w:pPr>
        <w:pStyle w:val="ListParagraph"/>
        <w:numPr>
          <w:ilvl w:val="1"/>
          <w:numId w:val="30"/>
        </w:numPr>
        <w:ind w:left="567" w:hanging="567"/>
        <w:jc w:val="both"/>
      </w:pPr>
      <w:r w:rsidRPr="00DC127E">
        <w:lastRenderedPageBreak/>
        <w:t xml:space="preserve">In contrast, where the infrastructure only is being provided, with no connections for end users requested and the development is not within a Local Authority Development Plan, then the application will receive ‘points’ in the ‘Speculative’ column of the Speculative Scoring Methodology. </w:t>
      </w:r>
      <w:bookmarkStart w:id="31" w:name="_Hlk110945835"/>
      <w:r w:rsidRPr="00DC127E">
        <w:t>This is relevant because if evidence can be produced that an infrastructure only project has been included within a Local Authority Development Plan, it provides some assurance that the development is more likely to progress to completion as it has Local Authority support</w:t>
      </w:r>
      <w:bookmarkEnd w:id="31"/>
      <w:r w:rsidRPr="00DC127E">
        <w:t>.</w:t>
      </w:r>
    </w:p>
    <w:p w14:paraId="38EDCA53" w14:textId="77777777" w:rsidR="00440CC1" w:rsidRPr="00DC127E" w:rsidRDefault="00440CC1" w:rsidP="00367AA0">
      <w:pPr>
        <w:pStyle w:val="ListParagraph"/>
        <w:numPr>
          <w:ilvl w:val="1"/>
          <w:numId w:val="30"/>
        </w:numPr>
        <w:ind w:left="567" w:hanging="567"/>
        <w:jc w:val="both"/>
      </w:pPr>
      <w:r w:rsidRPr="00DC127E">
        <w:t>The working group identify this as a high importance criterion.</w:t>
      </w:r>
    </w:p>
    <w:p w14:paraId="15779AD6" w14:textId="77777777" w:rsidR="00440CC1" w:rsidRPr="005D0A9F" w:rsidRDefault="00440CC1" w:rsidP="00440CC1">
      <w:pPr>
        <w:spacing w:line="360" w:lineRule="auto"/>
        <w:jc w:val="both"/>
        <w:rPr>
          <w:rFonts w:eastAsia="Calibri" w:cs="Arial"/>
          <w:b/>
          <w:bCs/>
          <w:szCs w:val="20"/>
        </w:rPr>
      </w:pPr>
      <w:r w:rsidRPr="005D0A9F">
        <w:rPr>
          <w:rFonts w:eastAsia="Calibri" w:cs="Arial"/>
          <w:b/>
          <w:bCs/>
          <w:szCs w:val="20"/>
        </w:rPr>
        <w:t xml:space="preserve">Criterion 7: Planning </w:t>
      </w:r>
      <w:r>
        <w:rPr>
          <w:rFonts w:eastAsia="Calibri" w:cs="Arial"/>
          <w:b/>
          <w:bCs/>
          <w:szCs w:val="20"/>
        </w:rPr>
        <w:t>Permission</w:t>
      </w:r>
      <w:r w:rsidRPr="005D0A9F">
        <w:rPr>
          <w:rFonts w:eastAsia="Calibri" w:cs="Arial"/>
          <w:b/>
          <w:bCs/>
          <w:szCs w:val="20"/>
        </w:rPr>
        <w:t xml:space="preserve"> granted for all phases of the project. </w:t>
      </w:r>
    </w:p>
    <w:p w14:paraId="287BBE90" w14:textId="77777777" w:rsidR="00440CC1" w:rsidRPr="00DC127E" w:rsidRDefault="00440CC1" w:rsidP="00367AA0">
      <w:pPr>
        <w:pStyle w:val="ListParagraph"/>
        <w:numPr>
          <w:ilvl w:val="1"/>
          <w:numId w:val="30"/>
        </w:numPr>
        <w:ind w:left="567" w:hanging="567"/>
        <w:jc w:val="both"/>
      </w:pPr>
      <w:r w:rsidRPr="00DC127E">
        <w:t xml:space="preserve">Criterion 7 assesses the likelihood of the development </w:t>
      </w:r>
      <w:bookmarkStart w:id="32" w:name="_Hlk110945969"/>
      <w:r w:rsidRPr="00DC127E">
        <w:t>being completed based on the type of Planning Permission granted.</w:t>
      </w:r>
      <w:bookmarkEnd w:id="32"/>
    </w:p>
    <w:p w14:paraId="2E4A6458" w14:textId="77777777" w:rsidR="00440CC1" w:rsidRPr="00DC127E" w:rsidRDefault="00440CC1" w:rsidP="00367AA0">
      <w:pPr>
        <w:pStyle w:val="ListParagraph"/>
        <w:numPr>
          <w:ilvl w:val="1"/>
          <w:numId w:val="30"/>
        </w:numPr>
        <w:ind w:left="567" w:hanging="567"/>
        <w:jc w:val="both"/>
      </w:pPr>
      <w:r w:rsidRPr="00DC127E">
        <w:t>Should the complete development (inclusive of all phases) have achieved Full Planning Permission, then the application will receive ‘points’ in the ‘</w:t>
      </w:r>
      <w:proofErr w:type="gramStart"/>
      <w:r>
        <w:t>Non-Speculative</w:t>
      </w:r>
      <w:proofErr w:type="gramEnd"/>
      <w:r>
        <w:rPr>
          <w:rFonts w:eastAsia="Arial" w:cs="Arial"/>
          <w:szCs w:val="20"/>
        </w:rPr>
        <w:t>’</w:t>
      </w:r>
      <w:r w:rsidRPr="00DC127E">
        <w:t xml:space="preserve">’ column of the Speculative Scoring Methodology, and the WG believe this would reflect a high importance criterion to have achieved this milestone. </w:t>
      </w:r>
    </w:p>
    <w:p w14:paraId="76F84920" w14:textId="77777777" w:rsidR="00440CC1" w:rsidRPr="00DC127E" w:rsidRDefault="00440CC1" w:rsidP="00367AA0">
      <w:pPr>
        <w:pStyle w:val="ListParagraph"/>
        <w:numPr>
          <w:ilvl w:val="1"/>
          <w:numId w:val="30"/>
        </w:numPr>
        <w:ind w:left="567" w:hanging="567"/>
        <w:jc w:val="both"/>
      </w:pPr>
      <w:r w:rsidRPr="00DC127E">
        <w:t>Should the complete development (inclusive of all phases) have achieved Outline Planning Permission only, then the application will receive ‘points’ in the ‘</w:t>
      </w:r>
      <w:proofErr w:type="gramStart"/>
      <w:r>
        <w:t>Non-Speculative</w:t>
      </w:r>
      <w:proofErr w:type="gramEnd"/>
      <w:r>
        <w:rPr>
          <w:rFonts w:eastAsia="Arial" w:cs="Arial"/>
          <w:szCs w:val="20"/>
        </w:rPr>
        <w:t>’</w:t>
      </w:r>
      <w:r w:rsidRPr="00DC127E">
        <w:t>’ column of the Speculative Scoring Methodology, but the WG believe this would reflect a low importance criterion in isolation.</w:t>
      </w:r>
    </w:p>
    <w:p w14:paraId="2E1A4391" w14:textId="77777777" w:rsidR="00440CC1" w:rsidRPr="00DC127E" w:rsidRDefault="00440CC1" w:rsidP="00367AA0">
      <w:pPr>
        <w:pStyle w:val="ListParagraph"/>
        <w:numPr>
          <w:ilvl w:val="1"/>
          <w:numId w:val="30"/>
        </w:numPr>
        <w:ind w:left="567" w:hanging="567"/>
        <w:jc w:val="both"/>
      </w:pPr>
      <w:bookmarkStart w:id="33" w:name="_Hlk110946041"/>
      <w:r w:rsidRPr="00DC127E">
        <w:t xml:space="preserve">The WG rationale for the difference in weighting between speculative and </w:t>
      </w:r>
      <w:proofErr w:type="gramStart"/>
      <w:r>
        <w:t>Non-S</w:t>
      </w:r>
      <w:r w:rsidRPr="00DC127E">
        <w:t>peculative</w:t>
      </w:r>
      <w:proofErr w:type="gramEnd"/>
      <w:r w:rsidRPr="00DC127E">
        <w:t xml:space="preserve"> is because Outline Planning Permission only gives consent to build the project in principle and identify any objections to the development, but Full Planning Permission approves all the details of a proposed development and therefore will provide the DNO with greater confidence that the development is likely to be completed.</w:t>
      </w:r>
      <w:bookmarkEnd w:id="33"/>
    </w:p>
    <w:p w14:paraId="73A8D76B" w14:textId="77777777" w:rsidR="00440CC1" w:rsidRPr="00551BF4" w:rsidRDefault="00440CC1" w:rsidP="00440CC1">
      <w:pPr>
        <w:jc w:val="both"/>
        <w:rPr>
          <w:b/>
          <w:bCs/>
        </w:rPr>
      </w:pPr>
      <w:r w:rsidRPr="00551BF4">
        <w:rPr>
          <w:b/>
          <w:bCs/>
        </w:rPr>
        <w:t>Capacity Ramping</w:t>
      </w:r>
    </w:p>
    <w:p w14:paraId="2F5D2BB8" w14:textId="77777777" w:rsidR="00440CC1" w:rsidRDefault="00440CC1" w:rsidP="00367AA0">
      <w:pPr>
        <w:pStyle w:val="ListParagraph"/>
        <w:numPr>
          <w:ilvl w:val="1"/>
          <w:numId w:val="30"/>
        </w:numPr>
        <w:ind w:left="567" w:hanging="567"/>
        <w:jc w:val="both"/>
      </w:pPr>
      <w:r>
        <w:t xml:space="preserve">Capacity ramping is one of the high importance criteria identified by the WG towards establishing whether a specific site is deemed speculative or not. It is the term used when the total requested site capacity, whether generation, </w:t>
      </w:r>
      <w:proofErr w:type="gramStart"/>
      <w:r>
        <w:t>demand</w:t>
      </w:r>
      <w:proofErr w:type="gramEnd"/>
      <w:r>
        <w:t xml:space="preserve"> or both, is not immediately required, however the future development of the site will require use of the requested capacity in stages that are outlined within a capacity ramp profile, provided by the applicant.  This profile will clearly indicate specific dates when the capacity is required.   </w:t>
      </w:r>
    </w:p>
    <w:p w14:paraId="2462F176" w14:textId="77777777" w:rsidR="00440CC1" w:rsidRDefault="00440CC1" w:rsidP="00367AA0">
      <w:pPr>
        <w:pStyle w:val="ListParagraph"/>
        <w:numPr>
          <w:ilvl w:val="1"/>
          <w:numId w:val="30"/>
        </w:numPr>
        <w:ind w:left="567" w:hanging="567"/>
        <w:jc w:val="both"/>
      </w:pPr>
      <w:r>
        <w:t xml:space="preserve">The current approach in Schedule 22, Paragraph 1.51 of DCUSA outlines that the capacity ramping approach for Licensed Distribution Network Operator (LDNO’s) where the Bilateral Connection Agreement (BCA) will outline the phased Required Capacity based on the development phases </w:t>
      </w:r>
      <w:proofErr w:type="gramStart"/>
      <w:r>
        <w:t>i.e.</w:t>
      </w:r>
      <w:proofErr w:type="gramEnd"/>
      <w:r>
        <w:t xml:space="preserve"> the capacity ramp profile.</w:t>
      </w:r>
    </w:p>
    <w:p w14:paraId="02D5F784" w14:textId="77777777" w:rsidR="00440CC1" w:rsidRDefault="00440CC1" w:rsidP="00367AA0">
      <w:pPr>
        <w:pStyle w:val="ListParagraph"/>
        <w:numPr>
          <w:ilvl w:val="1"/>
          <w:numId w:val="30"/>
        </w:numPr>
        <w:ind w:left="567" w:hanging="567"/>
        <w:jc w:val="both"/>
      </w:pPr>
      <w:r>
        <w:t xml:space="preserve">The dates for when the capacity is required shall be reviewed at agreed intervals to determine if the site is developing in line with the requirements outlined in the BCA.  If the development is not progressing within the specific requirements outlined in the </w:t>
      </w:r>
      <w:proofErr w:type="gramStart"/>
      <w:r>
        <w:t>BCA</w:t>
      </w:r>
      <w:proofErr w:type="gramEnd"/>
      <w:r>
        <w:t xml:space="preserve"> the capacity may be released for use to other customers and the Maximum Capacity reduced in the BCA accordingly.  </w:t>
      </w:r>
    </w:p>
    <w:p w14:paraId="6585268B" w14:textId="77777777" w:rsidR="00440CC1" w:rsidRDefault="00440CC1" w:rsidP="00367AA0">
      <w:pPr>
        <w:pStyle w:val="ListParagraph"/>
        <w:numPr>
          <w:ilvl w:val="1"/>
          <w:numId w:val="30"/>
        </w:numPr>
        <w:ind w:left="567" w:hanging="567"/>
        <w:jc w:val="both"/>
      </w:pPr>
      <w:r>
        <w:t xml:space="preserve">The WG have proposed an approach to extend this principle of capacity ramping to other customers, not limited to LDNOs. The WG have proposed an approach to cover the situation where an applicant can apply for capacity that is not immediately required but caters for future expansion.  If they provide a capacity ramp profile for the entire development that gives forward notice of the ramped capacity and </w:t>
      </w:r>
      <w:proofErr w:type="gramStart"/>
      <w:r>
        <w:t>enter into</w:t>
      </w:r>
      <w:proofErr w:type="gramEnd"/>
      <w:r>
        <w:t xml:space="preserve"> a financial commitment to paying DUoS charges based on that profile, they can be considered a ‘Phased Capacity Site’.  A ‘Phased Capacity Site’ would then be considered ‘</w:t>
      </w:r>
      <w:proofErr w:type="gramStart"/>
      <w:r>
        <w:t>Non-Speculative</w:t>
      </w:r>
      <w:proofErr w:type="gramEnd"/>
      <w:r>
        <w:rPr>
          <w:rFonts w:eastAsia="Arial" w:cs="Arial"/>
          <w:szCs w:val="20"/>
        </w:rPr>
        <w:t>’</w:t>
      </w:r>
      <w:r>
        <w:t xml:space="preserve">’ in the methodology. </w:t>
      </w:r>
    </w:p>
    <w:p w14:paraId="4024870D" w14:textId="77777777" w:rsidR="00440CC1" w:rsidRDefault="00440CC1" w:rsidP="00367AA0">
      <w:pPr>
        <w:pStyle w:val="ListParagraph"/>
        <w:numPr>
          <w:ilvl w:val="1"/>
          <w:numId w:val="30"/>
        </w:numPr>
        <w:ind w:left="567" w:hanging="567"/>
        <w:jc w:val="both"/>
      </w:pPr>
      <w:r>
        <w:lastRenderedPageBreak/>
        <w:t>For a ‘Phased Capacity Site’ the DNO would then ensure the capacity is available to meet that profile, reinforcing where required so that the network capacity is available when needed.  Any reinforcement that is required would be charged based on the appropriate reinforcement methodology and the maximum capacity used at the end of the development phase shall be the basis for any Cost Apportioned Factors.  For Demand Connections there would therefore be no charge for the reinforcement (exceptions apply, for example the high-cost project threshold).</w:t>
      </w:r>
    </w:p>
    <w:p w14:paraId="545DE56C" w14:textId="77777777" w:rsidR="00440CC1" w:rsidRDefault="00440CC1" w:rsidP="00367AA0">
      <w:pPr>
        <w:pStyle w:val="ListParagraph"/>
        <w:numPr>
          <w:ilvl w:val="1"/>
          <w:numId w:val="30"/>
        </w:numPr>
        <w:ind w:left="567" w:hanging="567"/>
        <w:jc w:val="both"/>
      </w:pPr>
      <w:r>
        <w:t>The extension of this approach to other customers gives benefits to both parties:</w:t>
      </w:r>
    </w:p>
    <w:p w14:paraId="3137490F" w14:textId="77777777" w:rsidR="00440CC1" w:rsidRDefault="00440CC1" w:rsidP="00367AA0">
      <w:pPr>
        <w:pStyle w:val="ListParagraph"/>
        <w:numPr>
          <w:ilvl w:val="0"/>
          <w:numId w:val="31"/>
        </w:numPr>
        <w:tabs>
          <w:tab w:val="left" w:pos="567"/>
        </w:tabs>
        <w:spacing w:line="360" w:lineRule="auto"/>
        <w:jc w:val="both"/>
      </w:pPr>
      <w:r>
        <w:t>For the customer, they can give forward notice of capacity requirements so that the DNO can carry out any necessary reinforcement in advance</w:t>
      </w:r>
    </w:p>
    <w:p w14:paraId="30FAA2B6" w14:textId="77777777" w:rsidR="00440CC1" w:rsidRPr="00086EC6" w:rsidRDefault="00440CC1" w:rsidP="00367AA0">
      <w:pPr>
        <w:pStyle w:val="ListParagraph"/>
        <w:numPr>
          <w:ilvl w:val="0"/>
          <w:numId w:val="31"/>
        </w:numPr>
        <w:tabs>
          <w:tab w:val="left" w:pos="567"/>
        </w:tabs>
        <w:spacing w:line="360" w:lineRule="auto"/>
        <w:jc w:val="both"/>
      </w:pPr>
      <w:r>
        <w:t>For the DNO, they get oversight of the capacity requirements for the whole development and can consider holistic solutions rather than responding to incremental applications for additional capacity from the customer.</w:t>
      </w:r>
    </w:p>
    <w:p w14:paraId="1A40E6ED" w14:textId="77777777" w:rsidR="00440CC1" w:rsidRPr="00551BF4" w:rsidRDefault="00440CC1" w:rsidP="00440CC1">
      <w:pPr>
        <w:rPr>
          <w:b/>
          <w:bCs/>
        </w:rPr>
      </w:pPr>
      <w:r>
        <w:rPr>
          <w:b/>
          <w:bCs/>
        </w:rPr>
        <w:t xml:space="preserve">Speculative Scoring </w:t>
      </w:r>
      <w:r w:rsidRPr="008E3D62">
        <w:rPr>
          <w:b/>
          <w:bCs/>
        </w:rPr>
        <w:t>Methodology</w:t>
      </w:r>
    </w:p>
    <w:p w14:paraId="46E7DE86" w14:textId="77777777" w:rsidR="00440CC1" w:rsidRPr="00551BF4" w:rsidRDefault="00440CC1" w:rsidP="00367AA0">
      <w:pPr>
        <w:pStyle w:val="ListParagraph"/>
        <w:numPr>
          <w:ilvl w:val="1"/>
          <w:numId w:val="30"/>
        </w:numPr>
        <w:ind w:left="567" w:hanging="567"/>
        <w:jc w:val="both"/>
      </w:pPr>
      <w:r w:rsidRPr="00551BF4">
        <w:t>Where the Minimum Information has been received</w:t>
      </w:r>
      <w:r>
        <w:t xml:space="preserve"> and </w:t>
      </w:r>
      <w:r w:rsidRPr="0099615C">
        <w:t>reinforcement works are identified</w:t>
      </w:r>
      <w:r w:rsidRPr="00551BF4">
        <w:t xml:space="preserve">; the Speculative Scoring Methodology detailed below shall be applied to determine whether the application should be treated as speculative. It should be noted that some of the criterion used are not applicable to the ‘Speculative’ column. Where this is the case, the relevant box has been shaded and identified as not applicable. </w:t>
      </w:r>
    </w:p>
    <w:p w14:paraId="48509F02" w14:textId="77777777" w:rsidR="00440CC1" w:rsidRPr="00551BF4" w:rsidRDefault="00440CC1" w:rsidP="00440CC1">
      <w:pPr>
        <w:rPr>
          <w:rFonts w:cs="Arial"/>
          <w:b/>
          <w:bCs/>
          <w:color w:val="414042"/>
          <w:u w:val="single"/>
        </w:rPr>
      </w:pPr>
      <w:r w:rsidRPr="00551BF4">
        <w:rPr>
          <w:rFonts w:cs="Arial"/>
          <w:b/>
          <w:bCs/>
          <w:color w:val="414042"/>
          <w:u w:val="single"/>
        </w:rPr>
        <w:t xml:space="preserve">Scoring </w:t>
      </w:r>
    </w:p>
    <w:p w14:paraId="57F0F1E2" w14:textId="77777777" w:rsidR="00440CC1" w:rsidRDefault="00440CC1" w:rsidP="00367AA0">
      <w:pPr>
        <w:pStyle w:val="ListParagraph"/>
        <w:numPr>
          <w:ilvl w:val="1"/>
          <w:numId w:val="30"/>
        </w:numPr>
        <w:ind w:left="567" w:hanging="567"/>
        <w:jc w:val="both"/>
      </w:pPr>
      <w:r>
        <w:t>It is important to consider that some aspects of an application may have a greater bearing on whether an application should be considered as speculative. In recognition of this, the criteria are weighted as either ‘High’ or ‘Low’ significance.</w:t>
      </w:r>
    </w:p>
    <w:p w14:paraId="517C42FE" w14:textId="77777777" w:rsidR="00440CC1" w:rsidRDefault="00440CC1" w:rsidP="00367AA0">
      <w:pPr>
        <w:pStyle w:val="ListParagraph"/>
        <w:numPr>
          <w:ilvl w:val="1"/>
          <w:numId w:val="30"/>
        </w:numPr>
        <w:ind w:left="567" w:hanging="567"/>
        <w:jc w:val="both"/>
      </w:pPr>
      <w:r>
        <w:t xml:space="preserve">Only the ‘points’ identified in the scoring criteria shall be placed against each respective criterion that is relevant to the application </w:t>
      </w:r>
      <w:proofErr w:type="gramStart"/>
      <w:r>
        <w:t>e.g.</w:t>
      </w:r>
      <w:proofErr w:type="gramEnd"/>
      <w:r>
        <w:t xml:space="preserve"> each applicable ‘High’ significance item shall be scored 2 ‘points’ and each applicable ‘Low’ significance criterion shall be scored 1 ‘point’, without exception.</w:t>
      </w:r>
    </w:p>
    <w:p w14:paraId="2722E696" w14:textId="77777777" w:rsidR="00440CC1" w:rsidRDefault="00440CC1" w:rsidP="00367AA0">
      <w:pPr>
        <w:pStyle w:val="ListParagraph"/>
        <w:numPr>
          <w:ilvl w:val="1"/>
          <w:numId w:val="30"/>
        </w:numPr>
        <w:ind w:left="567" w:hanging="567"/>
        <w:jc w:val="both"/>
      </w:pPr>
      <w:r>
        <w:t>The total number of ‘points’ entered in the ‘Speculative’ and ‘Non-Speculative</w:t>
      </w:r>
      <w:r>
        <w:rPr>
          <w:rFonts w:eastAsia="Arial" w:cs="Arial"/>
          <w:szCs w:val="20"/>
        </w:rPr>
        <w:t>’</w:t>
      </w:r>
      <w:r>
        <w:t>’ columns shall be added up in their respective columns.</w:t>
      </w:r>
    </w:p>
    <w:p w14:paraId="00F4D9F2" w14:textId="77777777" w:rsidR="00440CC1" w:rsidRDefault="00440CC1" w:rsidP="00367AA0">
      <w:pPr>
        <w:pStyle w:val="ListParagraph"/>
        <w:numPr>
          <w:ilvl w:val="1"/>
          <w:numId w:val="30"/>
        </w:numPr>
        <w:ind w:left="567" w:hanging="567"/>
        <w:jc w:val="both"/>
      </w:pPr>
      <w:r>
        <w:t>If the total value of ‘points’ for the ‘</w:t>
      </w:r>
      <w:proofErr w:type="gramStart"/>
      <w:r>
        <w:t>Non-Speculative</w:t>
      </w:r>
      <w:proofErr w:type="gramEnd"/>
      <w:r>
        <w:rPr>
          <w:rFonts w:eastAsia="Arial" w:cs="Arial"/>
          <w:szCs w:val="20"/>
        </w:rPr>
        <w:t>’</w:t>
      </w:r>
      <w:r>
        <w:t>’ column [shown in the green box in the table below] are equal to or greater than the ‘Speculative’ column [shown in the red box in the table below], then the Customer’s application will be considered as Non-Speculative [as shown in the blue Final Outcome box in the table below].</w:t>
      </w:r>
    </w:p>
    <w:p w14:paraId="4C59B709" w14:textId="77777777" w:rsidR="00440CC1" w:rsidRDefault="00440CC1" w:rsidP="00367AA0">
      <w:pPr>
        <w:pStyle w:val="ListParagraph"/>
        <w:numPr>
          <w:ilvl w:val="1"/>
          <w:numId w:val="30"/>
        </w:numPr>
        <w:ind w:left="567" w:hanging="567"/>
        <w:jc w:val="both"/>
      </w:pPr>
      <w:r>
        <w:t>If there is no ‘score’ in either column, then the DNO may need to obtain additional information prior to making an assessment [</w:t>
      </w:r>
      <w:proofErr w:type="gramStart"/>
      <w:r>
        <w:t>e.g.</w:t>
      </w:r>
      <w:proofErr w:type="gramEnd"/>
      <w:r>
        <w:t xml:space="preserve"> as demonstrated in example 2]. </w:t>
      </w:r>
    </w:p>
    <w:p w14:paraId="28CFAEDC" w14:textId="77777777" w:rsidR="00440CC1" w:rsidRDefault="00440CC1" w:rsidP="00367AA0">
      <w:pPr>
        <w:pStyle w:val="ListParagraph"/>
        <w:numPr>
          <w:ilvl w:val="1"/>
          <w:numId w:val="30"/>
        </w:numPr>
        <w:ind w:left="567" w:hanging="567"/>
        <w:jc w:val="both"/>
      </w:pPr>
      <w:r>
        <w:t>All criteria may not apply to every project.</w:t>
      </w:r>
    </w:p>
    <w:p w14:paraId="42740404" w14:textId="77777777" w:rsidR="00440CC1" w:rsidRDefault="00440CC1" w:rsidP="00367AA0">
      <w:pPr>
        <w:pStyle w:val="ListParagraph"/>
        <w:numPr>
          <w:ilvl w:val="1"/>
          <w:numId w:val="30"/>
        </w:numPr>
        <w:ind w:left="567" w:hanging="567"/>
        <w:jc w:val="both"/>
      </w:pPr>
      <w:r>
        <w:t>Worked examples of how this can be applied in practice can be found in Attachment 5.</w:t>
      </w:r>
    </w:p>
    <w:p w14:paraId="77CADBFA" w14:textId="77777777" w:rsidR="00440CC1" w:rsidRDefault="00440CC1" w:rsidP="00367AA0">
      <w:pPr>
        <w:pStyle w:val="ListParagraph"/>
        <w:numPr>
          <w:ilvl w:val="1"/>
          <w:numId w:val="30"/>
        </w:numPr>
        <w:ind w:left="567" w:hanging="567"/>
        <w:jc w:val="both"/>
      </w:pPr>
      <w:r>
        <w:t>Where appropriate, suitable comments to justify the scores applied shall be added in the Justification / Comments column for audit purposes.</w:t>
      </w:r>
    </w:p>
    <w:p w14:paraId="3C65ED72" w14:textId="77777777" w:rsidR="00440CC1" w:rsidRDefault="00440CC1" w:rsidP="00367AA0">
      <w:pPr>
        <w:pStyle w:val="ListParagraph"/>
        <w:numPr>
          <w:ilvl w:val="1"/>
          <w:numId w:val="30"/>
        </w:numPr>
        <w:ind w:left="567" w:hanging="567"/>
        <w:jc w:val="both"/>
      </w:pPr>
      <w:r>
        <w:t>The criteria used are detailed in the table below</w:t>
      </w:r>
    </w:p>
    <w:tbl>
      <w:tblPr>
        <w:tblW w:w="7093" w:type="dxa"/>
        <w:tblCellMar>
          <w:left w:w="0" w:type="dxa"/>
          <w:right w:w="0" w:type="dxa"/>
        </w:tblCellMar>
        <w:tblLook w:val="04A0" w:firstRow="1" w:lastRow="0" w:firstColumn="1" w:lastColumn="0" w:noHBand="0" w:noVBand="1"/>
      </w:tblPr>
      <w:tblGrid>
        <w:gridCol w:w="2258"/>
        <w:gridCol w:w="2384"/>
        <w:gridCol w:w="772"/>
        <w:gridCol w:w="1827"/>
        <w:gridCol w:w="772"/>
      </w:tblGrid>
      <w:tr w:rsidR="00440CC1" w:rsidRPr="00551BF4" w14:paraId="759C8F13" w14:textId="77777777" w:rsidTr="00C50589">
        <w:trPr>
          <w:trHeight w:val="275"/>
          <w:tblHeader/>
        </w:trPr>
        <w:tc>
          <w:tcPr>
            <w:tcW w:w="225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D531059" w14:textId="77777777" w:rsidR="00440CC1" w:rsidRPr="00551BF4" w:rsidRDefault="00440CC1" w:rsidP="00C50589">
            <w:pPr>
              <w:jc w:val="both"/>
            </w:pPr>
            <w:r w:rsidRPr="00551BF4">
              <w:lastRenderedPageBreak/>
              <w:t>Criteria</w:t>
            </w:r>
          </w:p>
        </w:tc>
        <w:tc>
          <w:tcPr>
            <w:tcW w:w="1868" w:type="dxa"/>
            <w:tcBorders>
              <w:top w:val="single" w:sz="8" w:space="0" w:color="auto"/>
              <w:left w:val="nil"/>
              <w:bottom w:val="single" w:sz="8" w:space="0" w:color="auto"/>
              <w:right w:val="nil"/>
            </w:tcBorders>
            <w:shd w:val="clear" w:color="auto" w:fill="00B050"/>
            <w:noWrap/>
            <w:tcMar>
              <w:top w:w="0" w:type="dxa"/>
              <w:left w:w="108" w:type="dxa"/>
              <w:bottom w:w="0" w:type="dxa"/>
              <w:right w:w="108" w:type="dxa"/>
            </w:tcMar>
            <w:vAlign w:val="bottom"/>
            <w:hideMark/>
          </w:tcPr>
          <w:p w14:paraId="66A6E951" w14:textId="77777777" w:rsidR="00440CC1" w:rsidRPr="000C2716" w:rsidRDefault="00440CC1" w:rsidP="00C50589">
            <w:pPr>
              <w:jc w:val="both"/>
              <w:rPr>
                <w:b/>
                <w:bCs/>
              </w:rPr>
            </w:pPr>
            <w:r w:rsidRPr="000C2716">
              <w:rPr>
                <w:b/>
                <w:bCs/>
              </w:rPr>
              <w:t>Non-Speculative</w:t>
            </w:r>
            <w:r w:rsidRPr="000C2716">
              <w:rPr>
                <w:rFonts w:eastAsia="Arial" w:cs="Arial"/>
                <w:b/>
                <w:bCs/>
                <w:szCs w:val="20"/>
              </w:rPr>
              <w:t>’</w:t>
            </w:r>
          </w:p>
        </w:tc>
        <w:tc>
          <w:tcPr>
            <w:tcW w:w="57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51B11A" w14:textId="77777777" w:rsidR="00440CC1" w:rsidRPr="00551BF4" w:rsidRDefault="00440CC1" w:rsidP="00C50589">
            <w:pPr>
              <w:jc w:val="both"/>
            </w:pPr>
            <w:r w:rsidRPr="00551BF4">
              <w:t>Points</w:t>
            </w:r>
          </w:p>
        </w:tc>
        <w:tc>
          <w:tcPr>
            <w:tcW w:w="1827" w:type="dxa"/>
            <w:tcBorders>
              <w:top w:val="single" w:sz="8" w:space="0" w:color="auto"/>
              <w:left w:val="nil"/>
              <w:bottom w:val="single" w:sz="8" w:space="0" w:color="auto"/>
              <w:right w:val="nil"/>
            </w:tcBorders>
            <w:shd w:val="clear" w:color="auto" w:fill="FF0000"/>
            <w:noWrap/>
            <w:tcMar>
              <w:top w:w="0" w:type="dxa"/>
              <w:left w:w="108" w:type="dxa"/>
              <w:bottom w:w="0" w:type="dxa"/>
              <w:right w:w="108" w:type="dxa"/>
            </w:tcMar>
            <w:vAlign w:val="bottom"/>
            <w:hideMark/>
          </w:tcPr>
          <w:p w14:paraId="550402C4" w14:textId="77777777" w:rsidR="00440CC1" w:rsidRPr="00551BF4" w:rsidRDefault="00440CC1" w:rsidP="00C50589">
            <w:pPr>
              <w:jc w:val="both"/>
              <w:rPr>
                <w:b/>
                <w:bCs/>
              </w:rPr>
            </w:pPr>
            <w:r w:rsidRPr="00551BF4">
              <w:rPr>
                <w:b/>
                <w:bCs/>
              </w:rPr>
              <w:t xml:space="preserve">Speculative </w:t>
            </w:r>
          </w:p>
        </w:tc>
        <w:tc>
          <w:tcPr>
            <w:tcW w:w="57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5EB0E9E" w14:textId="77777777" w:rsidR="00440CC1" w:rsidRPr="00551BF4" w:rsidRDefault="00440CC1" w:rsidP="00C50589">
            <w:pPr>
              <w:jc w:val="both"/>
            </w:pPr>
            <w:r w:rsidRPr="00551BF4">
              <w:t>Points</w:t>
            </w:r>
          </w:p>
        </w:tc>
      </w:tr>
      <w:tr w:rsidR="00440CC1" w:rsidRPr="00551BF4" w14:paraId="5CE00461" w14:textId="77777777" w:rsidTr="00C50589">
        <w:trPr>
          <w:trHeight w:val="1008"/>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1229B747" w14:textId="77777777" w:rsidR="00440CC1" w:rsidRPr="00551BF4" w:rsidRDefault="00440CC1" w:rsidP="00C50589">
            <w:pPr>
              <w:jc w:val="both"/>
            </w:pPr>
            <w:r w:rsidRPr="00551BF4">
              <w:t xml:space="preserve">1. Their detailed electrical load requirements are not </w:t>
            </w:r>
            <w:proofErr w:type="gramStart"/>
            <w:r w:rsidRPr="00551BF4">
              <w:t xml:space="preserve">known  </w:t>
            </w:r>
            <w:r w:rsidRPr="00551BF4">
              <w:rPr>
                <w:b/>
                <w:bCs/>
              </w:rPr>
              <w:t>(</w:t>
            </w:r>
            <w:proofErr w:type="gramEnd"/>
            <w:r w:rsidRPr="00551BF4">
              <w:rPr>
                <w:b/>
                <w:bCs/>
              </w:rPr>
              <w:t>for Commercial use only)</w:t>
            </w:r>
            <w:r w:rsidRPr="00551BF4">
              <w:br/>
            </w:r>
            <w:r w:rsidRPr="00551BF4">
              <w:br/>
            </w:r>
            <w:r w:rsidRPr="00551BF4">
              <w:rPr>
                <w:b/>
                <w:bCs/>
              </w:rPr>
              <w:t>HIGH</w:t>
            </w:r>
          </w:p>
        </w:tc>
        <w:tc>
          <w:tcPr>
            <w:tcW w:w="1868" w:type="dxa"/>
            <w:tcBorders>
              <w:top w:val="nil"/>
              <w:left w:val="nil"/>
              <w:bottom w:val="single" w:sz="8" w:space="0" w:color="auto"/>
              <w:right w:val="nil"/>
            </w:tcBorders>
            <w:tcMar>
              <w:top w:w="0" w:type="dxa"/>
              <w:left w:w="108" w:type="dxa"/>
              <w:bottom w:w="0" w:type="dxa"/>
              <w:right w:w="108" w:type="dxa"/>
            </w:tcMar>
            <w:vAlign w:val="bottom"/>
            <w:hideMark/>
          </w:tcPr>
          <w:p w14:paraId="6568DD82" w14:textId="77777777" w:rsidR="00440CC1" w:rsidRPr="00551BF4" w:rsidRDefault="00440CC1" w:rsidP="00C50589">
            <w:pPr>
              <w:jc w:val="both"/>
            </w:pPr>
            <w:r w:rsidRPr="00551BF4">
              <w:t xml:space="preserve">Where the load requirement estimates are within [20%] of Industry Guidelines </w:t>
            </w:r>
          </w:p>
        </w:tc>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3069F58" w14:textId="77777777" w:rsidR="00440CC1" w:rsidRPr="00551BF4" w:rsidRDefault="00440CC1" w:rsidP="00C50589">
            <w:pPr>
              <w:jc w:val="both"/>
            </w:pPr>
            <w:r w:rsidRPr="00551BF4">
              <w:t> </w:t>
            </w:r>
          </w:p>
        </w:tc>
        <w:tc>
          <w:tcPr>
            <w:tcW w:w="1827" w:type="dxa"/>
            <w:tcBorders>
              <w:top w:val="nil"/>
              <w:left w:val="nil"/>
              <w:bottom w:val="single" w:sz="8" w:space="0" w:color="auto"/>
              <w:right w:val="nil"/>
            </w:tcBorders>
            <w:tcMar>
              <w:top w:w="0" w:type="dxa"/>
              <w:left w:w="108" w:type="dxa"/>
              <w:bottom w:w="0" w:type="dxa"/>
              <w:right w:w="108" w:type="dxa"/>
            </w:tcMar>
            <w:vAlign w:val="bottom"/>
            <w:hideMark/>
          </w:tcPr>
          <w:p w14:paraId="301BA1A6" w14:textId="77777777" w:rsidR="00440CC1" w:rsidRPr="00551BF4" w:rsidRDefault="00440CC1" w:rsidP="00C50589">
            <w:pPr>
              <w:jc w:val="both"/>
            </w:pPr>
            <w:r w:rsidRPr="00551BF4">
              <w:t>Where the load requirement estimates are [100%] greater than Industry Guidelines</w:t>
            </w:r>
          </w:p>
        </w:tc>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F153D5E" w14:textId="77777777" w:rsidR="00440CC1" w:rsidRPr="00551BF4" w:rsidRDefault="00440CC1" w:rsidP="00C50589">
            <w:pPr>
              <w:jc w:val="both"/>
            </w:pPr>
            <w:r w:rsidRPr="00551BF4">
              <w:t> </w:t>
            </w:r>
          </w:p>
        </w:tc>
      </w:tr>
      <w:tr w:rsidR="00440CC1" w:rsidRPr="00551BF4" w14:paraId="32299E7A" w14:textId="77777777" w:rsidTr="00C50589">
        <w:trPr>
          <w:trHeight w:val="1259"/>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1914F726" w14:textId="77777777" w:rsidR="00440CC1" w:rsidRPr="00551BF4" w:rsidRDefault="00440CC1" w:rsidP="00C50589">
            <w:pPr>
              <w:jc w:val="both"/>
            </w:pPr>
            <w:r w:rsidRPr="00551BF4">
              <w:t xml:space="preserve">2. The development is phased over </w:t>
            </w:r>
            <w:proofErr w:type="gramStart"/>
            <w:r w:rsidRPr="00551BF4">
              <w:t>a period of time</w:t>
            </w:r>
            <w:proofErr w:type="gramEnd"/>
            <w:r w:rsidRPr="00551BF4">
              <w:t xml:space="preserve"> and the timing of the phases is unclear </w:t>
            </w:r>
            <w:r w:rsidRPr="00551BF4">
              <w:br/>
            </w:r>
            <w:r w:rsidRPr="00551BF4">
              <w:br/>
            </w:r>
            <w:r w:rsidRPr="00551BF4">
              <w:rPr>
                <w:b/>
                <w:bCs/>
              </w:rPr>
              <w:t>LOW</w:t>
            </w:r>
          </w:p>
        </w:tc>
        <w:tc>
          <w:tcPr>
            <w:tcW w:w="1868" w:type="dxa"/>
            <w:tcBorders>
              <w:top w:val="nil"/>
              <w:left w:val="nil"/>
              <w:bottom w:val="single" w:sz="8" w:space="0" w:color="auto"/>
              <w:right w:val="nil"/>
            </w:tcBorders>
            <w:tcMar>
              <w:top w:w="0" w:type="dxa"/>
              <w:left w:w="108" w:type="dxa"/>
              <w:bottom w:w="0" w:type="dxa"/>
              <w:right w:w="108" w:type="dxa"/>
            </w:tcMar>
            <w:vAlign w:val="bottom"/>
            <w:hideMark/>
          </w:tcPr>
          <w:p w14:paraId="545A3496" w14:textId="77777777" w:rsidR="00440CC1" w:rsidRPr="00551BF4" w:rsidRDefault="00440CC1" w:rsidP="00C50589">
            <w:pPr>
              <w:jc w:val="both"/>
            </w:pPr>
            <w:r w:rsidRPr="00551BF4">
              <w:t xml:space="preserve">Overall short timescale from time of initial application to connection of final phase, less than [24] months </w:t>
            </w:r>
            <w:r w:rsidRPr="00551BF4">
              <w:br/>
            </w:r>
            <w:r w:rsidRPr="00551BF4">
              <w:rPr>
                <w:b/>
                <w:bCs/>
              </w:rPr>
              <w:t>OR</w:t>
            </w:r>
            <w:r w:rsidRPr="00551BF4">
              <w:br/>
              <w:t>A clear phasing plan is provided for development.</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A038C8" w14:textId="77777777" w:rsidR="00440CC1" w:rsidRPr="00551BF4" w:rsidRDefault="00440CC1" w:rsidP="00C50589">
            <w:pPr>
              <w:jc w:val="both"/>
            </w:pPr>
            <w:r w:rsidRPr="00551BF4">
              <w:t> </w:t>
            </w:r>
          </w:p>
        </w:tc>
        <w:tc>
          <w:tcPr>
            <w:tcW w:w="1827" w:type="dxa"/>
            <w:tcBorders>
              <w:top w:val="nil"/>
              <w:left w:val="nil"/>
              <w:bottom w:val="single" w:sz="8" w:space="0" w:color="auto"/>
              <w:right w:val="nil"/>
            </w:tcBorders>
            <w:tcMar>
              <w:top w:w="0" w:type="dxa"/>
              <w:left w:w="108" w:type="dxa"/>
              <w:bottom w:w="0" w:type="dxa"/>
              <w:right w:w="108" w:type="dxa"/>
            </w:tcMar>
            <w:vAlign w:val="bottom"/>
            <w:hideMark/>
          </w:tcPr>
          <w:p w14:paraId="54AF25C6" w14:textId="77777777" w:rsidR="00440CC1" w:rsidRPr="00551BF4" w:rsidRDefault="00440CC1" w:rsidP="00C50589">
            <w:pPr>
              <w:jc w:val="both"/>
            </w:pPr>
            <w:r w:rsidRPr="00551BF4">
              <w:t xml:space="preserve">Overall long timescale from time of initial application to connection of final phase, more than [10] years </w:t>
            </w:r>
            <w:r w:rsidRPr="00551BF4">
              <w:br/>
            </w:r>
            <w:r w:rsidRPr="00551BF4">
              <w:rPr>
                <w:b/>
                <w:bCs/>
              </w:rPr>
              <w:t>AND</w:t>
            </w:r>
            <w:r w:rsidRPr="00551BF4">
              <w:br/>
              <w:t>A phasing plan is not provided for development.</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4903F4" w14:textId="77777777" w:rsidR="00440CC1" w:rsidRPr="00551BF4" w:rsidRDefault="00440CC1" w:rsidP="00C50589">
            <w:pPr>
              <w:jc w:val="both"/>
            </w:pPr>
            <w:r w:rsidRPr="00551BF4">
              <w:t> </w:t>
            </w:r>
          </w:p>
        </w:tc>
      </w:tr>
      <w:tr w:rsidR="00440CC1" w:rsidRPr="00551BF4" w14:paraId="62CB1577" w14:textId="77777777" w:rsidTr="00C50589">
        <w:trPr>
          <w:trHeight w:val="1259"/>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1B18B4F" w14:textId="77777777" w:rsidR="00440CC1" w:rsidRPr="00551BF4" w:rsidRDefault="00440CC1" w:rsidP="00C50589">
            <w:pPr>
              <w:jc w:val="both"/>
            </w:pPr>
            <w:r w:rsidRPr="00551BF4">
              <w:t xml:space="preserve">3. The development is phased over </w:t>
            </w:r>
            <w:proofErr w:type="gramStart"/>
            <w:r w:rsidRPr="00551BF4">
              <w:t>a period of time</w:t>
            </w:r>
            <w:proofErr w:type="gramEnd"/>
            <w:r w:rsidRPr="00551BF4">
              <w:t xml:space="preserve"> and the timing of the phases is unclear </w:t>
            </w:r>
            <w:r w:rsidRPr="00551BF4">
              <w:rPr>
                <w:b/>
                <w:bCs/>
              </w:rPr>
              <w:t>(housing developments only)</w:t>
            </w:r>
            <w:r w:rsidRPr="00551BF4">
              <w:br/>
            </w:r>
            <w:r w:rsidRPr="00551BF4">
              <w:br/>
            </w:r>
            <w:r w:rsidRPr="00551BF4">
              <w:rPr>
                <w:b/>
                <w:bCs/>
              </w:rPr>
              <w:t>HIGH</w:t>
            </w:r>
            <w:r w:rsidRPr="00551BF4">
              <w:t xml:space="preserve"> </w:t>
            </w:r>
          </w:p>
        </w:tc>
        <w:tc>
          <w:tcPr>
            <w:tcW w:w="1868" w:type="dxa"/>
            <w:tcBorders>
              <w:top w:val="nil"/>
              <w:left w:val="nil"/>
              <w:bottom w:val="single" w:sz="8" w:space="0" w:color="auto"/>
              <w:right w:val="nil"/>
            </w:tcBorders>
            <w:tcMar>
              <w:top w:w="0" w:type="dxa"/>
              <w:left w:w="108" w:type="dxa"/>
              <w:bottom w:w="0" w:type="dxa"/>
              <w:right w:w="108" w:type="dxa"/>
            </w:tcMar>
            <w:vAlign w:val="bottom"/>
            <w:hideMark/>
          </w:tcPr>
          <w:p w14:paraId="133A1923" w14:textId="77777777" w:rsidR="00440CC1" w:rsidRPr="00551BF4" w:rsidRDefault="00440CC1" w:rsidP="00C50589">
            <w:pPr>
              <w:jc w:val="both"/>
            </w:pPr>
            <w:r w:rsidRPr="00551BF4">
              <w:t xml:space="preserve">Where there are less than [100] dwellings </w:t>
            </w:r>
            <w:r w:rsidRPr="00551BF4">
              <w:br/>
            </w:r>
            <w:r w:rsidRPr="00551BF4">
              <w:rPr>
                <w:b/>
                <w:bCs/>
              </w:rPr>
              <w:t>OR</w:t>
            </w:r>
            <w:r w:rsidRPr="00551BF4">
              <w:br/>
              <w:t xml:space="preserve">Where there are less than three </w:t>
            </w:r>
            <w:proofErr w:type="gramStart"/>
            <w:r w:rsidRPr="00551BF4">
              <w:t>permanent  (</w:t>
            </w:r>
            <w:proofErr w:type="gramEnd"/>
            <w:r w:rsidRPr="00551BF4">
              <w:t xml:space="preserve">distribution) substations on the total site </w:t>
            </w:r>
            <w:r w:rsidRPr="00551BF4">
              <w:rPr>
                <w:b/>
                <w:bCs/>
              </w:rPr>
              <w:t xml:space="preserve">(housing development sites only). </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E3197A" w14:textId="77777777" w:rsidR="00440CC1" w:rsidRPr="00551BF4" w:rsidRDefault="00440CC1" w:rsidP="00C50589">
            <w:pPr>
              <w:jc w:val="both"/>
            </w:pPr>
            <w:r w:rsidRPr="00551BF4">
              <w:t> </w:t>
            </w:r>
          </w:p>
        </w:tc>
        <w:tc>
          <w:tcPr>
            <w:tcW w:w="1827" w:type="dxa"/>
            <w:tcBorders>
              <w:top w:val="nil"/>
              <w:left w:val="nil"/>
              <w:bottom w:val="single" w:sz="8" w:space="0" w:color="auto"/>
              <w:right w:val="nil"/>
            </w:tcBorders>
            <w:tcMar>
              <w:top w:w="0" w:type="dxa"/>
              <w:left w:w="108" w:type="dxa"/>
              <w:bottom w:w="0" w:type="dxa"/>
              <w:right w:w="108" w:type="dxa"/>
            </w:tcMar>
            <w:vAlign w:val="bottom"/>
            <w:hideMark/>
          </w:tcPr>
          <w:p w14:paraId="41552BEC" w14:textId="77777777" w:rsidR="00440CC1" w:rsidRPr="00551BF4" w:rsidRDefault="00440CC1" w:rsidP="00C50589">
            <w:pPr>
              <w:jc w:val="both"/>
            </w:pPr>
            <w:r w:rsidRPr="00551BF4">
              <w:t xml:space="preserve">Where there are more than [5000] dwellings </w:t>
            </w:r>
            <w:r w:rsidRPr="00551BF4">
              <w:br/>
            </w:r>
            <w:r w:rsidRPr="00551BF4">
              <w:rPr>
                <w:b/>
                <w:bCs/>
              </w:rPr>
              <w:t>OR</w:t>
            </w:r>
            <w:r w:rsidRPr="00551BF4">
              <w:br/>
              <w:t xml:space="preserve">Where there are more than [10] permanent (distribution) substations on the total site </w:t>
            </w:r>
            <w:r w:rsidRPr="00551BF4">
              <w:rPr>
                <w:b/>
                <w:bCs/>
              </w:rPr>
              <w:t>(housing development sites only).</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82C4F6" w14:textId="77777777" w:rsidR="00440CC1" w:rsidRPr="00551BF4" w:rsidRDefault="00440CC1" w:rsidP="00C50589">
            <w:pPr>
              <w:jc w:val="both"/>
            </w:pPr>
            <w:r w:rsidRPr="00551BF4">
              <w:t> </w:t>
            </w:r>
          </w:p>
        </w:tc>
      </w:tr>
      <w:tr w:rsidR="00440CC1" w:rsidRPr="00551BF4" w14:paraId="6E445BA7" w14:textId="77777777" w:rsidTr="00C50589">
        <w:trPr>
          <w:trHeight w:val="1509"/>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4035910" w14:textId="77777777" w:rsidR="00440CC1" w:rsidRPr="00551BF4" w:rsidRDefault="00440CC1" w:rsidP="00C50589">
            <w:pPr>
              <w:jc w:val="both"/>
            </w:pPr>
            <w:r w:rsidRPr="00551BF4">
              <w:t xml:space="preserve">4. The capacity requested caters for future expansion rather than the immediate requirements of (an) end user(s) </w:t>
            </w:r>
            <w:r w:rsidRPr="00551BF4">
              <w:br/>
            </w:r>
            <w:r w:rsidRPr="00551BF4">
              <w:br/>
            </w:r>
            <w:r w:rsidRPr="00551BF4">
              <w:rPr>
                <w:b/>
                <w:bCs/>
              </w:rPr>
              <w:t>HIGH</w:t>
            </w:r>
          </w:p>
        </w:tc>
        <w:tc>
          <w:tcPr>
            <w:tcW w:w="1868" w:type="dxa"/>
            <w:tcBorders>
              <w:top w:val="nil"/>
              <w:left w:val="nil"/>
              <w:bottom w:val="single" w:sz="8" w:space="0" w:color="auto"/>
              <w:right w:val="nil"/>
            </w:tcBorders>
            <w:tcMar>
              <w:top w:w="0" w:type="dxa"/>
              <w:left w:w="108" w:type="dxa"/>
              <w:bottom w:w="0" w:type="dxa"/>
              <w:right w:w="108" w:type="dxa"/>
            </w:tcMar>
            <w:vAlign w:val="bottom"/>
            <w:hideMark/>
          </w:tcPr>
          <w:p w14:paraId="2F7C84B1" w14:textId="77777777" w:rsidR="00440CC1" w:rsidRPr="00551BF4" w:rsidRDefault="00440CC1" w:rsidP="00C50589">
            <w:pPr>
              <w:jc w:val="both"/>
            </w:pPr>
            <w:r w:rsidRPr="00551BF4">
              <w:t>A capacity ramp profile is provided which gives forward notice of ramped capacity (see paragraph</w:t>
            </w:r>
            <w:r>
              <w:t>s</w:t>
            </w:r>
            <w:r w:rsidRPr="00551BF4">
              <w:t xml:space="preserve"> </w:t>
            </w:r>
            <w:r>
              <w:t>4.44 to 4.49</w:t>
            </w:r>
            <w:r w:rsidRPr="00551BF4">
              <w:t>).</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FB57E3" w14:textId="77777777" w:rsidR="00440CC1" w:rsidRPr="00551BF4" w:rsidRDefault="00440CC1" w:rsidP="00C50589">
            <w:pPr>
              <w:jc w:val="both"/>
            </w:pPr>
            <w:r w:rsidRPr="00551BF4">
              <w:t> </w:t>
            </w:r>
          </w:p>
        </w:tc>
        <w:tc>
          <w:tcPr>
            <w:tcW w:w="1827" w:type="dxa"/>
            <w:tcBorders>
              <w:top w:val="nil"/>
              <w:left w:val="nil"/>
              <w:bottom w:val="single" w:sz="8" w:space="0" w:color="auto"/>
              <w:right w:val="nil"/>
            </w:tcBorders>
            <w:tcMar>
              <w:top w:w="0" w:type="dxa"/>
              <w:left w:w="108" w:type="dxa"/>
              <w:bottom w:w="0" w:type="dxa"/>
              <w:right w:w="108" w:type="dxa"/>
            </w:tcMar>
            <w:vAlign w:val="bottom"/>
            <w:hideMark/>
          </w:tcPr>
          <w:p w14:paraId="0367744A" w14:textId="77777777" w:rsidR="00440CC1" w:rsidRPr="00551BF4" w:rsidRDefault="00440CC1" w:rsidP="00C50589">
            <w:pPr>
              <w:jc w:val="both"/>
            </w:pPr>
            <w:r w:rsidRPr="00551BF4">
              <w:t xml:space="preserve">No capacity ramp profile </w:t>
            </w:r>
          </w:p>
          <w:p w14:paraId="32E4DFAC" w14:textId="77777777" w:rsidR="00440CC1" w:rsidRPr="00551BF4" w:rsidRDefault="00440CC1" w:rsidP="00C50589">
            <w:pPr>
              <w:jc w:val="both"/>
              <w:rPr>
                <w:b/>
                <w:bCs/>
              </w:rPr>
            </w:pPr>
            <w:r w:rsidRPr="00551BF4">
              <w:rPr>
                <w:b/>
                <w:bCs/>
              </w:rPr>
              <w:t>AND</w:t>
            </w:r>
          </w:p>
          <w:p w14:paraId="1165AA72" w14:textId="77777777" w:rsidR="00440CC1" w:rsidRPr="00551BF4" w:rsidRDefault="00440CC1" w:rsidP="00C50589">
            <w:pPr>
              <w:jc w:val="both"/>
            </w:pPr>
            <w:r w:rsidRPr="00551BF4">
              <w:t>capacity is for future expansion.</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488C8B" w14:textId="77777777" w:rsidR="00440CC1" w:rsidRPr="00551BF4" w:rsidRDefault="00440CC1" w:rsidP="00C50589">
            <w:pPr>
              <w:jc w:val="both"/>
            </w:pPr>
            <w:r w:rsidRPr="00551BF4">
              <w:t> </w:t>
            </w:r>
          </w:p>
        </w:tc>
      </w:tr>
      <w:tr w:rsidR="00440CC1" w:rsidRPr="00551BF4" w14:paraId="06B9A1CA" w14:textId="77777777" w:rsidTr="00C50589">
        <w:trPr>
          <w:trHeight w:val="1509"/>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F7D077C" w14:textId="77777777" w:rsidR="00440CC1" w:rsidRPr="00551BF4" w:rsidRDefault="00440CC1" w:rsidP="00C50589">
            <w:pPr>
              <w:jc w:val="both"/>
            </w:pPr>
            <w:r w:rsidRPr="00551BF4">
              <w:lastRenderedPageBreak/>
              <w:t xml:space="preserve">5. The capacity requested caters for future expansion rather than the immediate requirements of (an) end user(s) </w:t>
            </w:r>
            <w:r w:rsidRPr="00551BF4">
              <w:br/>
            </w:r>
            <w:r w:rsidRPr="00551BF4">
              <w:br/>
            </w:r>
            <w:r w:rsidRPr="00551BF4">
              <w:rPr>
                <w:b/>
                <w:bCs/>
              </w:rPr>
              <w:t>HIGH</w:t>
            </w:r>
          </w:p>
        </w:tc>
        <w:tc>
          <w:tcPr>
            <w:tcW w:w="1868" w:type="dxa"/>
            <w:tcBorders>
              <w:top w:val="nil"/>
              <w:left w:val="nil"/>
              <w:bottom w:val="single" w:sz="8" w:space="0" w:color="auto"/>
              <w:right w:val="nil"/>
            </w:tcBorders>
            <w:tcMar>
              <w:top w:w="0" w:type="dxa"/>
              <w:left w:w="108" w:type="dxa"/>
              <w:bottom w:w="0" w:type="dxa"/>
              <w:right w:w="108" w:type="dxa"/>
            </w:tcMar>
            <w:vAlign w:val="bottom"/>
            <w:hideMark/>
          </w:tcPr>
          <w:p w14:paraId="0A94F698" w14:textId="77777777" w:rsidR="00440CC1" w:rsidRPr="00551BF4" w:rsidRDefault="00440CC1" w:rsidP="00C50589">
            <w:pPr>
              <w:jc w:val="both"/>
            </w:pPr>
            <w:r w:rsidRPr="00551BF4">
              <w:t>A financial commitment to assets needed for future expansion rather than immediate requirements.</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C4D0D5" w14:textId="77777777" w:rsidR="00440CC1" w:rsidRPr="00551BF4" w:rsidRDefault="00440CC1" w:rsidP="00C50589">
            <w:pPr>
              <w:jc w:val="both"/>
            </w:pPr>
            <w:r w:rsidRPr="00551BF4">
              <w:t> </w:t>
            </w:r>
          </w:p>
        </w:tc>
        <w:tc>
          <w:tcPr>
            <w:tcW w:w="1827" w:type="dxa"/>
            <w:tcBorders>
              <w:top w:val="nil"/>
              <w:left w:val="nil"/>
              <w:bottom w:val="single" w:sz="8" w:space="0" w:color="auto"/>
              <w:right w:val="nil"/>
            </w:tcBorders>
            <w:shd w:val="clear" w:color="auto" w:fill="BFBFBF" w:themeFill="background1" w:themeFillShade="BF"/>
            <w:tcMar>
              <w:top w:w="0" w:type="dxa"/>
              <w:left w:w="108" w:type="dxa"/>
              <w:bottom w:w="0" w:type="dxa"/>
              <w:right w:w="108" w:type="dxa"/>
            </w:tcMar>
            <w:vAlign w:val="center"/>
            <w:hideMark/>
          </w:tcPr>
          <w:p w14:paraId="0C8C23EB" w14:textId="77777777" w:rsidR="00440CC1" w:rsidRPr="00551BF4" w:rsidRDefault="00440CC1" w:rsidP="00C50589">
            <w:pPr>
              <w:jc w:val="both"/>
            </w:pPr>
            <w:r w:rsidRPr="00551BF4">
              <w:t>Not Applicable</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4AAC1C" w14:textId="77777777" w:rsidR="00440CC1" w:rsidRPr="00551BF4" w:rsidRDefault="00440CC1" w:rsidP="00C50589">
            <w:pPr>
              <w:jc w:val="both"/>
            </w:pPr>
            <w:r w:rsidRPr="00551BF4">
              <w:t> </w:t>
            </w:r>
          </w:p>
        </w:tc>
      </w:tr>
      <w:tr w:rsidR="00440CC1" w:rsidRPr="00551BF4" w14:paraId="4FB1B794" w14:textId="77777777" w:rsidTr="00C50589">
        <w:trPr>
          <w:trHeight w:val="1509"/>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1A80805A" w14:textId="77777777" w:rsidR="00440CC1" w:rsidRPr="00551BF4" w:rsidRDefault="00440CC1" w:rsidP="00C50589">
            <w:pPr>
              <w:jc w:val="both"/>
            </w:pPr>
            <w:r w:rsidRPr="00551BF4">
              <w:t xml:space="preserve">6. The capacity requested caters for future speculative phases of a development rather than the initial phase(s) of the development </w:t>
            </w:r>
            <w:r w:rsidRPr="00551BF4">
              <w:br/>
            </w:r>
            <w:r w:rsidRPr="00551BF4">
              <w:br/>
            </w:r>
            <w:r w:rsidRPr="00551BF4">
              <w:rPr>
                <w:b/>
                <w:bCs/>
              </w:rPr>
              <w:t>HIGH</w:t>
            </w:r>
          </w:p>
        </w:tc>
        <w:tc>
          <w:tcPr>
            <w:tcW w:w="1868" w:type="dxa"/>
            <w:tcBorders>
              <w:top w:val="nil"/>
              <w:left w:val="nil"/>
              <w:bottom w:val="single" w:sz="8" w:space="0" w:color="auto"/>
              <w:right w:val="nil"/>
            </w:tcBorders>
            <w:tcMar>
              <w:top w:w="0" w:type="dxa"/>
              <w:left w:w="108" w:type="dxa"/>
              <w:bottom w:w="0" w:type="dxa"/>
              <w:right w:w="108" w:type="dxa"/>
            </w:tcMar>
            <w:vAlign w:val="bottom"/>
            <w:hideMark/>
          </w:tcPr>
          <w:p w14:paraId="4EC8B87D" w14:textId="77777777" w:rsidR="00440CC1" w:rsidRPr="00551BF4" w:rsidRDefault="00440CC1" w:rsidP="00C50589">
            <w:pPr>
              <w:jc w:val="both"/>
            </w:pPr>
            <w:r w:rsidRPr="00551BF4">
              <w:t>When more than [75%] of the total connections is delivered in the first phase</w:t>
            </w:r>
          </w:p>
          <w:p w14:paraId="055A6B4E" w14:textId="77777777" w:rsidR="00440CC1" w:rsidRPr="00551BF4" w:rsidRDefault="00440CC1" w:rsidP="00C50589">
            <w:pPr>
              <w:jc w:val="both"/>
              <w:rPr>
                <w:b/>
                <w:bCs/>
              </w:rPr>
            </w:pPr>
            <w:r w:rsidRPr="00551BF4">
              <w:rPr>
                <w:b/>
                <w:bCs/>
              </w:rPr>
              <w:t>OR</w:t>
            </w:r>
          </w:p>
          <w:p w14:paraId="78D34548" w14:textId="77777777" w:rsidR="00440CC1" w:rsidRPr="00551BF4" w:rsidRDefault="00440CC1" w:rsidP="00C50589">
            <w:pPr>
              <w:jc w:val="both"/>
            </w:pPr>
            <w:r w:rsidRPr="00551BF4">
              <w:t>More than [75%] of the total load is delivered in the first phase</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15D2F7" w14:textId="77777777" w:rsidR="00440CC1" w:rsidRPr="00551BF4" w:rsidRDefault="00440CC1" w:rsidP="00C50589">
            <w:pPr>
              <w:jc w:val="both"/>
            </w:pPr>
            <w:r w:rsidRPr="00551BF4">
              <w:t> </w:t>
            </w:r>
          </w:p>
        </w:tc>
        <w:tc>
          <w:tcPr>
            <w:tcW w:w="1827" w:type="dxa"/>
            <w:tcBorders>
              <w:top w:val="nil"/>
              <w:left w:val="nil"/>
              <w:bottom w:val="single" w:sz="8" w:space="0" w:color="auto"/>
              <w:right w:val="nil"/>
            </w:tcBorders>
            <w:tcMar>
              <w:top w:w="0" w:type="dxa"/>
              <w:left w:w="108" w:type="dxa"/>
              <w:bottom w:w="0" w:type="dxa"/>
              <w:right w:w="108" w:type="dxa"/>
            </w:tcMar>
            <w:vAlign w:val="bottom"/>
            <w:hideMark/>
          </w:tcPr>
          <w:p w14:paraId="4C4B38A7" w14:textId="77777777" w:rsidR="00440CC1" w:rsidRPr="00551BF4" w:rsidRDefault="00440CC1" w:rsidP="00C50589">
            <w:pPr>
              <w:jc w:val="both"/>
            </w:pPr>
            <w:r w:rsidRPr="00551BF4">
              <w:t>The infrastructure only is being provided, with no connections for end users requested.</w:t>
            </w:r>
            <w:r w:rsidRPr="00551BF4">
              <w:br/>
            </w:r>
            <w:r w:rsidRPr="00551BF4">
              <w:rPr>
                <w:b/>
                <w:bCs/>
              </w:rPr>
              <w:t>AND</w:t>
            </w:r>
            <w:r w:rsidRPr="00551BF4">
              <w:br/>
              <w:t>Not within Local Authority development plans</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C94039" w14:textId="77777777" w:rsidR="00440CC1" w:rsidRPr="00551BF4" w:rsidRDefault="00440CC1" w:rsidP="00C50589">
            <w:pPr>
              <w:jc w:val="both"/>
            </w:pPr>
            <w:r w:rsidRPr="00551BF4">
              <w:t> </w:t>
            </w:r>
          </w:p>
        </w:tc>
      </w:tr>
      <w:tr w:rsidR="00440CC1" w:rsidRPr="00551BF4" w14:paraId="2BDD2DF3" w14:textId="77777777" w:rsidTr="00C50589">
        <w:trPr>
          <w:trHeight w:val="1259"/>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FDC7FC1" w14:textId="77777777" w:rsidR="00440CC1" w:rsidRPr="00551BF4" w:rsidRDefault="00440CC1" w:rsidP="00C50589">
            <w:pPr>
              <w:jc w:val="both"/>
            </w:pPr>
            <w:r w:rsidRPr="00551BF4">
              <w:t>7. Planning Permission granted for all phases of the project</w:t>
            </w:r>
          </w:p>
        </w:tc>
        <w:tc>
          <w:tcPr>
            <w:tcW w:w="1868" w:type="dxa"/>
            <w:tcBorders>
              <w:top w:val="nil"/>
              <w:left w:val="nil"/>
              <w:bottom w:val="single" w:sz="8" w:space="0" w:color="auto"/>
              <w:right w:val="nil"/>
            </w:tcBorders>
            <w:tcMar>
              <w:top w:w="0" w:type="dxa"/>
              <w:left w:w="108" w:type="dxa"/>
              <w:bottom w:w="0" w:type="dxa"/>
              <w:right w:w="108" w:type="dxa"/>
            </w:tcMar>
            <w:vAlign w:val="bottom"/>
            <w:hideMark/>
          </w:tcPr>
          <w:p w14:paraId="791E0AE4" w14:textId="77777777" w:rsidR="00440CC1" w:rsidRPr="00551BF4" w:rsidRDefault="00440CC1" w:rsidP="00C50589">
            <w:pPr>
              <w:jc w:val="both"/>
            </w:pPr>
            <w:r w:rsidRPr="00551BF4">
              <w:t xml:space="preserve">Project has achieved Outline Planning Permission - </w:t>
            </w:r>
            <w:r w:rsidRPr="00551BF4">
              <w:rPr>
                <w:b/>
                <w:bCs/>
              </w:rPr>
              <w:t>LOW</w:t>
            </w:r>
            <w:r w:rsidRPr="00551BF4">
              <w:br/>
            </w:r>
            <w:r w:rsidRPr="00551BF4">
              <w:rPr>
                <w:b/>
                <w:bCs/>
              </w:rPr>
              <w:t>OR</w:t>
            </w:r>
            <w:r w:rsidRPr="00551BF4">
              <w:br/>
              <w:t xml:space="preserve">Project has achieved Detailed Planning Permission - </w:t>
            </w:r>
            <w:r w:rsidRPr="00551BF4">
              <w:rPr>
                <w:b/>
                <w:bCs/>
              </w:rPr>
              <w:t>HIGH</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94CFBB" w14:textId="77777777" w:rsidR="00440CC1" w:rsidRPr="00551BF4" w:rsidRDefault="00440CC1" w:rsidP="00C50589">
            <w:pPr>
              <w:jc w:val="both"/>
            </w:pPr>
            <w:r w:rsidRPr="00551BF4">
              <w:t> </w:t>
            </w:r>
          </w:p>
        </w:tc>
        <w:tc>
          <w:tcPr>
            <w:tcW w:w="1827" w:type="dxa"/>
            <w:tcBorders>
              <w:top w:val="nil"/>
              <w:left w:val="nil"/>
              <w:bottom w:val="single" w:sz="8" w:space="0" w:color="auto"/>
              <w:right w:val="nil"/>
            </w:tcBorders>
            <w:shd w:val="clear" w:color="auto" w:fill="BFBFBF" w:themeFill="background1" w:themeFillShade="BF"/>
            <w:tcMar>
              <w:top w:w="0" w:type="dxa"/>
              <w:left w:w="108" w:type="dxa"/>
              <w:bottom w:w="0" w:type="dxa"/>
              <w:right w:w="108" w:type="dxa"/>
            </w:tcMar>
            <w:vAlign w:val="center"/>
            <w:hideMark/>
          </w:tcPr>
          <w:p w14:paraId="37F1F900" w14:textId="77777777" w:rsidR="00440CC1" w:rsidRPr="00551BF4" w:rsidRDefault="00440CC1" w:rsidP="00C50589">
            <w:pPr>
              <w:jc w:val="both"/>
            </w:pPr>
            <w:r w:rsidRPr="00551BF4">
              <w:t>Not Applicable</w:t>
            </w:r>
          </w:p>
        </w:tc>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EA3417" w14:textId="77777777" w:rsidR="00440CC1" w:rsidRPr="00551BF4" w:rsidRDefault="00440CC1" w:rsidP="00C50589">
            <w:pPr>
              <w:jc w:val="both"/>
            </w:pPr>
            <w:r w:rsidRPr="00551BF4">
              <w:t> </w:t>
            </w:r>
          </w:p>
        </w:tc>
      </w:tr>
      <w:tr w:rsidR="00440CC1" w:rsidRPr="00551BF4" w14:paraId="2120D87F" w14:textId="77777777" w:rsidTr="00C50589">
        <w:trPr>
          <w:trHeight w:val="250"/>
        </w:trPr>
        <w:tc>
          <w:tcPr>
            <w:tcW w:w="2258" w:type="dxa"/>
            <w:tcMar>
              <w:top w:w="0" w:type="dxa"/>
              <w:left w:w="108" w:type="dxa"/>
              <w:bottom w:w="0" w:type="dxa"/>
              <w:right w:w="108" w:type="dxa"/>
            </w:tcMar>
            <w:vAlign w:val="bottom"/>
            <w:hideMark/>
          </w:tcPr>
          <w:p w14:paraId="5F3883B7" w14:textId="77777777" w:rsidR="00440CC1" w:rsidRPr="00551BF4" w:rsidRDefault="00440CC1" w:rsidP="00C50589">
            <w:pPr>
              <w:jc w:val="both"/>
            </w:pPr>
          </w:p>
        </w:tc>
        <w:tc>
          <w:tcPr>
            <w:tcW w:w="1868" w:type="dxa"/>
            <w:tcMar>
              <w:top w:w="0" w:type="dxa"/>
              <w:left w:w="108" w:type="dxa"/>
              <w:bottom w:w="0" w:type="dxa"/>
              <w:right w:w="108" w:type="dxa"/>
            </w:tcMar>
            <w:vAlign w:val="bottom"/>
            <w:hideMark/>
          </w:tcPr>
          <w:p w14:paraId="1621E56A" w14:textId="77777777" w:rsidR="00440CC1" w:rsidRPr="00551BF4" w:rsidRDefault="00440CC1" w:rsidP="00C50589">
            <w:pPr>
              <w:jc w:val="both"/>
            </w:pPr>
          </w:p>
        </w:tc>
        <w:tc>
          <w:tcPr>
            <w:tcW w:w="570" w:type="dxa"/>
            <w:tcMar>
              <w:top w:w="0" w:type="dxa"/>
              <w:left w:w="108" w:type="dxa"/>
              <w:bottom w:w="0" w:type="dxa"/>
              <w:right w:w="108" w:type="dxa"/>
            </w:tcMar>
            <w:vAlign w:val="center"/>
            <w:hideMark/>
          </w:tcPr>
          <w:p w14:paraId="2D6AD67F" w14:textId="77777777" w:rsidR="00440CC1" w:rsidRPr="00551BF4" w:rsidRDefault="00440CC1" w:rsidP="00C50589">
            <w:pPr>
              <w:jc w:val="both"/>
            </w:pPr>
          </w:p>
        </w:tc>
        <w:tc>
          <w:tcPr>
            <w:tcW w:w="1827" w:type="dxa"/>
            <w:tcMar>
              <w:top w:w="0" w:type="dxa"/>
              <w:left w:w="108" w:type="dxa"/>
              <w:bottom w:w="0" w:type="dxa"/>
              <w:right w:w="108" w:type="dxa"/>
            </w:tcMar>
            <w:vAlign w:val="bottom"/>
            <w:hideMark/>
          </w:tcPr>
          <w:p w14:paraId="76B38872" w14:textId="77777777" w:rsidR="00440CC1" w:rsidRPr="00551BF4" w:rsidRDefault="00440CC1" w:rsidP="00C50589">
            <w:pPr>
              <w:jc w:val="both"/>
            </w:pPr>
          </w:p>
        </w:tc>
        <w:tc>
          <w:tcPr>
            <w:tcW w:w="570" w:type="dxa"/>
            <w:tcMar>
              <w:top w:w="0" w:type="dxa"/>
              <w:left w:w="108" w:type="dxa"/>
              <w:bottom w:w="0" w:type="dxa"/>
              <w:right w:w="108" w:type="dxa"/>
            </w:tcMar>
            <w:vAlign w:val="center"/>
            <w:hideMark/>
          </w:tcPr>
          <w:p w14:paraId="60867419" w14:textId="77777777" w:rsidR="00440CC1" w:rsidRPr="00551BF4" w:rsidRDefault="00440CC1" w:rsidP="00C50589">
            <w:pPr>
              <w:jc w:val="both"/>
            </w:pPr>
          </w:p>
        </w:tc>
      </w:tr>
      <w:tr w:rsidR="00440CC1" w:rsidRPr="00551BF4" w14:paraId="25F57422" w14:textId="77777777" w:rsidTr="00C50589">
        <w:trPr>
          <w:trHeight w:val="250"/>
        </w:trPr>
        <w:tc>
          <w:tcPr>
            <w:tcW w:w="2258" w:type="dxa"/>
            <w:tcMar>
              <w:top w:w="0" w:type="dxa"/>
              <w:left w:w="108" w:type="dxa"/>
              <w:bottom w:w="0" w:type="dxa"/>
              <w:right w:w="108" w:type="dxa"/>
            </w:tcMar>
            <w:vAlign w:val="bottom"/>
            <w:hideMark/>
          </w:tcPr>
          <w:p w14:paraId="041E4BD1" w14:textId="77777777" w:rsidR="00440CC1" w:rsidRPr="00551BF4" w:rsidRDefault="00440CC1" w:rsidP="00C50589">
            <w:pPr>
              <w:jc w:val="both"/>
            </w:pPr>
          </w:p>
        </w:tc>
        <w:tc>
          <w:tcPr>
            <w:tcW w:w="1868" w:type="dxa"/>
            <w:noWrap/>
            <w:tcMar>
              <w:top w:w="0" w:type="dxa"/>
              <w:left w:w="108" w:type="dxa"/>
              <w:bottom w:w="0" w:type="dxa"/>
              <w:right w:w="108" w:type="dxa"/>
            </w:tcMar>
            <w:vAlign w:val="bottom"/>
            <w:hideMark/>
          </w:tcPr>
          <w:p w14:paraId="194F55F0" w14:textId="77777777" w:rsidR="00440CC1" w:rsidRPr="00551BF4" w:rsidRDefault="00440CC1" w:rsidP="00C50589">
            <w:pPr>
              <w:jc w:val="both"/>
            </w:pPr>
          </w:p>
        </w:tc>
        <w:tc>
          <w:tcPr>
            <w:tcW w:w="570" w:type="dxa"/>
            <w:noWrap/>
            <w:tcMar>
              <w:top w:w="0" w:type="dxa"/>
              <w:left w:w="108" w:type="dxa"/>
              <w:bottom w:w="0" w:type="dxa"/>
              <w:right w:w="108" w:type="dxa"/>
            </w:tcMar>
            <w:vAlign w:val="center"/>
            <w:hideMark/>
          </w:tcPr>
          <w:p w14:paraId="13A096D5" w14:textId="77777777" w:rsidR="00440CC1" w:rsidRPr="00551BF4" w:rsidRDefault="00440CC1" w:rsidP="00C50589">
            <w:pPr>
              <w:jc w:val="both"/>
            </w:pPr>
          </w:p>
        </w:tc>
        <w:tc>
          <w:tcPr>
            <w:tcW w:w="1827" w:type="dxa"/>
            <w:noWrap/>
            <w:tcMar>
              <w:top w:w="0" w:type="dxa"/>
              <w:left w:w="108" w:type="dxa"/>
              <w:bottom w:w="0" w:type="dxa"/>
              <w:right w:w="108" w:type="dxa"/>
            </w:tcMar>
            <w:vAlign w:val="bottom"/>
            <w:hideMark/>
          </w:tcPr>
          <w:p w14:paraId="12C7172A" w14:textId="77777777" w:rsidR="00440CC1" w:rsidRPr="00551BF4" w:rsidRDefault="00440CC1" w:rsidP="00C50589">
            <w:pPr>
              <w:jc w:val="both"/>
            </w:pPr>
          </w:p>
        </w:tc>
        <w:tc>
          <w:tcPr>
            <w:tcW w:w="570" w:type="dxa"/>
            <w:noWrap/>
            <w:tcMar>
              <w:top w:w="0" w:type="dxa"/>
              <w:left w:w="108" w:type="dxa"/>
              <w:bottom w:w="0" w:type="dxa"/>
              <w:right w:w="108" w:type="dxa"/>
            </w:tcMar>
            <w:vAlign w:val="center"/>
            <w:hideMark/>
          </w:tcPr>
          <w:p w14:paraId="7AD0590E" w14:textId="77777777" w:rsidR="00440CC1" w:rsidRPr="00551BF4" w:rsidRDefault="00440CC1" w:rsidP="00C50589">
            <w:pPr>
              <w:jc w:val="both"/>
            </w:pPr>
          </w:p>
        </w:tc>
      </w:tr>
      <w:tr w:rsidR="00440CC1" w:rsidRPr="00551BF4" w14:paraId="0CB11E75" w14:textId="77777777" w:rsidTr="00C50589">
        <w:trPr>
          <w:trHeight w:val="267"/>
        </w:trPr>
        <w:tc>
          <w:tcPr>
            <w:tcW w:w="2258" w:type="dxa"/>
            <w:tcMar>
              <w:top w:w="0" w:type="dxa"/>
              <w:left w:w="108" w:type="dxa"/>
              <w:bottom w:w="0" w:type="dxa"/>
              <w:right w:w="108" w:type="dxa"/>
            </w:tcMar>
            <w:vAlign w:val="bottom"/>
            <w:hideMark/>
          </w:tcPr>
          <w:tbl>
            <w:tblPr>
              <w:tblW w:w="1610" w:type="dxa"/>
              <w:tblCellMar>
                <w:left w:w="0" w:type="dxa"/>
                <w:right w:w="0" w:type="dxa"/>
              </w:tblCellMar>
              <w:tblLook w:val="04A0" w:firstRow="1" w:lastRow="0" w:firstColumn="1" w:lastColumn="0" w:noHBand="0" w:noVBand="1"/>
            </w:tblPr>
            <w:tblGrid>
              <w:gridCol w:w="719"/>
              <w:gridCol w:w="891"/>
            </w:tblGrid>
            <w:tr w:rsidR="00440CC1" w:rsidRPr="00551BF4" w14:paraId="20A70CC1" w14:textId="77777777" w:rsidTr="00C50589">
              <w:trPr>
                <w:trHeight w:val="275"/>
              </w:trPr>
              <w:tc>
                <w:tcPr>
                  <w:tcW w:w="719" w:type="dxa"/>
                  <w:tcBorders>
                    <w:top w:val="single" w:sz="8" w:space="0" w:color="auto"/>
                    <w:left w:val="single" w:sz="8" w:space="0" w:color="auto"/>
                    <w:bottom w:val="single" w:sz="8" w:space="0" w:color="auto"/>
                    <w:right w:val="single" w:sz="8" w:space="0" w:color="auto"/>
                  </w:tcBorders>
                  <w:shd w:val="clear" w:color="auto" w:fill="FF0000"/>
                  <w:noWrap/>
                  <w:tcMar>
                    <w:top w:w="0" w:type="dxa"/>
                    <w:left w:w="108" w:type="dxa"/>
                    <w:bottom w:w="0" w:type="dxa"/>
                    <w:right w:w="108" w:type="dxa"/>
                  </w:tcMar>
                  <w:vAlign w:val="bottom"/>
                  <w:hideMark/>
                </w:tcPr>
                <w:p w14:paraId="5475148B" w14:textId="77777777" w:rsidR="00440CC1" w:rsidRPr="00551BF4" w:rsidRDefault="00440CC1" w:rsidP="00C50589">
                  <w:pPr>
                    <w:jc w:val="both"/>
                    <w:rPr>
                      <w:b/>
                      <w:bCs/>
                    </w:rPr>
                  </w:pPr>
                  <w:r w:rsidRPr="00551BF4">
                    <w:rPr>
                      <w:b/>
                      <w:bCs/>
                    </w:rPr>
                    <w:t>High</w:t>
                  </w:r>
                </w:p>
              </w:tc>
              <w:tc>
                <w:tcPr>
                  <w:tcW w:w="891"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14:paraId="2AA1EA52" w14:textId="77777777" w:rsidR="00440CC1" w:rsidRPr="00551BF4" w:rsidRDefault="00440CC1" w:rsidP="00C50589">
                  <w:pPr>
                    <w:jc w:val="both"/>
                    <w:rPr>
                      <w:b/>
                      <w:bCs/>
                    </w:rPr>
                  </w:pPr>
                  <w:r w:rsidRPr="00551BF4">
                    <w:rPr>
                      <w:b/>
                      <w:bCs/>
                    </w:rPr>
                    <w:t>2 Points</w:t>
                  </w:r>
                </w:p>
              </w:tc>
            </w:tr>
            <w:tr w:rsidR="00440CC1" w:rsidRPr="00551BF4" w14:paraId="5791BC6D" w14:textId="77777777" w:rsidTr="00C50589">
              <w:trPr>
                <w:trHeight w:val="275"/>
              </w:trPr>
              <w:tc>
                <w:tcPr>
                  <w:tcW w:w="719" w:type="dxa"/>
                  <w:tcBorders>
                    <w:top w:val="nil"/>
                    <w:left w:val="single" w:sz="8" w:space="0" w:color="auto"/>
                    <w:bottom w:val="single" w:sz="8" w:space="0" w:color="auto"/>
                    <w:right w:val="nil"/>
                  </w:tcBorders>
                  <w:shd w:val="clear" w:color="auto" w:fill="00B0F0"/>
                  <w:noWrap/>
                  <w:tcMar>
                    <w:top w:w="0" w:type="dxa"/>
                    <w:left w:w="108" w:type="dxa"/>
                    <w:bottom w:w="0" w:type="dxa"/>
                    <w:right w:w="108" w:type="dxa"/>
                  </w:tcMar>
                  <w:vAlign w:val="bottom"/>
                  <w:hideMark/>
                </w:tcPr>
                <w:p w14:paraId="43A10E19" w14:textId="77777777" w:rsidR="00440CC1" w:rsidRPr="00551BF4" w:rsidRDefault="00440CC1" w:rsidP="00C50589">
                  <w:pPr>
                    <w:jc w:val="both"/>
                    <w:rPr>
                      <w:b/>
                      <w:bCs/>
                    </w:rPr>
                  </w:pPr>
                  <w:r w:rsidRPr="00551BF4">
                    <w:rPr>
                      <w:b/>
                      <w:bCs/>
                    </w:rPr>
                    <w:t>Low</w:t>
                  </w:r>
                </w:p>
              </w:tc>
              <w:tc>
                <w:tcPr>
                  <w:tcW w:w="8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4A6A196" w14:textId="77777777" w:rsidR="00440CC1" w:rsidRPr="00551BF4" w:rsidRDefault="00440CC1" w:rsidP="00C50589">
                  <w:pPr>
                    <w:jc w:val="both"/>
                    <w:rPr>
                      <w:b/>
                      <w:bCs/>
                    </w:rPr>
                  </w:pPr>
                  <w:r w:rsidRPr="00551BF4">
                    <w:rPr>
                      <w:b/>
                      <w:bCs/>
                    </w:rPr>
                    <w:t>1 Point</w:t>
                  </w:r>
                </w:p>
              </w:tc>
            </w:tr>
          </w:tbl>
          <w:p w14:paraId="0CF67FA3" w14:textId="77777777" w:rsidR="00440CC1" w:rsidRPr="00551BF4" w:rsidRDefault="00440CC1" w:rsidP="00C50589">
            <w:pPr>
              <w:jc w:val="both"/>
            </w:pPr>
          </w:p>
        </w:tc>
        <w:tc>
          <w:tcPr>
            <w:tcW w:w="1868" w:type="dxa"/>
            <w:tcBorders>
              <w:top w:val="single" w:sz="8" w:space="0" w:color="auto"/>
              <w:left w:val="single" w:sz="8" w:space="0" w:color="auto"/>
              <w:bottom w:val="nil"/>
              <w:right w:val="single" w:sz="8" w:space="0" w:color="auto"/>
            </w:tcBorders>
            <w:shd w:val="clear" w:color="auto" w:fill="00B050"/>
            <w:tcMar>
              <w:top w:w="0" w:type="dxa"/>
              <w:left w:w="108" w:type="dxa"/>
              <w:bottom w:w="0" w:type="dxa"/>
              <w:right w:w="108" w:type="dxa"/>
            </w:tcMar>
            <w:vAlign w:val="bottom"/>
            <w:hideMark/>
          </w:tcPr>
          <w:p w14:paraId="678B421D" w14:textId="77777777" w:rsidR="00440CC1" w:rsidRPr="00551BF4" w:rsidRDefault="00440CC1" w:rsidP="00C50589">
            <w:pPr>
              <w:jc w:val="both"/>
              <w:rPr>
                <w:b/>
                <w:bCs/>
              </w:rPr>
            </w:pPr>
            <w:r w:rsidRPr="00551BF4">
              <w:rPr>
                <w:b/>
                <w:bCs/>
              </w:rPr>
              <w:t>NON-SPECULATIVE TOTAL POINTS:</w:t>
            </w:r>
          </w:p>
        </w:tc>
        <w:tc>
          <w:tcPr>
            <w:tcW w:w="570" w:type="dxa"/>
            <w:tcBorders>
              <w:top w:val="single" w:sz="8" w:space="0" w:color="auto"/>
              <w:left w:val="nil"/>
              <w:bottom w:val="single" w:sz="8" w:space="0" w:color="auto"/>
              <w:right w:val="single" w:sz="8" w:space="0" w:color="auto"/>
            </w:tcBorders>
            <w:shd w:val="clear" w:color="auto" w:fill="00B050"/>
            <w:tcMar>
              <w:top w:w="0" w:type="dxa"/>
              <w:left w:w="108" w:type="dxa"/>
              <w:bottom w:w="0" w:type="dxa"/>
              <w:right w:w="108" w:type="dxa"/>
            </w:tcMar>
            <w:vAlign w:val="center"/>
            <w:hideMark/>
          </w:tcPr>
          <w:p w14:paraId="647451B0" w14:textId="77777777" w:rsidR="00440CC1" w:rsidRPr="00551BF4" w:rsidRDefault="00440CC1" w:rsidP="00C50589">
            <w:pPr>
              <w:jc w:val="both"/>
              <w:rPr>
                <w:b/>
                <w:bCs/>
              </w:rPr>
            </w:pPr>
            <w:r w:rsidRPr="00551BF4">
              <w:rPr>
                <w:b/>
                <w:bCs/>
              </w:rPr>
              <w:t>0</w:t>
            </w:r>
          </w:p>
        </w:tc>
        <w:tc>
          <w:tcPr>
            <w:tcW w:w="1827" w:type="dxa"/>
            <w:tcBorders>
              <w:top w:val="single" w:sz="8" w:space="0" w:color="auto"/>
              <w:left w:val="nil"/>
              <w:bottom w:val="nil"/>
              <w:right w:val="single" w:sz="8" w:space="0" w:color="auto"/>
            </w:tcBorders>
            <w:shd w:val="clear" w:color="auto" w:fill="FF0000"/>
            <w:tcMar>
              <w:top w:w="0" w:type="dxa"/>
              <w:left w:w="108" w:type="dxa"/>
              <w:bottom w:w="0" w:type="dxa"/>
              <w:right w:w="108" w:type="dxa"/>
            </w:tcMar>
            <w:vAlign w:val="bottom"/>
            <w:hideMark/>
          </w:tcPr>
          <w:p w14:paraId="5D6EB024" w14:textId="77777777" w:rsidR="00440CC1" w:rsidRPr="00551BF4" w:rsidRDefault="00440CC1" w:rsidP="00C50589">
            <w:pPr>
              <w:jc w:val="both"/>
              <w:rPr>
                <w:b/>
                <w:bCs/>
              </w:rPr>
            </w:pPr>
            <w:r w:rsidRPr="00551BF4">
              <w:rPr>
                <w:b/>
                <w:bCs/>
              </w:rPr>
              <w:t>SPECULATIVE TOTAL POINTS:</w:t>
            </w:r>
          </w:p>
        </w:tc>
        <w:tc>
          <w:tcPr>
            <w:tcW w:w="570" w:type="dxa"/>
            <w:tcBorders>
              <w:top w:val="single" w:sz="8" w:space="0" w:color="auto"/>
              <w:left w:val="nil"/>
              <w:bottom w:val="single" w:sz="8" w:space="0" w:color="auto"/>
              <w:right w:val="single" w:sz="8" w:space="0" w:color="auto"/>
            </w:tcBorders>
            <w:shd w:val="clear" w:color="auto" w:fill="FF0000"/>
            <w:tcMar>
              <w:top w:w="0" w:type="dxa"/>
              <w:left w:w="108" w:type="dxa"/>
              <w:bottom w:w="0" w:type="dxa"/>
              <w:right w:w="108" w:type="dxa"/>
            </w:tcMar>
            <w:vAlign w:val="center"/>
            <w:hideMark/>
          </w:tcPr>
          <w:p w14:paraId="7A6841CC" w14:textId="77777777" w:rsidR="00440CC1" w:rsidRPr="00551BF4" w:rsidRDefault="00440CC1" w:rsidP="00C50589">
            <w:pPr>
              <w:jc w:val="both"/>
              <w:rPr>
                <w:b/>
                <w:bCs/>
              </w:rPr>
            </w:pPr>
            <w:r w:rsidRPr="00551BF4">
              <w:rPr>
                <w:b/>
                <w:bCs/>
              </w:rPr>
              <w:t>0</w:t>
            </w:r>
          </w:p>
        </w:tc>
      </w:tr>
      <w:tr w:rsidR="00440CC1" w:rsidRPr="00551BF4" w14:paraId="5622468D" w14:textId="77777777" w:rsidTr="00C50589">
        <w:trPr>
          <w:trHeight w:val="258"/>
        </w:trPr>
        <w:tc>
          <w:tcPr>
            <w:tcW w:w="2258" w:type="dxa"/>
            <w:tcMar>
              <w:top w:w="0" w:type="dxa"/>
              <w:left w:w="108" w:type="dxa"/>
              <w:bottom w:w="0" w:type="dxa"/>
              <w:right w:w="108" w:type="dxa"/>
            </w:tcMar>
            <w:vAlign w:val="bottom"/>
            <w:hideMark/>
          </w:tcPr>
          <w:p w14:paraId="01EA1EFD" w14:textId="77777777" w:rsidR="00440CC1" w:rsidRPr="00551BF4" w:rsidRDefault="00440CC1" w:rsidP="00C50589">
            <w:pPr>
              <w:jc w:val="both"/>
            </w:pPr>
          </w:p>
        </w:tc>
        <w:tc>
          <w:tcPr>
            <w:tcW w:w="1868" w:type="dxa"/>
            <w:tcBorders>
              <w:top w:val="single" w:sz="8" w:space="0" w:color="auto"/>
              <w:left w:val="single" w:sz="8" w:space="0" w:color="auto"/>
              <w:bottom w:val="nil"/>
              <w:right w:val="single" w:sz="8" w:space="0" w:color="auto"/>
            </w:tcBorders>
            <w:tcMar>
              <w:top w:w="0" w:type="dxa"/>
              <w:left w:w="108" w:type="dxa"/>
              <w:bottom w:w="0" w:type="dxa"/>
              <w:right w:w="108" w:type="dxa"/>
            </w:tcMar>
            <w:vAlign w:val="bottom"/>
            <w:hideMark/>
          </w:tcPr>
          <w:p w14:paraId="0DB37108" w14:textId="77777777" w:rsidR="00440CC1" w:rsidRPr="00551BF4" w:rsidRDefault="00440CC1" w:rsidP="00C50589">
            <w:pPr>
              <w:jc w:val="both"/>
            </w:pPr>
            <w:r w:rsidRPr="00551BF4">
              <w:t> </w:t>
            </w:r>
          </w:p>
        </w:tc>
        <w:tc>
          <w:tcPr>
            <w:tcW w:w="570" w:type="dxa"/>
            <w:tcMar>
              <w:top w:w="0" w:type="dxa"/>
              <w:left w:w="108" w:type="dxa"/>
              <w:bottom w:w="0" w:type="dxa"/>
              <w:right w:w="108" w:type="dxa"/>
            </w:tcMar>
            <w:vAlign w:val="center"/>
            <w:hideMark/>
          </w:tcPr>
          <w:p w14:paraId="3803FE53" w14:textId="77777777" w:rsidR="00440CC1" w:rsidRPr="00551BF4" w:rsidRDefault="00440CC1" w:rsidP="00C50589">
            <w:pPr>
              <w:jc w:val="both"/>
            </w:pPr>
          </w:p>
        </w:tc>
        <w:tc>
          <w:tcPr>
            <w:tcW w:w="18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C408C66" w14:textId="77777777" w:rsidR="00440CC1" w:rsidRPr="00551BF4" w:rsidRDefault="00440CC1" w:rsidP="00C50589">
            <w:pPr>
              <w:jc w:val="both"/>
            </w:pPr>
            <w:r w:rsidRPr="00551BF4">
              <w:t> </w:t>
            </w:r>
          </w:p>
        </w:tc>
        <w:tc>
          <w:tcPr>
            <w:tcW w:w="570" w:type="dxa"/>
            <w:tcMar>
              <w:top w:w="0" w:type="dxa"/>
              <w:left w:w="108" w:type="dxa"/>
              <w:bottom w:w="0" w:type="dxa"/>
              <w:right w:w="108" w:type="dxa"/>
            </w:tcMar>
            <w:vAlign w:val="center"/>
            <w:hideMark/>
          </w:tcPr>
          <w:p w14:paraId="2356DB28" w14:textId="77777777" w:rsidR="00440CC1" w:rsidRPr="00551BF4" w:rsidRDefault="00440CC1" w:rsidP="00C50589">
            <w:pPr>
              <w:jc w:val="both"/>
            </w:pPr>
          </w:p>
        </w:tc>
      </w:tr>
      <w:tr w:rsidR="00440CC1" w:rsidRPr="00551BF4" w14:paraId="5F52DD26" w14:textId="77777777" w:rsidTr="00C50589">
        <w:trPr>
          <w:trHeight w:val="267"/>
        </w:trPr>
        <w:tc>
          <w:tcPr>
            <w:tcW w:w="2258" w:type="dxa"/>
            <w:tcMar>
              <w:top w:w="0" w:type="dxa"/>
              <w:left w:w="108" w:type="dxa"/>
              <w:bottom w:w="0" w:type="dxa"/>
              <w:right w:w="108" w:type="dxa"/>
            </w:tcMar>
            <w:vAlign w:val="bottom"/>
            <w:hideMark/>
          </w:tcPr>
          <w:p w14:paraId="7BF971D3" w14:textId="77777777" w:rsidR="00440CC1" w:rsidRPr="00551BF4" w:rsidRDefault="00440CC1" w:rsidP="00C50589">
            <w:pPr>
              <w:jc w:val="both"/>
            </w:pPr>
          </w:p>
        </w:tc>
        <w:tc>
          <w:tcPr>
            <w:tcW w:w="1868" w:type="dxa"/>
            <w:tcBorders>
              <w:top w:val="single" w:sz="8" w:space="0" w:color="auto"/>
              <w:left w:val="single" w:sz="8" w:space="0" w:color="auto"/>
              <w:bottom w:val="nil"/>
              <w:right w:val="single" w:sz="8" w:space="0" w:color="auto"/>
            </w:tcBorders>
            <w:shd w:val="clear" w:color="auto" w:fill="00B0F0"/>
            <w:tcMar>
              <w:top w:w="0" w:type="dxa"/>
              <w:left w:w="108" w:type="dxa"/>
              <w:bottom w:w="0" w:type="dxa"/>
              <w:right w:w="108" w:type="dxa"/>
            </w:tcMar>
            <w:vAlign w:val="bottom"/>
            <w:hideMark/>
          </w:tcPr>
          <w:p w14:paraId="2B90AD5B" w14:textId="77777777" w:rsidR="00440CC1" w:rsidRPr="00551BF4" w:rsidRDefault="00440CC1" w:rsidP="00C50589">
            <w:pPr>
              <w:jc w:val="both"/>
              <w:rPr>
                <w:b/>
                <w:bCs/>
              </w:rPr>
            </w:pPr>
            <w:proofErr w:type="gramStart"/>
            <w:r w:rsidRPr="00551BF4">
              <w:rPr>
                <w:b/>
                <w:bCs/>
              </w:rPr>
              <w:t>Final Outcome</w:t>
            </w:r>
            <w:proofErr w:type="gramEnd"/>
            <w:r w:rsidRPr="00551BF4">
              <w:rPr>
                <w:b/>
                <w:bCs/>
              </w:rPr>
              <w:t>:</w:t>
            </w:r>
          </w:p>
        </w:tc>
        <w:tc>
          <w:tcPr>
            <w:tcW w:w="570" w:type="dxa"/>
            <w:tcMar>
              <w:top w:w="0" w:type="dxa"/>
              <w:left w:w="108" w:type="dxa"/>
              <w:bottom w:w="0" w:type="dxa"/>
              <w:right w:w="108" w:type="dxa"/>
            </w:tcMar>
            <w:vAlign w:val="center"/>
            <w:hideMark/>
          </w:tcPr>
          <w:p w14:paraId="68573FB7" w14:textId="77777777" w:rsidR="00440CC1" w:rsidRPr="00551BF4" w:rsidRDefault="00440CC1" w:rsidP="00C50589">
            <w:pPr>
              <w:jc w:val="both"/>
              <w:rPr>
                <w:b/>
                <w:bCs/>
              </w:rPr>
            </w:pPr>
          </w:p>
        </w:tc>
        <w:tc>
          <w:tcPr>
            <w:tcW w:w="1827" w:type="dxa"/>
            <w:tcMar>
              <w:top w:w="0" w:type="dxa"/>
              <w:left w:w="108" w:type="dxa"/>
              <w:bottom w:w="0" w:type="dxa"/>
              <w:right w:w="108" w:type="dxa"/>
            </w:tcMar>
            <w:vAlign w:val="bottom"/>
            <w:hideMark/>
          </w:tcPr>
          <w:p w14:paraId="76345081" w14:textId="77777777" w:rsidR="00440CC1" w:rsidRPr="00551BF4" w:rsidRDefault="00440CC1" w:rsidP="00C50589">
            <w:pPr>
              <w:jc w:val="both"/>
            </w:pPr>
          </w:p>
        </w:tc>
        <w:tc>
          <w:tcPr>
            <w:tcW w:w="570" w:type="dxa"/>
            <w:tcMar>
              <w:top w:w="0" w:type="dxa"/>
              <w:left w:w="108" w:type="dxa"/>
              <w:bottom w:w="0" w:type="dxa"/>
              <w:right w:w="108" w:type="dxa"/>
            </w:tcMar>
            <w:vAlign w:val="center"/>
            <w:hideMark/>
          </w:tcPr>
          <w:p w14:paraId="50015CD3" w14:textId="77777777" w:rsidR="00440CC1" w:rsidRPr="00551BF4" w:rsidRDefault="00440CC1" w:rsidP="00C50589">
            <w:pPr>
              <w:jc w:val="both"/>
            </w:pPr>
          </w:p>
        </w:tc>
      </w:tr>
      <w:tr w:rsidR="00440CC1" w:rsidRPr="00551BF4" w14:paraId="54190949" w14:textId="77777777" w:rsidTr="00C50589">
        <w:trPr>
          <w:trHeight w:val="370"/>
        </w:trPr>
        <w:tc>
          <w:tcPr>
            <w:tcW w:w="2258" w:type="dxa"/>
            <w:tcMar>
              <w:top w:w="0" w:type="dxa"/>
              <w:left w:w="108" w:type="dxa"/>
              <w:bottom w:w="0" w:type="dxa"/>
              <w:right w:w="108" w:type="dxa"/>
            </w:tcMar>
            <w:vAlign w:val="bottom"/>
            <w:hideMark/>
          </w:tcPr>
          <w:p w14:paraId="08FAD41F" w14:textId="77777777" w:rsidR="00440CC1" w:rsidRPr="00551BF4" w:rsidRDefault="00440CC1" w:rsidP="00C50589">
            <w:pPr>
              <w:jc w:val="both"/>
            </w:pPr>
          </w:p>
        </w:tc>
        <w:tc>
          <w:tcPr>
            <w:tcW w:w="18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19A87085" w14:textId="77777777" w:rsidR="00440CC1" w:rsidRPr="00551BF4" w:rsidRDefault="00440CC1" w:rsidP="00C50589">
            <w:pPr>
              <w:jc w:val="both"/>
              <w:rPr>
                <w:b/>
                <w:bCs/>
              </w:rPr>
            </w:pPr>
            <w:r w:rsidRPr="00551BF4">
              <w:rPr>
                <w:b/>
                <w:bCs/>
              </w:rPr>
              <w:t>No</w:t>
            </w:r>
            <w:r>
              <w:rPr>
                <w:b/>
                <w:bCs/>
              </w:rPr>
              <w:t>n-</w:t>
            </w:r>
            <w:r w:rsidRPr="00551BF4">
              <w:rPr>
                <w:b/>
                <w:bCs/>
              </w:rPr>
              <w:t>Speculative</w:t>
            </w:r>
          </w:p>
        </w:tc>
        <w:tc>
          <w:tcPr>
            <w:tcW w:w="570" w:type="dxa"/>
            <w:tcMar>
              <w:top w:w="0" w:type="dxa"/>
              <w:left w:w="108" w:type="dxa"/>
              <w:bottom w:w="0" w:type="dxa"/>
              <w:right w:w="108" w:type="dxa"/>
            </w:tcMar>
            <w:vAlign w:val="center"/>
            <w:hideMark/>
          </w:tcPr>
          <w:p w14:paraId="6DF16E30" w14:textId="77777777" w:rsidR="00440CC1" w:rsidRPr="00551BF4" w:rsidRDefault="00440CC1" w:rsidP="00C50589">
            <w:pPr>
              <w:jc w:val="both"/>
              <w:rPr>
                <w:b/>
                <w:bCs/>
              </w:rPr>
            </w:pPr>
          </w:p>
        </w:tc>
        <w:tc>
          <w:tcPr>
            <w:tcW w:w="1827" w:type="dxa"/>
            <w:tcMar>
              <w:top w:w="0" w:type="dxa"/>
              <w:left w:w="108" w:type="dxa"/>
              <w:bottom w:w="0" w:type="dxa"/>
              <w:right w:w="108" w:type="dxa"/>
            </w:tcMar>
            <w:vAlign w:val="bottom"/>
            <w:hideMark/>
          </w:tcPr>
          <w:p w14:paraId="621D1967" w14:textId="77777777" w:rsidR="00440CC1" w:rsidRPr="00551BF4" w:rsidRDefault="00440CC1" w:rsidP="00C50589">
            <w:pPr>
              <w:jc w:val="both"/>
            </w:pPr>
          </w:p>
        </w:tc>
        <w:tc>
          <w:tcPr>
            <w:tcW w:w="570" w:type="dxa"/>
            <w:tcMar>
              <w:top w:w="0" w:type="dxa"/>
              <w:left w:w="108" w:type="dxa"/>
              <w:bottom w:w="0" w:type="dxa"/>
              <w:right w:w="108" w:type="dxa"/>
            </w:tcMar>
            <w:vAlign w:val="center"/>
            <w:hideMark/>
          </w:tcPr>
          <w:p w14:paraId="116468E6" w14:textId="77777777" w:rsidR="00440CC1" w:rsidRPr="00551BF4" w:rsidRDefault="00440CC1" w:rsidP="00C50589">
            <w:pPr>
              <w:jc w:val="both"/>
            </w:pPr>
          </w:p>
        </w:tc>
      </w:tr>
    </w:tbl>
    <w:p w14:paraId="5F86052B" w14:textId="77777777" w:rsidR="00440CC1" w:rsidRDefault="00440CC1" w:rsidP="00440CC1">
      <w:pPr>
        <w:jc w:val="both"/>
      </w:pPr>
    </w:p>
    <w:p w14:paraId="410272A0" w14:textId="77777777" w:rsidR="00440CC1" w:rsidRPr="00551BF4" w:rsidRDefault="00440CC1" w:rsidP="00440CC1">
      <w:pPr>
        <w:rPr>
          <w:b/>
          <w:bCs/>
          <w:u w:val="single"/>
        </w:rPr>
      </w:pPr>
      <w:r w:rsidRPr="00634FAA">
        <w:rPr>
          <w:b/>
          <w:bCs/>
          <w:u w:val="single"/>
        </w:rPr>
        <w:t xml:space="preserve">Options considered by the </w:t>
      </w:r>
      <w:r>
        <w:rPr>
          <w:b/>
          <w:bCs/>
          <w:u w:val="single"/>
        </w:rPr>
        <w:t>WG</w:t>
      </w:r>
      <w:r w:rsidRPr="00634FAA">
        <w:rPr>
          <w:b/>
          <w:bCs/>
          <w:u w:val="single"/>
        </w:rPr>
        <w:t xml:space="preserve"> but discounted</w:t>
      </w:r>
    </w:p>
    <w:p w14:paraId="15F431E7" w14:textId="77777777" w:rsidR="00440CC1" w:rsidRPr="00551BF4" w:rsidRDefault="00440CC1" w:rsidP="00367AA0">
      <w:pPr>
        <w:pStyle w:val="ListParagraph"/>
        <w:numPr>
          <w:ilvl w:val="1"/>
          <w:numId w:val="30"/>
        </w:numPr>
        <w:ind w:left="567" w:hanging="567"/>
        <w:jc w:val="both"/>
      </w:pPr>
      <w:proofErr w:type="gramStart"/>
      <w:r w:rsidRPr="00551BF4">
        <w:t>A number of</w:t>
      </w:r>
      <w:proofErr w:type="gramEnd"/>
      <w:r w:rsidRPr="00551BF4">
        <w:t xml:space="preserve"> the criteria originally identified were discounted following a review by the WG. Those discounted, and the associated reasoning, are set out below:</w:t>
      </w:r>
    </w:p>
    <w:p w14:paraId="542B3339" w14:textId="77777777" w:rsidR="00440CC1" w:rsidRDefault="00440CC1" w:rsidP="00367AA0">
      <w:pPr>
        <w:pStyle w:val="ListParagraph"/>
        <w:numPr>
          <w:ilvl w:val="0"/>
          <w:numId w:val="31"/>
        </w:numPr>
        <w:tabs>
          <w:tab w:val="left" w:pos="567"/>
        </w:tabs>
        <w:spacing w:line="360" w:lineRule="auto"/>
        <w:jc w:val="both"/>
      </w:pPr>
      <w:r>
        <w:lastRenderedPageBreak/>
        <w:t>Health Index (HI) and Load Index (LI):  Assets with a high index may be due for replacement in future work programme and it may be inappropriate for any reinforcement costs to be met by a new connection customer. However, this creates a locational aspect to the assessment which could result in different assessments depending on where the connection is.</w:t>
      </w:r>
    </w:p>
    <w:p w14:paraId="1858F66A" w14:textId="77777777" w:rsidR="00440CC1" w:rsidRDefault="00440CC1" w:rsidP="00367AA0">
      <w:pPr>
        <w:pStyle w:val="ListParagraph"/>
        <w:numPr>
          <w:ilvl w:val="0"/>
          <w:numId w:val="31"/>
        </w:numPr>
        <w:tabs>
          <w:tab w:val="left" w:pos="567"/>
        </w:tabs>
        <w:spacing w:line="360" w:lineRule="auto"/>
        <w:jc w:val="both"/>
      </w:pPr>
      <w:r>
        <w:t>Percentage of development considered to be a Speculative Development: Whereas this aligns with risk of capacity not being used it may be an arbitrary threshold which would be difficult to quantify a justifiable value.</w:t>
      </w:r>
    </w:p>
    <w:p w14:paraId="27F1F8C8" w14:textId="77777777" w:rsidR="00440CC1" w:rsidRDefault="00440CC1" w:rsidP="00367AA0">
      <w:pPr>
        <w:pStyle w:val="ListParagraph"/>
        <w:numPr>
          <w:ilvl w:val="0"/>
          <w:numId w:val="31"/>
        </w:numPr>
        <w:tabs>
          <w:tab w:val="left" w:pos="567"/>
        </w:tabs>
        <w:spacing w:line="360" w:lineRule="auto"/>
        <w:jc w:val="both"/>
      </w:pPr>
      <w:r>
        <w:t xml:space="preserve">Special circumstances: This could cover exceptional circumstances with a view to future proofing the definition as there may be future industry developments, </w:t>
      </w:r>
      <w:proofErr w:type="gramStart"/>
      <w:r>
        <w:t>e.g.</w:t>
      </w:r>
      <w:proofErr w:type="gramEnd"/>
      <w:r>
        <w:t xml:space="preserve"> legislation, technology changes etc. that could impact this definition. This is difficult to quantify, could lead to an inconsistent approach and would be subjective.</w:t>
      </w:r>
    </w:p>
    <w:p w14:paraId="08E1D3F2" w14:textId="77777777" w:rsidR="00440CC1" w:rsidRDefault="00440CC1" w:rsidP="00367AA0">
      <w:pPr>
        <w:pStyle w:val="ListParagraph"/>
        <w:numPr>
          <w:ilvl w:val="0"/>
          <w:numId w:val="31"/>
        </w:numPr>
        <w:tabs>
          <w:tab w:val="left" w:pos="567"/>
        </w:tabs>
        <w:spacing w:line="360" w:lineRule="auto"/>
        <w:jc w:val="both"/>
      </w:pPr>
      <w:r>
        <w:t>Materiality Threshold: This would limit the speculative assessment to where a significant risk to DUoS customers is identified however it may create arbitrary thresholds.</w:t>
      </w:r>
    </w:p>
    <w:p w14:paraId="5A8CA2BC" w14:textId="77777777" w:rsidR="00440CC1" w:rsidRDefault="00440CC1" w:rsidP="00367AA0">
      <w:pPr>
        <w:pStyle w:val="ListParagraph"/>
        <w:numPr>
          <w:ilvl w:val="0"/>
          <w:numId w:val="31"/>
        </w:numPr>
        <w:tabs>
          <w:tab w:val="left" w:pos="567"/>
        </w:tabs>
        <w:spacing w:line="360" w:lineRule="auto"/>
        <w:jc w:val="both"/>
      </w:pPr>
      <w:r>
        <w:t xml:space="preserve">Reinforcement £/kVA: This approach would provide a threshold above which a development would be considered as speculative. This approach </w:t>
      </w:r>
      <w:proofErr w:type="gramStart"/>
      <w:r>
        <w:t>was considered to be</w:t>
      </w:r>
      <w:proofErr w:type="gramEnd"/>
      <w:r>
        <w:t xml:space="preserve"> similar to the high-cost project threshold, didn’t add any additional value, and would be licence specific.</w:t>
      </w:r>
    </w:p>
    <w:p w14:paraId="72609F50" w14:textId="77777777" w:rsidR="00440CC1" w:rsidRDefault="00440CC1" w:rsidP="00440CC1">
      <w:pPr>
        <w:rPr>
          <w:b/>
          <w:bCs/>
        </w:rPr>
      </w:pPr>
      <w:r w:rsidRPr="000227DD">
        <w:rPr>
          <w:b/>
          <w:bCs/>
        </w:rPr>
        <w:t xml:space="preserve">Schedule 32 </w:t>
      </w:r>
    </w:p>
    <w:p w14:paraId="7FCCA5BD" w14:textId="77777777" w:rsidR="00440CC1" w:rsidRPr="00BC3946" w:rsidRDefault="00440CC1" w:rsidP="00440CC1">
      <w:r w:rsidRPr="00625DBE">
        <w:rPr>
          <w:u w:val="single"/>
        </w:rPr>
        <w:t>Overview</w:t>
      </w:r>
    </w:p>
    <w:p w14:paraId="68FF303B" w14:textId="77777777" w:rsidR="00440CC1" w:rsidRDefault="00440CC1" w:rsidP="00367AA0">
      <w:pPr>
        <w:pStyle w:val="ListParagraph"/>
        <w:numPr>
          <w:ilvl w:val="1"/>
          <w:numId w:val="30"/>
        </w:numPr>
        <w:ind w:left="567" w:hanging="567"/>
        <w:jc w:val="both"/>
      </w:pPr>
      <w:r>
        <w:t>DCUSA Schedule 32 ‘Residual Charging Bands’ was introduced to implement Ofgem’s Targeted Charging Review (TCR) Significant Code Review (SCR). The TCR reformed the ‘residual’ component of DUoS charges. The TCR moved residual cost-recovery from a volumetric (pence per kWh) basis to a fixed (pence per day) basis, using a ‘banding’ approach whereby, for example, all sites connected at the same voltage will pay the same amount where their maximum import capacity (MIC) is within an upper and lower boundary.</w:t>
      </w:r>
    </w:p>
    <w:p w14:paraId="20EA28EB" w14:textId="77777777" w:rsidR="00440CC1" w:rsidRDefault="00440CC1" w:rsidP="00367AA0">
      <w:pPr>
        <w:pStyle w:val="ListParagraph"/>
        <w:numPr>
          <w:ilvl w:val="1"/>
          <w:numId w:val="30"/>
        </w:numPr>
        <w:ind w:left="567" w:hanging="567"/>
        <w:jc w:val="both"/>
      </w:pPr>
      <w:r>
        <w:t>Sites are allocated to a ‘charging band’ and are generally in that ‘band’ for the duration of each electricity transmission price control period, with the boundaries and allocation to the bands revised and effective from the beginning of the next period (</w:t>
      </w:r>
      <w:proofErr w:type="gramStart"/>
      <w:r>
        <w:t>e.g.</w:t>
      </w:r>
      <w:proofErr w:type="gramEnd"/>
      <w:r>
        <w:t xml:space="preserve"> from RIIO-ET3, commencing 1 April 2026).</w:t>
      </w:r>
    </w:p>
    <w:p w14:paraId="52307EE9" w14:textId="77777777" w:rsidR="00440CC1" w:rsidRDefault="00440CC1" w:rsidP="00367AA0">
      <w:pPr>
        <w:pStyle w:val="ListParagraph"/>
        <w:numPr>
          <w:ilvl w:val="1"/>
          <w:numId w:val="30"/>
        </w:numPr>
        <w:ind w:left="567" w:hanging="567"/>
        <w:jc w:val="both"/>
      </w:pPr>
      <w:r>
        <w:t>There are exceptional circumstances where a site can move between bands during a price control period, namely (specifically where there is a MIC):</w:t>
      </w:r>
    </w:p>
    <w:p w14:paraId="29818BAF" w14:textId="77777777" w:rsidR="00440CC1" w:rsidRPr="000B08AC" w:rsidRDefault="00440CC1" w:rsidP="00367AA0">
      <w:pPr>
        <w:pStyle w:val="ListParagraph"/>
        <w:numPr>
          <w:ilvl w:val="0"/>
          <w:numId w:val="34"/>
        </w:numPr>
      </w:pPr>
      <w:r>
        <w:t xml:space="preserve">a change in voltage of </w:t>
      </w:r>
      <w:proofErr w:type="gramStart"/>
      <w:r>
        <w:t>connection;</w:t>
      </w:r>
      <w:proofErr w:type="gramEnd"/>
    </w:p>
    <w:p w14:paraId="69D886A6" w14:textId="77777777" w:rsidR="00440CC1" w:rsidRPr="000B08AC" w:rsidRDefault="00440CC1" w:rsidP="00367AA0">
      <w:pPr>
        <w:pStyle w:val="ListParagraph"/>
        <w:numPr>
          <w:ilvl w:val="0"/>
          <w:numId w:val="34"/>
        </w:numPr>
      </w:pPr>
      <w:r>
        <w:t>a change in site ‘use’ or ‘configuration’; and</w:t>
      </w:r>
    </w:p>
    <w:p w14:paraId="32B2727C" w14:textId="77777777" w:rsidR="00440CC1" w:rsidRPr="000B08AC" w:rsidRDefault="00440CC1" w:rsidP="00367AA0">
      <w:pPr>
        <w:pStyle w:val="ListParagraph"/>
        <w:numPr>
          <w:ilvl w:val="0"/>
          <w:numId w:val="34"/>
        </w:numPr>
      </w:pPr>
      <w:r>
        <w:t>where 2. applies, the change is greater than ±50% relative to the MIC used to allocate the site to a band.</w:t>
      </w:r>
    </w:p>
    <w:p w14:paraId="02DED345" w14:textId="77777777" w:rsidR="00440CC1" w:rsidRPr="00BC3946" w:rsidRDefault="00440CC1" w:rsidP="00440CC1">
      <w:pPr>
        <w:rPr>
          <w:u w:val="single"/>
        </w:rPr>
      </w:pPr>
      <w:r w:rsidRPr="00BC3946">
        <w:rPr>
          <w:u w:val="single"/>
        </w:rPr>
        <w:t>Schedule 32 issue</w:t>
      </w:r>
    </w:p>
    <w:p w14:paraId="395BB7D6" w14:textId="77777777" w:rsidR="00440CC1" w:rsidRPr="00BC3946" w:rsidRDefault="00440CC1" w:rsidP="00367AA0">
      <w:pPr>
        <w:pStyle w:val="ListParagraph"/>
        <w:numPr>
          <w:ilvl w:val="1"/>
          <w:numId w:val="30"/>
        </w:numPr>
        <w:ind w:left="567" w:hanging="567"/>
        <w:jc w:val="both"/>
      </w:pPr>
      <w:r w:rsidRPr="00BC3946">
        <w:t xml:space="preserve">In the Access SCR Direction, Ofgem set out a requirement to consider “introducing a methodology for connections with planned phases or future expansion which would otherwise be deemed speculative, where a case can be made for the cost efficiency and wider network benefit”. Where a </w:t>
      </w:r>
      <w:proofErr w:type="gramStart"/>
      <w:r w:rsidRPr="00BC3946">
        <w:t>Customer</w:t>
      </w:r>
      <w:proofErr w:type="gramEnd"/>
      <w:r w:rsidRPr="00BC3946">
        <w:t xml:space="preserve"> has a phased capacity requirement for its import, the MIC for the site will change, for example, as the network is reinforced to provide additional capacity. Without a change to Schedule 32, the site may not be appropriately allocated to a band, which may manifest as a distortion in DUoS charging, namely where </w:t>
      </w:r>
      <w:r w:rsidRPr="00BC3946">
        <w:lastRenderedPageBreak/>
        <w:t>the Customer is likely to pay less than it would do if the capacity was not phased meaning DUoS customers in general will pay more.</w:t>
      </w:r>
    </w:p>
    <w:p w14:paraId="0EA8684F" w14:textId="77777777" w:rsidR="00440CC1" w:rsidRPr="00BC3946" w:rsidRDefault="00440CC1" w:rsidP="00440CC1">
      <w:pPr>
        <w:rPr>
          <w:u w:val="single"/>
        </w:rPr>
      </w:pPr>
      <w:r w:rsidRPr="00BC3946">
        <w:rPr>
          <w:u w:val="single"/>
        </w:rPr>
        <w:t>Example</w:t>
      </w:r>
    </w:p>
    <w:p w14:paraId="6DB667D4" w14:textId="77777777" w:rsidR="00440CC1" w:rsidRDefault="00440CC1" w:rsidP="00367AA0">
      <w:pPr>
        <w:pStyle w:val="ListParagraph"/>
        <w:numPr>
          <w:ilvl w:val="1"/>
          <w:numId w:val="30"/>
        </w:numPr>
        <w:ind w:left="567" w:hanging="567"/>
        <w:jc w:val="both"/>
      </w:pPr>
      <w:r w:rsidRPr="00BC3946">
        <w:t>Context/assumptions:</w:t>
      </w:r>
    </w:p>
    <w:p w14:paraId="09BA14A6" w14:textId="77777777" w:rsidR="00440CC1" w:rsidRPr="000B08AC" w:rsidRDefault="00440CC1" w:rsidP="00367AA0">
      <w:pPr>
        <w:pStyle w:val="ListParagraph"/>
        <w:numPr>
          <w:ilvl w:val="0"/>
          <w:numId w:val="35"/>
        </w:numPr>
      </w:pPr>
      <w:r>
        <w:t>Customer seeks a connection to a DNO EHV network for 15,000kVA with a phased capacity profile of 5,000kVA in year one, increasing by 2,500kVA per annum over the following four years.</w:t>
      </w:r>
    </w:p>
    <w:p w14:paraId="42B6D5AF" w14:textId="77777777" w:rsidR="00440CC1" w:rsidRPr="000B08AC" w:rsidRDefault="00440CC1" w:rsidP="00367AA0">
      <w:pPr>
        <w:pStyle w:val="ListParagraph"/>
        <w:numPr>
          <w:ilvl w:val="0"/>
          <w:numId w:val="35"/>
        </w:numPr>
      </w:pPr>
      <w:r>
        <w:t>The phases remain in line with original plan through the five years per table below.</w:t>
      </w:r>
    </w:p>
    <w:p w14:paraId="7B3068F2" w14:textId="77777777" w:rsidR="00440CC1" w:rsidRPr="000B08AC" w:rsidRDefault="00440CC1" w:rsidP="00367AA0">
      <w:pPr>
        <w:pStyle w:val="ListParagraph"/>
        <w:numPr>
          <w:ilvl w:val="0"/>
          <w:numId w:val="35"/>
        </w:numPr>
      </w:pPr>
      <w:r>
        <w:t>Customer pays a connection charge to deliver the 15,000kVA.</w:t>
      </w:r>
    </w:p>
    <w:p w14:paraId="0B370BF8" w14:textId="77777777" w:rsidR="00440CC1" w:rsidRPr="000B08AC" w:rsidRDefault="00440CC1" w:rsidP="00367AA0">
      <w:pPr>
        <w:pStyle w:val="ListParagraph"/>
        <w:numPr>
          <w:ilvl w:val="0"/>
          <w:numId w:val="35"/>
        </w:numPr>
      </w:pPr>
      <w:r>
        <w:t>Connection agreement for year one states a MIC of 5,000kVA.</w:t>
      </w:r>
    </w:p>
    <w:p w14:paraId="59D2ECE7" w14:textId="77777777" w:rsidR="00440CC1" w:rsidRPr="000B08AC" w:rsidRDefault="00440CC1" w:rsidP="00367AA0">
      <w:pPr>
        <w:pStyle w:val="ListParagraph"/>
        <w:numPr>
          <w:ilvl w:val="0"/>
          <w:numId w:val="35"/>
        </w:numPr>
      </w:pPr>
      <w:r>
        <w:t>For simplicity, assume the DUoS element of the customers’ bill is 100% pass-through in its retail contract with the supplier.</w:t>
      </w:r>
    </w:p>
    <w:p w14:paraId="0BD74285" w14:textId="77777777" w:rsidR="00440CC1" w:rsidRPr="00BC3946" w:rsidRDefault="00440CC1" w:rsidP="00367AA0">
      <w:pPr>
        <w:pStyle w:val="ListParagraph"/>
        <w:numPr>
          <w:ilvl w:val="0"/>
          <w:numId w:val="35"/>
        </w:numPr>
      </w:pPr>
      <w:r>
        <w:t>Customer/site are used interchangeably but mean the same thing.</w:t>
      </w:r>
    </w:p>
    <w:tbl>
      <w:tblPr>
        <w:tblStyle w:val="TableGrid10"/>
        <w:tblW w:w="0" w:type="auto"/>
        <w:tblLayout w:type="fixed"/>
        <w:tblLook w:val="06A0" w:firstRow="1" w:lastRow="0" w:firstColumn="1" w:lastColumn="0" w:noHBand="1" w:noVBand="1"/>
      </w:tblPr>
      <w:tblGrid>
        <w:gridCol w:w="1502"/>
        <w:gridCol w:w="1502"/>
        <w:gridCol w:w="1502"/>
        <w:gridCol w:w="1502"/>
        <w:gridCol w:w="1502"/>
        <w:gridCol w:w="1502"/>
      </w:tblGrid>
      <w:tr w:rsidR="00440CC1" w:rsidRPr="00BC3946" w14:paraId="71A05C2B" w14:textId="77777777" w:rsidTr="00C50589">
        <w:tc>
          <w:tcPr>
            <w:tcW w:w="1502" w:type="dxa"/>
          </w:tcPr>
          <w:p w14:paraId="5C1FB1AB" w14:textId="77777777" w:rsidR="00440CC1" w:rsidRPr="00BC3946" w:rsidRDefault="00440CC1" w:rsidP="00C50589">
            <w:pPr>
              <w:rPr>
                <w:b/>
                <w:bCs/>
              </w:rPr>
            </w:pPr>
            <w:r w:rsidRPr="00BC3946">
              <w:rPr>
                <w:b/>
                <w:bCs/>
              </w:rPr>
              <w:t>kVA</w:t>
            </w:r>
          </w:p>
        </w:tc>
        <w:tc>
          <w:tcPr>
            <w:tcW w:w="1502" w:type="dxa"/>
          </w:tcPr>
          <w:p w14:paraId="46EFE6A8" w14:textId="77777777" w:rsidR="00440CC1" w:rsidRPr="00BC3946" w:rsidRDefault="00440CC1" w:rsidP="00C50589">
            <w:pPr>
              <w:jc w:val="center"/>
              <w:rPr>
                <w:b/>
                <w:bCs/>
              </w:rPr>
            </w:pPr>
            <w:r w:rsidRPr="00BC3946">
              <w:rPr>
                <w:b/>
                <w:bCs/>
              </w:rPr>
              <w:t>Year 1</w:t>
            </w:r>
          </w:p>
        </w:tc>
        <w:tc>
          <w:tcPr>
            <w:tcW w:w="1502" w:type="dxa"/>
          </w:tcPr>
          <w:p w14:paraId="7C708655" w14:textId="77777777" w:rsidR="00440CC1" w:rsidRPr="00BC3946" w:rsidRDefault="00440CC1" w:rsidP="00C50589">
            <w:pPr>
              <w:jc w:val="center"/>
              <w:rPr>
                <w:b/>
                <w:bCs/>
              </w:rPr>
            </w:pPr>
            <w:r w:rsidRPr="00BC3946">
              <w:rPr>
                <w:b/>
                <w:bCs/>
              </w:rPr>
              <w:t>Year 2</w:t>
            </w:r>
          </w:p>
        </w:tc>
        <w:tc>
          <w:tcPr>
            <w:tcW w:w="1502" w:type="dxa"/>
          </w:tcPr>
          <w:p w14:paraId="03DE59C7" w14:textId="77777777" w:rsidR="00440CC1" w:rsidRPr="00BC3946" w:rsidRDefault="00440CC1" w:rsidP="00C50589">
            <w:pPr>
              <w:jc w:val="center"/>
              <w:rPr>
                <w:b/>
                <w:bCs/>
              </w:rPr>
            </w:pPr>
            <w:r w:rsidRPr="00BC3946">
              <w:rPr>
                <w:b/>
                <w:bCs/>
              </w:rPr>
              <w:t>Year 3</w:t>
            </w:r>
          </w:p>
        </w:tc>
        <w:tc>
          <w:tcPr>
            <w:tcW w:w="1502" w:type="dxa"/>
          </w:tcPr>
          <w:p w14:paraId="0426D42E" w14:textId="77777777" w:rsidR="00440CC1" w:rsidRPr="00BC3946" w:rsidRDefault="00440CC1" w:rsidP="00C50589">
            <w:pPr>
              <w:jc w:val="center"/>
              <w:rPr>
                <w:b/>
                <w:bCs/>
              </w:rPr>
            </w:pPr>
            <w:r w:rsidRPr="00BC3946">
              <w:rPr>
                <w:b/>
                <w:bCs/>
              </w:rPr>
              <w:t>Year 4</w:t>
            </w:r>
          </w:p>
        </w:tc>
        <w:tc>
          <w:tcPr>
            <w:tcW w:w="1502" w:type="dxa"/>
          </w:tcPr>
          <w:p w14:paraId="60A6949E" w14:textId="77777777" w:rsidR="00440CC1" w:rsidRPr="00BC3946" w:rsidRDefault="00440CC1" w:rsidP="00C50589">
            <w:pPr>
              <w:jc w:val="center"/>
              <w:rPr>
                <w:b/>
                <w:bCs/>
              </w:rPr>
            </w:pPr>
            <w:r w:rsidRPr="00BC3946">
              <w:rPr>
                <w:b/>
                <w:bCs/>
              </w:rPr>
              <w:t>Year 5</w:t>
            </w:r>
          </w:p>
        </w:tc>
      </w:tr>
      <w:tr w:rsidR="00440CC1" w:rsidRPr="00BC3946" w14:paraId="4AA4D508" w14:textId="77777777" w:rsidTr="00C50589">
        <w:tc>
          <w:tcPr>
            <w:tcW w:w="1502" w:type="dxa"/>
          </w:tcPr>
          <w:p w14:paraId="2FFCD79B" w14:textId="77777777" w:rsidR="00440CC1" w:rsidRPr="00BC3946" w:rsidRDefault="00440CC1" w:rsidP="00C50589">
            <w:r w:rsidRPr="00BC3946">
              <w:t>MIC</w:t>
            </w:r>
          </w:p>
        </w:tc>
        <w:tc>
          <w:tcPr>
            <w:tcW w:w="1502" w:type="dxa"/>
          </w:tcPr>
          <w:p w14:paraId="11E82410" w14:textId="77777777" w:rsidR="00440CC1" w:rsidRPr="00BC3946" w:rsidRDefault="00440CC1" w:rsidP="00C50589">
            <w:pPr>
              <w:jc w:val="right"/>
            </w:pPr>
            <w:r w:rsidRPr="00BC3946">
              <w:t>5,000</w:t>
            </w:r>
          </w:p>
        </w:tc>
        <w:tc>
          <w:tcPr>
            <w:tcW w:w="1502" w:type="dxa"/>
          </w:tcPr>
          <w:p w14:paraId="11BC299F" w14:textId="77777777" w:rsidR="00440CC1" w:rsidRPr="00BC3946" w:rsidRDefault="00440CC1" w:rsidP="00C50589">
            <w:pPr>
              <w:jc w:val="right"/>
            </w:pPr>
            <w:r w:rsidRPr="00BC3946">
              <w:t>7,500</w:t>
            </w:r>
          </w:p>
        </w:tc>
        <w:tc>
          <w:tcPr>
            <w:tcW w:w="1502" w:type="dxa"/>
          </w:tcPr>
          <w:p w14:paraId="7A9567E3" w14:textId="77777777" w:rsidR="00440CC1" w:rsidRPr="00BC3946" w:rsidRDefault="00440CC1" w:rsidP="00C50589">
            <w:pPr>
              <w:jc w:val="right"/>
            </w:pPr>
            <w:r w:rsidRPr="00BC3946">
              <w:t>10,000</w:t>
            </w:r>
          </w:p>
        </w:tc>
        <w:tc>
          <w:tcPr>
            <w:tcW w:w="1502" w:type="dxa"/>
          </w:tcPr>
          <w:p w14:paraId="50BF7955" w14:textId="77777777" w:rsidR="00440CC1" w:rsidRPr="00BC3946" w:rsidRDefault="00440CC1" w:rsidP="00C50589">
            <w:pPr>
              <w:jc w:val="right"/>
            </w:pPr>
            <w:r w:rsidRPr="00BC3946">
              <w:t>12,500</w:t>
            </w:r>
          </w:p>
        </w:tc>
        <w:tc>
          <w:tcPr>
            <w:tcW w:w="1502" w:type="dxa"/>
          </w:tcPr>
          <w:p w14:paraId="5C9E941C" w14:textId="77777777" w:rsidR="00440CC1" w:rsidRPr="00BC3946" w:rsidRDefault="00440CC1" w:rsidP="00C50589">
            <w:pPr>
              <w:jc w:val="right"/>
            </w:pPr>
            <w:r w:rsidRPr="00BC3946">
              <w:t>15,000</w:t>
            </w:r>
          </w:p>
        </w:tc>
      </w:tr>
      <w:tr w:rsidR="00440CC1" w:rsidRPr="00BC3946" w14:paraId="78F838B6" w14:textId="77777777" w:rsidTr="00C50589">
        <w:tc>
          <w:tcPr>
            <w:tcW w:w="1502" w:type="dxa"/>
          </w:tcPr>
          <w:p w14:paraId="308D6C19" w14:textId="77777777" w:rsidR="00440CC1" w:rsidRPr="00BC3946" w:rsidRDefault="00440CC1" w:rsidP="00C50589">
            <w:r w:rsidRPr="00BC3946">
              <w:t xml:space="preserve">% </w:t>
            </w:r>
            <w:proofErr w:type="gramStart"/>
            <w:r w:rsidRPr="00BC3946">
              <w:t>change</w:t>
            </w:r>
            <w:proofErr w:type="gramEnd"/>
            <w:r w:rsidRPr="00BC3946">
              <w:t xml:space="preserve"> (annual)</w:t>
            </w:r>
          </w:p>
        </w:tc>
        <w:tc>
          <w:tcPr>
            <w:tcW w:w="1502" w:type="dxa"/>
          </w:tcPr>
          <w:p w14:paraId="3C78CCE7" w14:textId="77777777" w:rsidR="00440CC1" w:rsidRPr="00BC3946" w:rsidRDefault="00440CC1" w:rsidP="00C50589">
            <w:pPr>
              <w:jc w:val="right"/>
            </w:pPr>
            <w:r w:rsidRPr="00BC3946">
              <w:t>n/a</w:t>
            </w:r>
          </w:p>
        </w:tc>
        <w:tc>
          <w:tcPr>
            <w:tcW w:w="1502" w:type="dxa"/>
          </w:tcPr>
          <w:p w14:paraId="0159A140" w14:textId="77777777" w:rsidR="00440CC1" w:rsidRPr="00BC3946" w:rsidRDefault="00440CC1" w:rsidP="00C50589">
            <w:pPr>
              <w:jc w:val="right"/>
              <w:rPr>
                <w:rFonts w:eastAsia="Arial" w:cs="Arial"/>
                <w:szCs w:val="20"/>
              </w:rPr>
            </w:pPr>
            <w:r w:rsidRPr="00BC3946">
              <w:t>50%</w:t>
            </w:r>
          </w:p>
        </w:tc>
        <w:tc>
          <w:tcPr>
            <w:tcW w:w="1502" w:type="dxa"/>
          </w:tcPr>
          <w:p w14:paraId="668BB3DE" w14:textId="77777777" w:rsidR="00440CC1" w:rsidRPr="00BC3946" w:rsidRDefault="00440CC1" w:rsidP="00C50589">
            <w:pPr>
              <w:jc w:val="right"/>
            </w:pPr>
            <w:r w:rsidRPr="00BC3946">
              <w:t>33%</w:t>
            </w:r>
          </w:p>
        </w:tc>
        <w:tc>
          <w:tcPr>
            <w:tcW w:w="1502" w:type="dxa"/>
          </w:tcPr>
          <w:p w14:paraId="18803E84" w14:textId="77777777" w:rsidR="00440CC1" w:rsidRPr="00BC3946" w:rsidRDefault="00440CC1" w:rsidP="00C50589">
            <w:pPr>
              <w:jc w:val="right"/>
            </w:pPr>
            <w:r w:rsidRPr="00BC3946">
              <w:t>25%</w:t>
            </w:r>
          </w:p>
        </w:tc>
        <w:tc>
          <w:tcPr>
            <w:tcW w:w="1502" w:type="dxa"/>
          </w:tcPr>
          <w:p w14:paraId="0AEB1E5B" w14:textId="77777777" w:rsidR="00440CC1" w:rsidRPr="00BC3946" w:rsidRDefault="00440CC1" w:rsidP="00C50589">
            <w:pPr>
              <w:jc w:val="right"/>
            </w:pPr>
            <w:r w:rsidRPr="00BC3946">
              <w:t>20%</w:t>
            </w:r>
          </w:p>
        </w:tc>
      </w:tr>
      <w:tr w:rsidR="00440CC1" w:rsidRPr="00BC3946" w14:paraId="715ADBE0" w14:textId="77777777" w:rsidTr="00C50589">
        <w:tc>
          <w:tcPr>
            <w:tcW w:w="1502" w:type="dxa"/>
          </w:tcPr>
          <w:p w14:paraId="65A48C09" w14:textId="77777777" w:rsidR="00440CC1" w:rsidRPr="00BC3946" w:rsidRDefault="00440CC1" w:rsidP="00C50589">
            <w:r w:rsidRPr="00BC3946">
              <w:t xml:space="preserve">% </w:t>
            </w:r>
            <w:proofErr w:type="gramStart"/>
            <w:r w:rsidRPr="00BC3946">
              <w:t>change</w:t>
            </w:r>
            <w:proofErr w:type="gramEnd"/>
            <w:r w:rsidRPr="00BC3946">
              <w:t xml:space="preserve"> (to year 1)</w:t>
            </w:r>
          </w:p>
        </w:tc>
        <w:tc>
          <w:tcPr>
            <w:tcW w:w="1502" w:type="dxa"/>
          </w:tcPr>
          <w:p w14:paraId="749D2117" w14:textId="77777777" w:rsidR="00440CC1" w:rsidRPr="00BC3946" w:rsidRDefault="00440CC1" w:rsidP="00C50589">
            <w:pPr>
              <w:jc w:val="right"/>
            </w:pPr>
            <w:r w:rsidRPr="00BC3946">
              <w:t>n/a</w:t>
            </w:r>
          </w:p>
        </w:tc>
        <w:tc>
          <w:tcPr>
            <w:tcW w:w="1502" w:type="dxa"/>
          </w:tcPr>
          <w:p w14:paraId="4B0B57CE" w14:textId="77777777" w:rsidR="00440CC1" w:rsidRPr="00BC3946" w:rsidRDefault="00440CC1" w:rsidP="00C50589">
            <w:pPr>
              <w:jc w:val="right"/>
            </w:pPr>
            <w:r w:rsidRPr="00BC3946">
              <w:t>50%</w:t>
            </w:r>
          </w:p>
        </w:tc>
        <w:tc>
          <w:tcPr>
            <w:tcW w:w="1502" w:type="dxa"/>
          </w:tcPr>
          <w:p w14:paraId="0D345BC5" w14:textId="77777777" w:rsidR="00440CC1" w:rsidRPr="00BC3946" w:rsidRDefault="00440CC1" w:rsidP="00C50589">
            <w:pPr>
              <w:jc w:val="right"/>
            </w:pPr>
            <w:r w:rsidRPr="00BC3946">
              <w:t>100%</w:t>
            </w:r>
          </w:p>
        </w:tc>
        <w:tc>
          <w:tcPr>
            <w:tcW w:w="1502" w:type="dxa"/>
          </w:tcPr>
          <w:p w14:paraId="2CB1578E" w14:textId="77777777" w:rsidR="00440CC1" w:rsidRPr="00BC3946" w:rsidRDefault="00440CC1" w:rsidP="00C50589">
            <w:pPr>
              <w:jc w:val="right"/>
            </w:pPr>
            <w:r w:rsidRPr="00BC3946">
              <w:t>150%</w:t>
            </w:r>
          </w:p>
        </w:tc>
        <w:tc>
          <w:tcPr>
            <w:tcW w:w="1502" w:type="dxa"/>
          </w:tcPr>
          <w:p w14:paraId="2A78A4E6" w14:textId="77777777" w:rsidR="00440CC1" w:rsidRPr="00BC3946" w:rsidRDefault="00440CC1" w:rsidP="00C50589">
            <w:pPr>
              <w:jc w:val="right"/>
            </w:pPr>
            <w:r w:rsidRPr="00BC3946">
              <w:t>200%</w:t>
            </w:r>
          </w:p>
        </w:tc>
      </w:tr>
    </w:tbl>
    <w:p w14:paraId="45B215CA" w14:textId="77777777" w:rsidR="00440CC1" w:rsidRDefault="00440CC1" w:rsidP="00440CC1">
      <w:pPr>
        <w:jc w:val="both"/>
      </w:pPr>
    </w:p>
    <w:p w14:paraId="5BFAB222" w14:textId="77777777" w:rsidR="00440CC1" w:rsidRDefault="00440CC1" w:rsidP="00367AA0">
      <w:pPr>
        <w:pStyle w:val="ListParagraph"/>
        <w:numPr>
          <w:ilvl w:val="1"/>
          <w:numId w:val="30"/>
        </w:numPr>
        <w:ind w:left="567" w:hanging="567"/>
        <w:jc w:val="both"/>
      </w:pPr>
      <w:r>
        <w:t>In year one, the customer will pay volumetric (pence per kWh) charges relative to usage and capacity charges (pence per kVA per day) based on the 5,000kVA.</w:t>
      </w:r>
    </w:p>
    <w:p w14:paraId="3B90B4B1" w14:textId="77777777" w:rsidR="00440CC1" w:rsidRDefault="00440CC1" w:rsidP="00367AA0">
      <w:pPr>
        <w:pStyle w:val="ListParagraph"/>
        <w:numPr>
          <w:ilvl w:val="1"/>
          <w:numId w:val="30"/>
        </w:numPr>
        <w:ind w:left="567" w:hanging="567"/>
        <w:jc w:val="both"/>
      </w:pPr>
      <w:r>
        <w:t>In years two to five the customer will pay capacity charges based on 7,500kVA to 15,000kVA respectively.</w:t>
      </w:r>
    </w:p>
    <w:p w14:paraId="3970CB2F" w14:textId="77777777" w:rsidR="00440CC1" w:rsidRDefault="00440CC1" w:rsidP="00367AA0">
      <w:pPr>
        <w:pStyle w:val="ListParagraph"/>
        <w:numPr>
          <w:ilvl w:val="1"/>
          <w:numId w:val="30"/>
        </w:numPr>
        <w:ind w:left="567" w:hanging="567"/>
        <w:jc w:val="both"/>
      </w:pPr>
      <w:r>
        <w:t>DUoS fixed charges (pence per day) are, as noted, in part determined by the MIC, and which band the site is allocated to. The EHV bands are currently:</w:t>
      </w:r>
    </w:p>
    <w:tbl>
      <w:tblPr>
        <w:tblStyle w:val="TableGrid20"/>
        <w:tblW w:w="0" w:type="auto"/>
        <w:tblLayout w:type="fixed"/>
        <w:tblLook w:val="06A0" w:firstRow="1" w:lastRow="0" w:firstColumn="1" w:lastColumn="0" w:noHBand="1" w:noVBand="1"/>
      </w:tblPr>
      <w:tblGrid>
        <w:gridCol w:w="1502"/>
        <w:gridCol w:w="750"/>
        <w:gridCol w:w="1965"/>
        <w:gridCol w:w="2415"/>
        <w:gridCol w:w="2345"/>
      </w:tblGrid>
      <w:tr w:rsidR="00440CC1" w:rsidRPr="00BC3946" w14:paraId="2F85FE48" w14:textId="77777777" w:rsidTr="00C50589">
        <w:tc>
          <w:tcPr>
            <w:tcW w:w="1502" w:type="dxa"/>
          </w:tcPr>
          <w:p w14:paraId="372F9E98" w14:textId="77777777" w:rsidR="00440CC1" w:rsidRPr="00BC3946" w:rsidRDefault="00440CC1" w:rsidP="00C50589">
            <w:pPr>
              <w:rPr>
                <w:b/>
                <w:bCs/>
              </w:rPr>
            </w:pPr>
            <w:r w:rsidRPr="00BC3946">
              <w:rPr>
                <w:b/>
                <w:bCs/>
              </w:rPr>
              <w:t>Voltage</w:t>
            </w:r>
          </w:p>
        </w:tc>
        <w:tc>
          <w:tcPr>
            <w:tcW w:w="750" w:type="dxa"/>
          </w:tcPr>
          <w:p w14:paraId="38E402DD" w14:textId="77777777" w:rsidR="00440CC1" w:rsidRPr="00BC3946" w:rsidRDefault="00440CC1" w:rsidP="00C50589">
            <w:pPr>
              <w:jc w:val="center"/>
              <w:rPr>
                <w:b/>
                <w:bCs/>
              </w:rPr>
            </w:pPr>
            <w:r w:rsidRPr="00BC3946">
              <w:rPr>
                <w:b/>
                <w:bCs/>
              </w:rPr>
              <w:t>Band</w:t>
            </w:r>
          </w:p>
        </w:tc>
        <w:tc>
          <w:tcPr>
            <w:tcW w:w="1965" w:type="dxa"/>
          </w:tcPr>
          <w:p w14:paraId="1E4EA35E" w14:textId="77777777" w:rsidR="00440CC1" w:rsidRPr="00BC3946" w:rsidRDefault="00440CC1" w:rsidP="00C50589">
            <w:pPr>
              <w:jc w:val="center"/>
              <w:rPr>
                <w:b/>
                <w:bCs/>
              </w:rPr>
            </w:pPr>
            <w:r w:rsidRPr="00BC3946">
              <w:rPr>
                <w:b/>
                <w:bCs/>
              </w:rPr>
              <w:t>Lower threshold (kVA)*</w:t>
            </w:r>
          </w:p>
        </w:tc>
        <w:tc>
          <w:tcPr>
            <w:tcW w:w="2415" w:type="dxa"/>
          </w:tcPr>
          <w:p w14:paraId="49DE00C6" w14:textId="77777777" w:rsidR="00440CC1" w:rsidRPr="00BC3946" w:rsidRDefault="00440CC1" w:rsidP="00C50589">
            <w:pPr>
              <w:jc w:val="center"/>
              <w:rPr>
                <w:b/>
                <w:bCs/>
              </w:rPr>
            </w:pPr>
            <w:r w:rsidRPr="00BC3946">
              <w:rPr>
                <w:b/>
                <w:bCs/>
              </w:rPr>
              <w:t>Upper threshold (kVA)*</w:t>
            </w:r>
          </w:p>
        </w:tc>
        <w:tc>
          <w:tcPr>
            <w:tcW w:w="2345" w:type="dxa"/>
          </w:tcPr>
          <w:p w14:paraId="64D08B89" w14:textId="77777777" w:rsidR="00440CC1" w:rsidRPr="00BC3946" w:rsidRDefault="00440CC1" w:rsidP="00C50589">
            <w:pPr>
              <w:rPr>
                <w:b/>
                <w:bCs/>
              </w:rPr>
            </w:pPr>
            <w:r w:rsidRPr="00BC3946">
              <w:rPr>
                <w:b/>
                <w:bCs/>
              </w:rPr>
              <w:t>Indicative DNO 2023/24 residual charges p.a.</w:t>
            </w:r>
          </w:p>
        </w:tc>
      </w:tr>
      <w:tr w:rsidR="00440CC1" w:rsidRPr="00BC3946" w14:paraId="7B89F4A4" w14:textId="77777777" w:rsidTr="00C50589">
        <w:tc>
          <w:tcPr>
            <w:tcW w:w="1502" w:type="dxa"/>
            <w:vMerge w:val="restart"/>
          </w:tcPr>
          <w:p w14:paraId="4278DF21" w14:textId="77777777" w:rsidR="00440CC1" w:rsidRPr="00BC3946" w:rsidRDefault="00440CC1" w:rsidP="00C50589">
            <w:r w:rsidRPr="00BC3946">
              <w:t>Designated EHV Properties</w:t>
            </w:r>
          </w:p>
        </w:tc>
        <w:tc>
          <w:tcPr>
            <w:tcW w:w="750" w:type="dxa"/>
          </w:tcPr>
          <w:p w14:paraId="3214E010" w14:textId="77777777" w:rsidR="00440CC1" w:rsidRPr="00BC3946" w:rsidRDefault="00440CC1" w:rsidP="00C50589">
            <w:r w:rsidRPr="00BC3946">
              <w:t>1</w:t>
            </w:r>
          </w:p>
        </w:tc>
        <w:tc>
          <w:tcPr>
            <w:tcW w:w="1965" w:type="dxa"/>
          </w:tcPr>
          <w:p w14:paraId="65E48EF1" w14:textId="77777777" w:rsidR="00440CC1" w:rsidRPr="00BC3946" w:rsidRDefault="00440CC1" w:rsidP="00C50589">
            <w:pPr>
              <w:jc w:val="right"/>
            </w:pPr>
            <w:r w:rsidRPr="00BC3946">
              <w:t>0</w:t>
            </w:r>
          </w:p>
        </w:tc>
        <w:tc>
          <w:tcPr>
            <w:tcW w:w="2415" w:type="dxa"/>
          </w:tcPr>
          <w:p w14:paraId="0C4C982F" w14:textId="77777777" w:rsidR="00440CC1" w:rsidRPr="00BC3946" w:rsidRDefault="00440CC1" w:rsidP="00C50589">
            <w:pPr>
              <w:jc w:val="right"/>
            </w:pPr>
            <w:r w:rsidRPr="00BC3946">
              <w:t>5,000</w:t>
            </w:r>
          </w:p>
        </w:tc>
        <w:tc>
          <w:tcPr>
            <w:tcW w:w="2345" w:type="dxa"/>
          </w:tcPr>
          <w:p w14:paraId="7176F460" w14:textId="77777777" w:rsidR="00440CC1" w:rsidRPr="00BC3946" w:rsidRDefault="00440CC1" w:rsidP="00C50589">
            <w:pPr>
              <w:jc w:val="right"/>
            </w:pPr>
            <w:r w:rsidRPr="00BC3946">
              <w:t>£5,850</w:t>
            </w:r>
          </w:p>
        </w:tc>
      </w:tr>
      <w:tr w:rsidR="00440CC1" w:rsidRPr="00BC3946" w14:paraId="7A1B2791" w14:textId="77777777" w:rsidTr="00C50589">
        <w:tc>
          <w:tcPr>
            <w:tcW w:w="1502" w:type="dxa"/>
            <w:vMerge/>
          </w:tcPr>
          <w:p w14:paraId="767B3BD3" w14:textId="77777777" w:rsidR="00440CC1" w:rsidRPr="00BC3946" w:rsidRDefault="00440CC1" w:rsidP="00C50589"/>
        </w:tc>
        <w:tc>
          <w:tcPr>
            <w:tcW w:w="750" w:type="dxa"/>
          </w:tcPr>
          <w:p w14:paraId="70B2FE6B" w14:textId="77777777" w:rsidR="00440CC1" w:rsidRPr="00BC3946" w:rsidRDefault="00440CC1" w:rsidP="00C50589">
            <w:r w:rsidRPr="00BC3946">
              <w:t>2</w:t>
            </w:r>
          </w:p>
        </w:tc>
        <w:tc>
          <w:tcPr>
            <w:tcW w:w="1965" w:type="dxa"/>
          </w:tcPr>
          <w:p w14:paraId="1DD736F3" w14:textId="77777777" w:rsidR="00440CC1" w:rsidRPr="00BC3946" w:rsidRDefault="00440CC1" w:rsidP="00C50589">
            <w:pPr>
              <w:jc w:val="right"/>
            </w:pPr>
            <w:r w:rsidRPr="00BC3946">
              <w:t>5,000</w:t>
            </w:r>
          </w:p>
        </w:tc>
        <w:tc>
          <w:tcPr>
            <w:tcW w:w="2415" w:type="dxa"/>
          </w:tcPr>
          <w:p w14:paraId="6463C74A" w14:textId="77777777" w:rsidR="00440CC1" w:rsidRPr="00BC3946" w:rsidRDefault="00440CC1" w:rsidP="00C50589">
            <w:pPr>
              <w:jc w:val="right"/>
            </w:pPr>
            <w:r w:rsidRPr="00BC3946">
              <w:t>12,000</w:t>
            </w:r>
          </w:p>
        </w:tc>
        <w:tc>
          <w:tcPr>
            <w:tcW w:w="2345" w:type="dxa"/>
          </w:tcPr>
          <w:p w14:paraId="62E158DE" w14:textId="77777777" w:rsidR="00440CC1" w:rsidRPr="00BC3946" w:rsidRDefault="00440CC1" w:rsidP="00C50589">
            <w:pPr>
              <w:jc w:val="right"/>
            </w:pPr>
            <w:r w:rsidRPr="00BC3946">
              <w:t>£29,317</w:t>
            </w:r>
          </w:p>
        </w:tc>
      </w:tr>
      <w:tr w:rsidR="00440CC1" w:rsidRPr="00BC3946" w14:paraId="14B7EC9D" w14:textId="77777777" w:rsidTr="00C50589">
        <w:tc>
          <w:tcPr>
            <w:tcW w:w="1502" w:type="dxa"/>
            <w:vMerge/>
          </w:tcPr>
          <w:p w14:paraId="7EC9ED98" w14:textId="77777777" w:rsidR="00440CC1" w:rsidRPr="00BC3946" w:rsidRDefault="00440CC1" w:rsidP="00C50589"/>
        </w:tc>
        <w:tc>
          <w:tcPr>
            <w:tcW w:w="750" w:type="dxa"/>
          </w:tcPr>
          <w:p w14:paraId="23ACCD3E" w14:textId="77777777" w:rsidR="00440CC1" w:rsidRPr="00BC3946" w:rsidRDefault="00440CC1" w:rsidP="00C50589">
            <w:r w:rsidRPr="00BC3946">
              <w:t>3</w:t>
            </w:r>
          </w:p>
        </w:tc>
        <w:tc>
          <w:tcPr>
            <w:tcW w:w="1965" w:type="dxa"/>
          </w:tcPr>
          <w:p w14:paraId="374A8217" w14:textId="77777777" w:rsidR="00440CC1" w:rsidRPr="00BC3946" w:rsidRDefault="00440CC1" w:rsidP="00C50589">
            <w:pPr>
              <w:jc w:val="right"/>
            </w:pPr>
            <w:r w:rsidRPr="00BC3946">
              <w:t>12,000</w:t>
            </w:r>
          </w:p>
        </w:tc>
        <w:tc>
          <w:tcPr>
            <w:tcW w:w="2415" w:type="dxa"/>
          </w:tcPr>
          <w:p w14:paraId="406D7988" w14:textId="77777777" w:rsidR="00440CC1" w:rsidRPr="00BC3946" w:rsidRDefault="00440CC1" w:rsidP="00C50589">
            <w:pPr>
              <w:jc w:val="right"/>
            </w:pPr>
            <w:r w:rsidRPr="00BC3946">
              <w:t>21,500</w:t>
            </w:r>
          </w:p>
        </w:tc>
        <w:tc>
          <w:tcPr>
            <w:tcW w:w="2345" w:type="dxa"/>
          </w:tcPr>
          <w:p w14:paraId="42DC33B1" w14:textId="77777777" w:rsidR="00440CC1" w:rsidRPr="00BC3946" w:rsidRDefault="00440CC1" w:rsidP="00C50589">
            <w:pPr>
              <w:jc w:val="right"/>
            </w:pPr>
            <w:r w:rsidRPr="00BC3946">
              <w:t>£74,288</w:t>
            </w:r>
          </w:p>
        </w:tc>
      </w:tr>
      <w:tr w:rsidR="00440CC1" w:rsidRPr="00BC3946" w14:paraId="7113B055" w14:textId="77777777" w:rsidTr="00C50589">
        <w:tc>
          <w:tcPr>
            <w:tcW w:w="1502" w:type="dxa"/>
            <w:vMerge/>
          </w:tcPr>
          <w:p w14:paraId="6EFCF84E" w14:textId="77777777" w:rsidR="00440CC1" w:rsidRPr="00BC3946" w:rsidRDefault="00440CC1" w:rsidP="00C50589"/>
        </w:tc>
        <w:tc>
          <w:tcPr>
            <w:tcW w:w="750" w:type="dxa"/>
          </w:tcPr>
          <w:p w14:paraId="79CECE28" w14:textId="77777777" w:rsidR="00440CC1" w:rsidRPr="00BC3946" w:rsidRDefault="00440CC1" w:rsidP="00C50589">
            <w:r w:rsidRPr="00BC3946">
              <w:t>4</w:t>
            </w:r>
          </w:p>
        </w:tc>
        <w:tc>
          <w:tcPr>
            <w:tcW w:w="1965" w:type="dxa"/>
          </w:tcPr>
          <w:p w14:paraId="0DC7BE42" w14:textId="77777777" w:rsidR="00440CC1" w:rsidRPr="00BC3946" w:rsidRDefault="00440CC1" w:rsidP="00C50589">
            <w:pPr>
              <w:jc w:val="right"/>
            </w:pPr>
            <w:r w:rsidRPr="00BC3946">
              <w:t>21,500</w:t>
            </w:r>
          </w:p>
        </w:tc>
        <w:tc>
          <w:tcPr>
            <w:tcW w:w="2415" w:type="dxa"/>
          </w:tcPr>
          <w:p w14:paraId="42DAA8D7" w14:textId="77777777" w:rsidR="00440CC1" w:rsidRPr="00BC3946" w:rsidRDefault="00440CC1" w:rsidP="00C50589">
            <w:pPr>
              <w:jc w:val="right"/>
            </w:pPr>
            <w:r w:rsidRPr="00BC3946">
              <w:t>∞</w:t>
            </w:r>
          </w:p>
        </w:tc>
        <w:tc>
          <w:tcPr>
            <w:tcW w:w="2345" w:type="dxa"/>
          </w:tcPr>
          <w:p w14:paraId="598C2927" w14:textId="77777777" w:rsidR="00440CC1" w:rsidRPr="00BC3946" w:rsidRDefault="00440CC1" w:rsidP="00C50589">
            <w:pPr>
              <w:jc w:val="right"/>
            </w:pPr>
            <w:r w:rsidRPr="00BC3946">
              <w:t>£236,760</w:t>
            </w:r>
          </w:p>
        </w:tc>
      </w:tr>
    </w:tbl>
    <w:p w14:paraId="1B608DB0" w14:textId="77777777" w:rsidR="00440CC1" w:rsidRDefault="00440CC1" w:rsidP="00440CC1">
      <w:pPr>
        <w:jc w:val="both"/>
      </w:pPr>
    </w:p>
    <w:p w14:paraId="6228667D" w14:textId="77777777" w:rsidR="00440CC1" w:rsidRDefault="00440CC1" w:rsidP="00440CC1">
      <w:r>
        <w:t xml:space="preserve">* </w:t>
      </w:r>
      <w:proofErr w:type="gramStart"/>
      <w:r>
        <w:t>sites</w:t>
      </w:r>
      <w:proofErr w:type="gramEnd"/>
      <w:r>
        <w:t xml:space="preserve"> are allocated where the MIC is greater than the lower threshold and less than or equal to the upper threshold</w:t>
      </w:r>
    </w:p>
    <w:p w14:paraId="42F0A32D" w14:textId="77777777" w:rsidR="00440CC1" w:rsidRDefault="00440CC1" w:rsidP="00367AA0">
      <w:pPr>
        <w:pStyle w:val="ListParagraph"/>
        <w:numPr>
          <w:ilvl w:val="1"/>
          <w:numId w:val="30"/>
        </w:numPr>
        <w:ind w:left="567" w:hanging="567"/>
        <w:jc w:val="both"/>
      </w:pPr>
      <w:r>
        <w:lastRenderedPageBreak/>
        <w:t>The site would therefore be allocated to band 1 and the customer’s fixed charge would include a residual component of around £5.9k.</w:t>
      </w:r>
    </w:p>
    <w:p w14:paraId="24B0C00E" w14:textId="77777777" w:rsidR="00440CC1" w:rsidRDefault="00440CC1" w:rsidP="00367AA0">
      <w:pPr>
        <w:pStyle w:val="ListParagraph"/>
        <w:numPr>
          <w:ilvl w:val="1"/>
          <w:numId w:val="30"/>
        </w:numPr>
        <w:ind w:left="567" w:hanging="567"/>
        <w:jc w:val="both"/>
      </w:pPr>
      <w:r>
        <w:t xml:space="preserve">In year two, the connection agreement would specify a MIC of 7,500kVA, therefore representing an increase in MIC of exactly 50% (compared to the previous MIC and therefore the MIC used to allocate the site to a band in this year). In isolation, the MIC in year two would warrant allocation to band 2 </w:t>
      </w:r>
      <w:proofErr w:type="gramStart"/>
      <w:r>
        <w:t>i.e.</w:t>
      </w:r>
      <w:proofErr w:type="gramEnd"/>
      <w:r>
        <w:t xml:space="preserve"> 7,500kVA is greater than 5,000kVA and less than or equal to 12,000kVA.</w:t>
      </w:r>
    </w:p>
    <w:p w14:paraId="2BC4903C" w14:textId="77777777" w:rsidR="00440CC1" w:rsidRDefault="00440CC1" w:rsidP="00367AA0">
      <w:pPr>
        <w:pStyle w:val="ListParagraph"/>
        <w:numPr>
          <w:ilvl w:val="1"/>
          <w:numId w:val="30"/>
        </w:numPr>
        <w:ind w:left="567" w:hanging="567"/>
        <w:jc w:val="both"/>
      </w:pPr>
      <w:r>
        <w:t>However, in accordance with Schedule 32, the site would not satisfy the criteria to be reallocated to a higher band as the increase is not greater than 50%. Even if it was, it is highly unlikely that the customer would request reallocation to a higher band and therefore pay more – therefore the onus is on the DNO/IDNO Party to proactively reallocate the site.</w:t>
      </w:r>
    </w:p>
    <w:p w14:paraId="2EDE1BA6" w14:textId="77777777" w:rsidR="00440CC1" w:rsidRDefault="00440CC1" w:rsidP="00367AA0">
      <w:pPr>
        <w:pStyle w:val="ListParagraph"/>
        <w:numPr>
          <w:ilvl w:val="1"/>
          <w:numId w:val="30"/>
        </w:numPr>
        <w:ind w:left="567" w:hanging="567"/>
        <w:jc w:val="both"/>
      </w:pPr>
      <w:r>
        <w:t>Therefore, the site would remain allocated in band 1 and continue to pay around £5.9k p.a. rather than around £29.3k p.a. (a saving of around £23.4k p.a., which other DUoS customers would cross-subsidise).</w:t>
      </w:r>
    </w:p>
    <w:p w14:paraId="19D77E95" w14:textId="77777777" w:rsidR="00440CC1" w:rsidRDefault="00440CC1" w:rsidP="00367AA0">
      <w:pPr>
        <w:pStyle w:val="ListParagraph"/>
        <w:numPr>
          <w:ilvl w:val="1"/>
          <w:numId w:val="30"/>
        </w:numPr>
        <w:ind w:left="567" w:hanging="567"/>
        <w:jc w:val="both"/>
      </w:pPr>
      <w:r>
        <w:t xml:space="preserve">In year three, the connection agreement would specify a MIC of 10,000kVA, therefore representing an increase in MIC of 33%, but an increase of 100% relative to the MIC used to allocate the site in year one. As the increase is greater than 50% compared to the MIC used to allocate the site, subject to satisfying undefined criteria for a change in ‘use’ or ‘configuration’ of site, the site would be eligible for reallocation to band </w:t>
      </w:r>
      <w:proofErr w:type="gramStart"/>
      <w:r>
        <w:t>2, and</w:t>
      </w:r>
      <w:proofErr w:type="gramEnd"/>
      <w:r>
        <w:t xml:space="preserve"> would therefore pay around £29.3k p.a.</w:t>
      </w:r>
    </w:p>
    <w:p w14:paraId="7B1FD458" w14:textId="77777777" w:rsidR="00440CC1" w:rsidRDefault="00440CC1" w:rsidP="00367AA0">
      <w:pPr>
        <w:pStyle w:val="ListParagraph"/>
        <w:numPr>
          <w:ilvl w:val="1"/>
          <w:numId w:val="30"/>
        </w:numPr>
        <w:ind w:left="567" w:hanging="567"/>
        <w:jc w:val="both"/>
      </w:pPr>
      <w:r>
        <w:t>However, if the sole use assets at the site have not changed, and the 2,500kVA increase is delivered by wider network reinforcement only, arguably there has been no change in site configuration.</w:t>
      </w:r>
    </w:p>
    <w:p w14:paraId="0F223958" w14:textId="77777777" w:rsidR="00440CC1" w:rsidRDefault="00440CC1" w:rsidP="00367AA0">
      <w:pPr>
        <w:pStyle w:val="ListParagraph"/>
        <w:numPr>
          <w:ilvl w:val="1"/>
          <w:numId w:val="30"/>
        </w:numPr>
        <w:ind w:left="567" w:hanging="567"/>
        <w:jc w:val="both"/>
      </w:pPr>
      <w:r>
        <w:t xml:space="preserve">Therefore, there is a risk that the site may still technically not satisfy the Schedule 32 exceptional circumstances criteria which would therefore not allow the DNO/IDNO Party to reallocate the site to a different band. Assuming the customer is producing more because of having a greater capacity available, the change in ‘use’ criteria could </w:t>
      </w:r>
      <w:proofErr w:type="gramStart"/>
      <w:r>
        <w:t>be considered to be</w:t>
      </w:r>
      <w:proofErr w:type="gramEnd"/>
      <w:r>
        <w:t xml:space="preserve"> applicable, if for example the site was recording a high measured maximum demand. However, a ‘change of use’ can be interpreted in different ways, is not straightforward to prove and therefore may be highly likely to be successfully disputed by the customer.</w:t>
      </w:r>
    </w:p>
    <w:p w14:paraId="2EFEA4BC" w14:textId="77777777" w:rsidR="00440CC1" w:rsidRDefault="00440CC1" w:rsidP="00367AA0">
      <w:pPr>
        <w:pStyle w:val="ListParagraph"/>
        <w:numPr>
          <w:ilvl w:val="1"/>
          <w:numId w:val="30"/>
        </w:numPr>
        <w:ind w:left="567" w:hanging="567"/>
        <w:jc w:val="both"/>
      </w:pPr>
      <w:r>
        <w:t xml:space="preserve">In this example, the </w:t>
      </w:r>
      <w:proofErr w:type="gramStart"/>
      <w:r>
        <w:t>worst case</w:t>
      </w:r>
      <w:proofErr w:type="gramEnd"/>
      <w:r>
        <w:t xml:space="preserve"> scenario is the customer would continue to pay a residual fixed charge of around £5.9k p.a., where if it was allocated based on 15,000kVA it would be in band 3 and therefore pay around £74.3k (a potential saving of around £68.4k p.a. for the customer, but which would be cross-subsidised by other customers).</w:t>
      </w:r>
    </w:p>
    <w:p w14:paraId="7A0289E0" w14:textId="77777777" w:rsidR="00440CC1" w:rsidRDefault="00440CC1" w:rsidP="00367AA0">
      <w:pPr>
        <w:pStyle w:val="ListParagraph"/>
        <w:numPr>
          <w:ilvl w:val="1"/>
          <w:numId w:val="30"/>
        </w:numPr>
        <w:ind w:left="567" w:hanging="567"/>
        <w:jc w:val="both"/>
      </w:pPr>
      <w:r>
        <w:t xml:space="preserve">The WG agreed that this should not be the policy intent, and therefore a change is needed to Schedule 32 to ensure that an appropriate methodology exists where a customer </w:t>
      </w:r>
      <w:proofErr w:type="gramStart"/>
      <w:r>
        <w:t>is connected with</w:t>
      </w:r>
      <w:proofErr w:type="gramEnd"/>
      <w:r>
        <w:t xml:space="preserve"> a phased capacity requirement.</w:t>
      </w:r>
    </w:p>
    <w:p w14:paraId="4E703E73" w14:textId="77777777" w:rsidR="00440CC1" w:rsidRPr="00BC3946" w:rsidRDefault="00440CC1" w:rsidP="00440CC1">
      <w:pPr>
        <w:rPr>
          <w:u w:val="single"/>
        </w:rPr>
      </w:pPr>
      <w:r w:rsidRPr="00BC3946">
        <w:rPr>
          <w:u w:val="single"/>
        </w:rPr>
        <w:t>Proposal</w:t>
      </w:r>
    </w:p>
    <w:p w14:paraId="4318A728" w14:textId="77777777" w:rsidR="00440CC1" w:rsidRPr="00BC3946" w:rsidRDefault="00440CC1" w:rsidP="00367AA0">
      <w:pPr>
        <w:pStyle w:val="ListParagraph"/>
        <w:numPr>
          <w:ilvl w:val="1"/>
          <w:numId w:val="30"/>
        </w:numPr>
        <w:ind w:left="567" w:hanging="567"/>
        <w:jc w:val="both"/>
      </w:pPr>
      <w:r w:rsidRPr="00BC3946">
        <w:t>The WG discussed the above scenario and considered options for avoiding distortions, including:</w:t>
      </w:r>
    </w:p>
    <w:p w14:paraId="23D17A28" w14:textId="77777777" w:rsidR="00440CC1" w:rsidRPr="000B08AC" w:rsidRDefault="00440CC1" w:rsidP="00367AA0">
      <w:pPr>
        <w:pStyle w:val="ListParagraph"/>
        <w:numPr>
          <w:ilvl w:val="0"/>
          <w:numId w:val="36"/>
        </w:numPr>
      </w:pPr>
      <w:r>
        <w:t>Allocating the site to a band based on the maximum MIC (</w:t>
      </w:r>
      <w:proofErr w:type="gramStart"/>
      <w:r>
        <w:t>i.e.</w:t>
      </w:r>
      <w:proofErr w:type="gramEnd"/>
      <w:r>
        <w:t xml:space="preserve"> the 15,000kVA in the example) - the WG agreed this would be unfair to the customer and create a different distortion where it was arguably cross-subsidising other customers;</w:t>
      </w:r>
    </w:p>
    <w:p w14:paraId="36481517" w14:textId="77777777" w:rsidR="00440CC1" w:rsidRPr="000B08AC" w:rsidRDefault="00440CC1" w:rsidP="00367AA0">
      <w:pPr>
        <w:pStyle w:val="ListParagraph"/>
        <w:numPr>
          <w:ilvl w:val="0"/>
          <w:numId w:val="36"/>
        </w:numPr>
      </w:pPr>
      <w:r>
        <w:t xml:space="preserve">Only considering the change in MIC between the years regardless of the MIC used to </w:t>
      </w:r>
      <w:proofErr w:type="gramStart"/>
      <w:r>
        <w:t>allocated</w:t>
      </w:r>
      <w:proofErr w:type="gramEnd"/>
      <w:r>
        <w:t xml:space="preserve"> the site – the WG agreed this is less likely to satisfy the materiality test of being greater than ±50%;</w:t>
      </w:r>
    </w:p>
    <w:p w14:paraId="065DF4EA" w14:textId="77777777" w:rsidR="00440CC1" w:rsidRPr="000B08AC" w:rsidRDefault="00440CC1" w:rsidP="00367AA0">
      <w:pPr>
        <w:pStyle w:val="ListParagraph"/>
        <w:numPr>
          <w:ilvl w:val="0"/>
          <w:numId w:val="36"/>
        </w:numPr>
      </w:pPr>
      <w:r>
        <w:t>Amending Schedule 32 to exempt sites with a phased capacity from being subject to the 50% materiality test; and</w:t>
      </w:r>
    </w:p>
    <w:p w14:paraId="5D897B84" w14:textId="77777777" w:rsidR="00440CC1" w:rsidRDefault="00440CC1" w:rsidP="00367AA0">
      <w:pPr>
        <w:pStyle w:val="ListParagraph"/>
        <w:numPr>
          <w:ilvl w:val="0"/>
          <w:numId w:val="36"/>
        </w:numPr>
      </w:pPr>
      <w:r>
        <w:lastRenderedPageBreak/>
        <w:t>Introducing a new criterion for sites with a phased capacity where a change in ‘use’ or ‘configuration’, and therefore any applicable materiality test, are disregarded.</w:t>
      </w:r>
    </w:p>
    <w:p w14:paraId="7E544DDE" w14:textId="77777777" w:rsidR="00440CC1" w:rsidRDefault="00440CC1" w:rsidP="00367AA0">
      <w:pPr>
        <w:pStyle w:val="ListParagraph"/>
        <w:numPr>
          <w:ilvl w:val="1"/>
          <w:numId w:val="30"/>
        </w:numPr>
        <w:ind w:left="567" w:hanging="567"/>
        <w:jc w:val="both"/>
      </w:pPr>
      <w:r>
        <w:t>The WG agreed to proceed to consultation based on option 4, such that the DNO/IDNO Party could reallocate the site once the MIC has changed, as such the DNO/IDNO Party would assess which band the site should be allocated to relative to the MIC as each phase regardless of how much it had changed.</w:t>
      </w:r>
    </w:p>
    <w:p w14:paraId="033C3277" w14:textId="77777777" w:rsidR="00440CC1" w:rsidRDefault="00440CC1" w:rsidP="00367AA0">
      <w:pPr>
        <w:pStyle w:val="ListParagraph"/>
        <w:numPr>
          <w:ilvl w:val="1"/>
          <w:numId w:val="30"/>
        </w:numPr>
        <w:ind w:left="567" w:hanging="567"/>
        <w:jc w:val="both"/>
      </w:pPr>
      <w:r>
        <w:t xml:space="preserve">This revised methodology allows a customer with a phased capacity requirement to be charged based on the full capacity when it is </w:t>
      </w:r>
      <w:proofErr w:type="gramStart"/>
      <w:r>
        <w:t>available, and</w:t>
      </w:r>
      <w:proofErr w:type="gramEnd"/>
      <w:r>
        <w:t xml:space="preserve"> avoids it paying less than a customer that does not seek a phased capacity requirement for a MIC equivalent to any of the phased milestones where one does have a phased capacity requirement. For example, based on the example above, if a new site connected with a MIC of 10,000kVA at the same time the customer in the example increased </w:t>
      </w:r>
      <w:proofErr w:type="spellStart"/>
      <w:r>
        <w:t>it’s</w:t>
      </w:r>
      <w:proofErr w:type="spellEnd"/>
      <w:r>
        <w:t xml:space="preserve"> MIC to 10,000kVA, both would be allocated to the same band. The proposed methodology will ensure an equitable treatment of customers regardless of phasing and ultimately seeks to avoid gaming opportunities and protect DUoS customers from paying more than they need to.</w:t>
      </w:r>
    </w:p>
    <w:p w14:paraId="3768B99A" w14:textId="77777777" w:rsidR="00440CC1" w:rsidRDefault="00440CC1" w:rsidP="00440CC1">
      <w:pPr>
        <w:rPr>
          <w:u w:val="single"/>
        </w:rPr>
      </w:pPr>
      <w:r w:rsidRPr="00BC3946">
        <w:rPr>
          <w:u w:val="single"/>
        </w:rPr>
        <w:t>Legal text changes</w:t>
      </w:r>
    </w:p>
    <w:p w14:paraId="47A50F88" w14:textId="77777777" w:rsidR="00440CC1" w:rsidRPr="00205992" w:rsidRDefault="00440CC1" w:rsidP="00367AA0">
      <w:pPr>
        <w:pStyle w:val="ListParagraph"/>
        <w:numPr>
          <w:ilvl w:val="1"/>
          <w:numId w:val="30"/>
        </w:numPr>
        <w:ind w:left="567" w:hanging="567"/>
        <w:jc w:val="both"/>
      </w:pPr>
      <w:r w:rsidRPr="00205992">
        <w:t>Attachment 3 is a marked-up version of Schedule 32, where the WG proposed three minor amendments:</w:t>
      </w:r>
    </w:p>
    <w:p w14:paraId="2251A2EF" w14:textId="77777777" w:rsidR="00440CC1" w:rsidRPr="000B08AC" w:rsidRDefault="00440CC1" w:rsidP="00367AA0">
      <w:pPr>
        <w:pStyle w:val="ListParagraph"/>
        <w:numPr>
          <w:ilvl w:val="0"/>
          <w:numId w:val="37"/>
        </w:numPr>
      </w:pPr>
      <w:r>
        <w:t>Insert limb (d) in Paragraph 6.1: “or, the Final Demand Site is a Phased Capacity Site.</w:t>
      </w:r>
      <w:proofErr w:type="gramStart"/>
      <w:r>
        <w:t>”;</w:t>
      </w:r>
      <w:proofErr w:type="gramEnd"/>
    </w:p>
    <w:p w14:paraId="30E46C17" w14:textId="77777777" w:rsidR="00440CC1" w:rsidRPr="000B08AC" w:rsidRDefault="00440CC1" w:rsidP="00367AA0">
      <w:pPr>
        <w:pStyle w:val="ListParagraph"/>
        <w:numPr>
          <w:ilvl w:val="0"/>
          <w:numId w:val="37"/>
        </w:numPr>
      </w:pPr>
      <w:r>
        <w:t>Insert Paragraph 6.5: “Where Paragraph 6.1(d) applies the DNO/IDNO Party shall allocate the Final Demand Site pursuant to Paragraph 4.1.”; and</w:t>
      </w:r>
    </w:p>
    <w:p w14:paraId="461369D9" w14:textId="77777777" w:rsidR="00440CC1" w:rsidRPr="000B08AC" w:rsidRDefault="00440CC1" w:rsidP="00367AA0">
      <w:pPr>
        <w:pStyle w:val="ListParagraph"/>
        <w:numPr>
          <w:ilvl w:val="0"/>
          <w:numId w:val="37"/>
        </w:numPr>
      </w:pPr>
      <w:r>
        <w:t xml:space="preserve">Insert the definition of Phased Capacity Site into Paragraph 8.2: “means a Final Demand Site whose Maximum Import Capacity has changed in line with a development phase as agreed with the DNO/IDNO Party.” </w:t>
      </w:r>
    </w:p>
    <w:p w14:paraId="04DDE514" w14:textId="77777777" w:rsidR="00440CC1" w:rsidRPr="007B6511" w:rsidRDefault="00440CC1" w:rsidP="00440CC1">
      <w:pPr>
        <w:rPr>
          <w:b/>
          <w:bCs/>
        </w:rPr>
      </w:pPr>
      <w:r w:rsidRPr="00143359">
        <w:rPr>
          <w:b/>
          <w:bCs/>
        </w:rPr>
        <w:t xml:space="preserve">Overall </w:t>
      </w:r>
    </w:p>
    <w:p w14:paraId="4FA9EA2F" w14:textId="77777777" w:rsidR="00440CC1" w:rsidRDefault="00440CC1" w:rsidP="00367AA0">
      <w:pPr>
        <w:pStyle w:val="ListParagraph"/>
        <w:numPr>
          <w:ilvl w:val="1"/>
          <w:numId w:val="30"/>
        </w:numPr>
        <w:ind w:left="567" w:hanging="567"/>
        <w:jc w:val="both"/>
      </w:pPr>
      <w:r w:rsidRPr="007B6511">
        <w:t xml:space="preserve">The WG considered four key areas when developing this </w:t>
      </w:r>
      <w:proofErr w:type="gramStart"/>
      <w:r w:rsidRPr="007B6511">
        <w:t>solution;</w:t>
      </w:r>
      <w:proofErr w:type="gramEnd"/>
      <w:r w:rsidRPr="007B6511">
        <w:t xml:space="preserve"> identification of and quantifying the selected criteria, capacity ramping, methodology and scoring, and minor changes to Schedule 32 ‘Residual Charging Bands’. </w:t>
      </w:r>
    </w:p>
    <w:p w14:paraId="2D95E52A" w14:textId="77777777" w:rsidR="00B47BEB" w:rsidRPr="001660EF" w:rsidRDefault="00B47BEB" w:rsidP="00B47BEB">
      <w:pPr>
        <w:pStyle w:val="NoSpacing"/>
        <w:rPr>
          <w:sz w:val="4"/>
          <w:szCs w:val="8"/>
        </w:rPr>
      </w:pPr>
    </w:p>
    <w:bookmarkEnd w:id="20"/>
    <w:bookmarkEnd w:id="21"/>
    <w:bookmarkEnd w:id="22"/>
    <w:p w14:paraId="0A5C71DD" w14:textId="3837004D" w:rsidR="00AF7BAC" w:rsidRPr="001E7B09" w:rsidRDefault="00AF7BAC" w:rsidP="004726B8">
      <w:pPr>
        <w:pStyle w:val="Heading03"/>
      </w:pPr>
      <w:r w:rsidRPr="001E7B09">
        <w:t>Summary</w:t>
      </w:r>
      <w:r w:rsidR="00B7388B">
        <w:t xml:space="preserve"> </w:t>
      </w:r>
      <w:r w:rsidRPr="001E7B09">
        <w:t>of</w:t>
      </w:r>
      <w:r w:rsidR="00B7388B">
        <w:t xml:space="preserve"> </w:t>
      </w:r>
      <w:r w:rsidRPr="001E7B09">
        <w:t>Consultation</w:t>
      </w:r>
      <w:r w:rsidR="00B7388B">
        <w:t xml:space="preserve"> </w:t>
      </w:r>
      <w:r w:rsidRPr="001E7B09">
        <w:t>and</w:t>
      </w:r>
      <w:r w:rsidR="00B7388B">
        <w:t xml:space="preserve"> </w:t>
      </w:r>
      <w:r w:rsidRPr="001E7B09">
        <w:t>Responses</w:t>
      </w:r>
      <w:bookmarkEnd w:id="23"/>
      <w:bookmarkEnd w:id="24"/>
      <w:bookmarkEnd w:id="25"/>
      <w:bookmarkEnd w:id="26"/>
    </w:p>
    <w:p w14:paraId="1788D3F9" w14:textId="091419F2" w:rsidR="00AF7BAC" w:rsidRPr="00E913E3" w:rsidRDefault="00AF7BAC" w:rsidP="00AF7BAC">
      <w:pPr>
        <w:pStyle w:val="Heading4"/>
      </w:pPr>
      <w:r w:rsidRPr="00E913E3">
        <w:t>Summary</w:t>
      </w:r>
      <w:r w:rsidR="00B7388B">
        <w:t xml:space="preserve"> </w:t>
      </w:r>
      <w:r w:rsidRPr="00E913E3">
        <w:t>of</w:t>
      </w:r>
      <w:r w:rsidR="00B7388B">
        <w:t xml:space="preserve"> </w:t>
      </w:r>
      <w:r w:rsidRPr="00E913E3">
        <w:t>responses</w:t>
      </w:r>
      <w:r w:rsidR="00B7388B">
        <w:t xml:space="preserve"> </w:t>
      </w:r>
      <w:r w:rsidRPr="00E913E3">
        <w:t>to</w:t>
      </w:r>
      <w:r w:rsidR="00B7388B">
        <w:t xml:space="preserve"> </w:t>
      </w:r>
      <w:r w:rsidRPr="00E913E3">
        <w:t>the</w:t>
      </w:r>
      <w:r w:rsidR="00B7388B">
        <w:t xml:space="preserve"> </w:t>
      </w:r>
      <w:r w:rsidRPr="00E913E3">
        <w:t>DCP</w:t>
      </w:r>
      <w:r w:rsidR="00B7388B">
        <w:t xml:space="preserve"> </w:t>
      </w:r>
      <w:r w:rsidR="002177E6">
        <w:t>40</w:t>
      </w:r>
      <w:r w:rsidR="007637CA">
        <w:t>7</w:t>
      </w:r>
      <w:r w:rsidR="00B7388B">
        <w:t xml:space="preserve"> </w:t>
      </w:r>
      <w:r w:rsidRPr="00E913E3">
        <w:t>Consultation</w:t>
      </w:r>
      <w:r w:rsidR="00B7388B">
        <w:t xml:space="preserve"> </w:t>
      </w:r>
    </w:p>
    <w:p w14:paraId="7738C322" w14:textId="5F44E491" w:rsidR="00AF7BAC" w:rsidRDefault="00AF7BAC" w:rsidP="00C6242C">
      <w:pPr>
        <w:pStyle w:val="Heading2"/>
      </w:pPr>
      <w:r>
        <w:t>The</w:t>
      </w:r>
      <w:r w:rsidR="00B7388B">
        <w:t xml:space="preserve"> </w:t>
      </w:r>
      <w:r>
        <w:t>DCP</w:t>
      </w:r>
      <w:r w:rsidR="00B7388B">
        <w:t xml:space="preserve"> </w:t>
      </w:r>
      <w:r w:rsidR="004529F1">
        <w:t>40</w:t>
      </w:r>
      <w:r w:rsidR="007637CA">
        <w:t>7</w:t>
      </w:r>
      <w:r w:rsidR="00B7388B">
        <w:t xml:space="preserve"> </w:t>
      </w:r>
      <w:r>
        <w:t>Working</w:t>
      </w:r>
      <w:r w:rsidR="00B7388B">
        <w:t xml:space="preserve"> </w:t>
      </w:r>
      <w:r>
        <w:t>Group</w:t>
      </w:r>
      <w:r w:rsidR="00B7388B">
        <w:t xml:space="preserve"> </w:t>
      </w:r>
      <w:r>
        <w:t>issued</w:t>
      </w:r>
      <w:r w:rsidR="00B7388B">
        <w:t xml:space="preserve"> </w:t>
      </w:r>
      <w:r>
        <w:t>a</w:t>
      </w:r>
      <w:r w:rsidR="00B7388B">
        <w:t xml:space="preserve"> </w:t>
      </w:r>
      <w:r>
        <w:t>consultation</w:t>
      </w:r>
      <w:r w:rsidR="00B7388B">
        <w:t xml:space="preserve"> </w:t>
      </w:r>
      <w:r>
        <w:t>on</w:t>
      </w:r>
      <w:r w:rsidR="00B7388B">
        <w:t xml:space="preserve"> </w:t>
      </w:r>
      <w:r w:rsidR="00E31FE4">
        <w:rPr>
          <w:szCs w:val="20"/>
        </w:rPr>
        <w:t>1</w:t>
      </w:r>
      <w:r w:rsidR="004529F1">
        <w:rPr>
          <w:szCs w:val="20"/>
        </w:rPr>
        <w:t>2</w:t>
      </w:r>
      <w:r w:rsidR="00B7388B">
        <w:rPr>
          <w:szCs w:val="20"/>
        </w:rPr>
        <w:t xml:space="preserve"> </w:t>
      </w:r>
      <w:r w:rsidR="004529F1">
        <w:rPr>
          <w:szCs w:val="20"/>
        </w:rPr>
        <w:t>August</w:t>
      </w:r>
      <w:r w:rsidR="00B7388B">
        <w:rPr>
          <w:szCs w:val="20"/>
        </w:rPr>
        <w:t xml:space="preserve"> </w:t>
      </w:r>
      <w:r w:rsidR="00E31FE4">
        <w:rPr>
          <w:szCs w:val="20"/>
        </w:rPr>
        <w:t>202</w:t>
      </w:r>
      <w:r w:rsidR="004529F1">
        <w:rPr>
          <w:szCs w:val="20"/>
        </w:rPr>
        <w:t>2</w:t>
      </w:r>
      <w:r w:rsidR="00B7388B">
        <w:t xml:space="preserve"> </w:t>
      </w:r>
      <w:r>
        <w:t>which</w:t>
      </w:r>
      <w:r w:rsidR="00B7388B">
        <w:t xml:space="preserve"> </w:t>
      </w:r>
      <w:r>
        <w:t>sought</w:t>
      </w:r>
      <w:r w:rsidR="00B7388B">
        <w:t xml:space="preserve"> </w:t>
      </w:r>
      <w:r>
        <w:t>views</w:t>
      </w:r>
      <w:r w:rsidR="00B7388B">
        <w:t xml:space="preserve"> </w:t>
      </w:r>
      <w:r>
        <w:t>from</w:t>
      </w:r>
      <w:r w:rsidR="00B7388B">
        <w:t xml:space="preserve"> </w:t>
      </w:r>
      <w:r>
        <w:t>industry</w:t>
      </w:r>
      <w:r w:rsidR="00B7388B">
        <w:t xml:space="preserve"> </w:t>
      </w:r>
      <w:r>
        <w:t>on</w:t>
      </w:r>
      <w:r w:rsidR="00B7388B">
        <w:t xml:space="preserve"> </w:t>
      </w:r>
      <w:r>
        <w:t>the</w:t>
      </w:r>
      <w:r w:rsidR="00B7388B">
        <w:t xml:space="preserve"> </w:t>
      </w:r>
      <w:r>
        <w:t>proposed</w:t>
      </w:r>
      <w:r w:rsidR="00B7388B">
        <w:t xml:space="preserve"> </w:t>
      </w:r>
      <w:r>
        <w:t>solution</w:t>
      </w:r>
      <w:r w:rsidR="00B7388B">
        <w:t xml:space="preserve"> </w:t>
      </w:r>
      <w:r>
        <w:t>and</w:t>
      </w:r>
      <w:r w:rsidR="00B7388B">
        <w:t xml:space="preserve"> </w:t>
      </w:r>
      <w:r>
        <w:t>legal</w:t>
      </w:r>
      <w:r w:rsidR="00B7388B">
        <w:t xml:space="preserve"> </w:t>
      </w:r>
      <w:r>
        <w:t>text</w:t>
      </w:r>
      <w:r w:rsidR="00B7388B">
        <w:t xml:space="preserve"> </w:t>
      </w:r>
      <w:r>
        <w:t>for</w:t>
      </w:r>
      <w:r w:rsidR="00B7388B">
        <w:t xml:space="preserve"> </w:t>
      </w:r>
      <w:r>
        <w:t>DCP</w:t>
      </w:r>
      <w:r w:rsidR="00B7388B">
        <w:t xml:space="preserve"> </w:t>
      </w:r>
      <w:r w:rsidR="00317F68">
        <w:t>40</w:t>
      </w:r>
      <w:r w:rsidR="007637CA">
        <w:t>7</w:t>
      </w:r>
      <w:r w:rsidR="00B15C07">
        <w:t>.</w:t>
      </w:r>
    </w:p>
    <w:p w14:paraId="1DADD04A" w14:textId="04CBBBCB" w:rsidR="00AF7BAC" w:rsidRDefault="00AF7BAC" w:rsidP="00C6242C">
      <w:pPr>
        <w:pStyle w:val="Heading2"/>
      </w:pPr>
      <w:r w:rsidRPr="00803E49">
        <w:t>There</w:t>
      </w:r>
      <w:r w:rsidR="00B7388B">
        <w:t xml:space="preserve"> </w:t>
      </w:r>
      <w:r w:rsidRPr="006F7871">
        <w:t>were</w:t>
      </w:r>
      <w:r w:rsidR="00B7388B">
        <w:t xml:space="preserve"> </w:t>
      </w:r>
      <w:r w:rsidR="00B15C07" w:rsidRPr="00B15C07">
        <w:rPr>
          <w:color w:val="FF0000"/>
        </w:rPr>
        <w:t>XX</w:t>
      </w:r>
      <w:r w:rsidR="00B7388B">
        <w:t xml:space="preserve"> </w:t>
      </w:r>
      <w:r w:rsidRPr="00803E49">
        <w:t>respondents</w:t>
      </w:r>
      <w:r w:rsidR="00B7388B">
        <w:t xml:space="preserve"> </w:t>
      </w:r>
      <w:r w:rsidRPr="00803E49">
        <w:t>to</w:t>
      </w:r>
      <w:r w:rsidR="00B7388B">
        <w:t xml:space="preserve"> </w:t>
      </w:r>
      <w:r w:rsidRPr="00803E49">
        <w:t>the</w:t>
      </w:r>
      <w:r w:rsidR="00B7388B">
        <w:t xml:space="preserve"> </w:t>
      </w:r>
      <w:r w:rsidRPr="00803E49">
        <w:t>consultation</w:t>
      </w:r>
      <w:r w:rsidR="00B7388B">
        <w:t xml:space="preserve"> </w:t>
      </w:r>
      <w:r w:rsidRPr="00803E49">
        <w:t>co</w:t>
      </w:r>
      <w:r>
        <w:t>mprising</w:t>
      </w:r>
      <w:r w:rsidR="00B7388B">
        <w:t xml:space="preserve"> </w:t>
      </w:r>
      <w:r w:rsidRPr="00F43434">
        <w:t>of</w:t>
      </w:r>
      <w:r w:rsidR="00B7388B">
        <w:t xml:space="preserve"> </w:t>
      </w:r>
      <w:r w:rsidRPr="00AE111E">
        <w:rPr>
          <w:color w:val="FF0000"/>
        </w:rPr>
        <w:t>DNOs,</w:t>
      </w:r>
      <w:r w:rsidR="00B7388B" w:rsidRPr="00AE111E">
        <w:rPr>
          <w:color w:val="FF0000"/>
        </w:rPr>
        <w:t xml:space="preserve"> </w:t>
      </w:r>
      <w:r w:rsidRPr="00AE111E">
        <w:rPr>
          <w:color w:val="FF0000"/>
        </w:rPr>
        <w:t>IDNOs,</w:t>
      </w:r>
      <w:r w:rsidR="00B7388B" w:rsidRPr="00AE111E">
        <w:rPr>
          <w:color w:val="FF0000"/>
        </w:rPr>
        <w:t xml:space="preserve"> </w:t>
      </w:r>
      <w:r w:rsidRPr="00AE111E">
        <w:rPr>
          <w:color w:val="FF0000"/>
        </w:rPr>
        <w:t>Suppliers,</w:t>
      </w:r>
      <w:r w:rsidR="00B7388B" w:rsidRPr="00AE111E">
        <w:rPr>
          <w:color w:val="FF0000"/>
        </w:rPr>
        <w:t xml:space="preserve"> </w:t>
      </w:r>
      <w:r w:rsidRPr="00AE111E">
        <w:rPr>
          <w:color w:val="FF0000"/>
        </w:rPr>
        <w:t>Generators,</w:t>
      </w:r>
      <w:r w:rsidR="00B7388B" w:rsidRPr="00AE111E">
        <w:rPr>
          <w:color w:val="FF0000"/>
        </w:rPr>
        <w:t xml:space="preserve"> </w:t>
      </w:r>
      <w:r w:rsidRPr="00AE111E">
        <w:rPr>
          <w:color w:val="FF0000"/>
        </w:rPr>
        <w:t>NGESO</w:t>
      </w:r>
      <w:r w:rsidR="00B7388B" w:rsidRPr="00AE111E">
        <w:rPr>
          <w:color w:val="FF0000"/>
        </w:rPr>
        <w:t xml:space="preserve"> </w:t>
      </w:r>
      <w:r w:rsidRPr="00AE111E">
        <w:rPr>
          <w:color w:val="FF0000"/>
        </w:rPr>
        <w:t>and</w:t>
      </w:r>
      <w:r w:rsidR="00B7388B" w:rsidRPr="00AE111E">
        <w:rPr>
          <w:color w:val="FF0000"/>
        </w:rPr>
        <w:t xml:space="preserve"> </w:t>
      </w:r>
      <w:r w:rsidRPr="00AE111E">
        <w:rPr>
          <w:color w:val="FF0000"/>
        </w:rPr>
        <w:t>other</w:t>
      </w:r>
      <w:r w:rsidR="00B7388B" w:rsidRPr="00AE111E">
        <w:rPr>
          <w:color w:val="FF0000"/>
        </w:rPr>
        <w:t xml:space="preserve"> </w:t>
      </w:r>
      <w:r w:rsidRPr="00AE111E">
        <w:rPr>
          <w:color w:val="FF0000"/>
        </w:rPr>
        <w:t>interested</w:t>
      </w:r>
      <w:r w:rsidR="00B7388B" w:rsidRPr="00AE111E">
        <w:rPr>
          <w:color w:val="FF0000"/>
        </w:rPr>
        <w:t xml:space="preserve"> </w:t>
      </w:r>
      <w:r w:rsidRPr="00AE111E">
        <w:rPr>
          <w:color w:val="FF0000"/>
        </w:rPr>
        <w:t>parties</w:t>
      </w:r>
      <w:r w:rsidRPr="00803E49">
        <w:t>.</w:t>
      </w:r>
      <w:r w:rsidR="00B7388B">
        <w:t xml:space="preserve"> </w:t>
      </w:r>
      <w:r>
        <w:t>Set</w:t>
      </w:r>
      <w:r w:rsidR="00B7388B">
        <w:t xml:space="preserve"> </w:t>
      </w:r>
      <w:r>
        <w:t>out</w:t>
      </w:r>
      <w:r w:rsidR="00B7388B">
        <w:t xml:space="preserve"> </w:t>
      </w:r>
      <w:r>
        <w:t>below</w:t>
      </w:r>
      <w:r w:rsidR="00B7388B">
        <w:t xml:space="preserve"> </w:t>
      </w:r>
      <w:r>
        <w:t>are</w:t>
      </w:r>
      <w:r w:rsidR="00B7388B">
        <w:t xml:space="preserve"> </w:t>
      </w:r>
      <w:r>
        <w:t>the</w:t>
      </w:r>
      <w:r w:rsidR="00B7388B">
        <w:t xml:space="preserve"> </w:t>
      </w:r>
      <w:r>
        <w:t>questions</w:t>
      </w:r>
      <w:r w:rsidR="00B7388B">
        <w:t xml:space="preserve"> </w:t>
      </w:r>
      <w:r>
        <w:t>that</w:t>
      </w:r>
      <w:r w:rsidR="00B7388B">
        <w:t xml:space="preserve"> </w:t>
      </w:r>
      <w:r>
        <w:t>the</w:t>
      </w:r>
      <w:r w:rsidR="00B7388B">
        <w:t xml:space="preserve"> </w:t>
      </w:r>
      <w:r>
        <w:t>Working</w:t>
      </w:r>
      <w:r w:rsidR="00B7388B">
        <w:t xml:space="preserve"> </w:t>
      </w:r>
      <w:r>
        <w:t>Group</w:t>
      </w:r>
      <w:r w:rsidR="00B7388B">
        <w:t xml:space="preserve"> </w:t>
      </w:r>
      <w:r>
        <w:t>sought</w:t>
      </w:r>
      <w:r w:rsidR="00B7388B">
        <w:t xml:space="preserve"> </w:t>
      </w:r>
      <w:r>
        <w:t>views</w:t>
      </w:r>
      <w:r w:rsidR="00B7388B">
        <w:t xml:space="preserve"> </w:t>
      </w:r>
      <w:r>
        <w:t>on,</w:t>
      </w:r>
      <w:r w:rsidR="00B7388B">
        <w:t xml:space="preserve"> </w:t>
      </w:r>
      <w:r>
        <w:t>and</w:t>
      </w:r>
      <w:r w:rsidR="00B7388B">
        <w:t xml:space="preserve"> </w:t>
      </w:r>
      <w:r>
        <w:t>a</w:t>
      </w:r>
      <w:r w:rsidR="00B7388B">
        <w:t xml:space="preserve"> </w:t>
      </w:r>
      <w:r>
        <w:t>summary</w:t>
      </w:r>
      <w:r w:rsidR="00B7388B">
        <w:t xml:space="preserve"> </w:t>
      </w:r>
      <w:r>
        <w:t>of</w:t>
      </w:r>
      <w:r w:rsidR="00B7388B">
        <w:t xml:space="preserve"> </w:t>
      </w:r>
      <w:r>
        <w:t>the</w:t>
      </w:r>
      <w:r w:rsidR="00B7388B">
        <w:t xml:space="preserve"> </w:t>
      </w:r>
      <w:r>
        <w:t>responses</w:t>
      </w:r>
      <w:r w:rsidR="00B7388B">
        <w:t xml:space="preserve"> </w:t>
      </w:r>
      <w:r>
        <w:t>received.</w:t>
      </w:r>
      <w:r w:rsidR="00B7388B">
        <w:t xml:space="preserve"> </w:t>
      </w:r>
      <w:r>
        <w:t>A</w:t>
      </w:r>
      <w:r w:rsidR="00B7388B">
        <w:t xml:space="preserve"> </w:t>
      </w:r>
      <w:r>
        <w:t>copy</w:t>
      </w:r>
      <w:r w:rsidR="00B7388B">
        <w:t xml:space="preserve"> </w:t>
      </w:r>
      <w:r>
        <w:t>of</w:t>
      </w:r>
      <w:r w:rsidR="00B7388B">
        <w:t xml:space="preserve"> </w:t>
      </w:r>
      <w:r>
        <w:t>the</w:t>
      </w:r>
      <w:r w:rsidR="00B7388B">
        <w:t xml:space="preserve"> </w:t>
      </w:r>
      <w:r>
        <w:t>consultation</w:t>
      </w:r>
      <w:r w:rsidR="00B7388B">
        <w:t xml:space="preserve"> </w:t>
      </w:r>
      <w:r>
        <w:t>document</w:t>
      </w:r>
      <w:r w:rsidR="00B7388B">
        <w:t xml:space="preserve"> </w:t>
      </w:r>
      <w:r>
        <w:t>alongside</w:t>
      </w:r>
      <w:r w:rsidR="00B7388B">
        <w:t xml:space="preserve"> </w:t>
      </w:r>
      <w:r>
        <w:t>the</w:t>
      </w:r>
      <w:r w:rsidR="00B7388B">
        <w:t xml:space="preserve"> </w:t>
      </w:r>
      <w:r>
        <w:t>Party</w:t>
      </w:r>
      <w:r w:rsidR="00B7388B">
        <w:t xml:space="preserve"> </w:t>
      </w:r>
      <w:r>
        <w:t>responses</w:t>
      </w:r>
      <w:r w:rsidR="00B7388B">
        <w:t xml:space="preserve"> </w:t>
      </w:r>
      <w:r>
        <w:t>and</w:t>
      </w:r>
      <w:r w:rsidR="00B7388B">
        <w:t xml:space="preserve"> </w:t>
      </w:r>
      <w:r>
        <w:t>Working</w:t>
      </w:r>
      <w:r w:rsidR="00B7388B">
        <w:t xml:space="preserve"> </w:t>
      </w:r>
      <w:r>
        <w:t>Group</w:t>
      </w:r>
      <w:r w:rsidR="00B7388B">
        <w:t xml:space="preserve"> </w:t>
      </w:r>
      <w:r>
        <w:t>conclusions</w:t>
      </w:r>
      <w:r w:rsidR="00B7388B">
        <w:t xml:space="preserve"> </w:t>
      </w:r>
      <w:r>
        <w:t>can</w:t>
      </w:r>
      <w:r w:rsidR="00B7388B">
        <w:t xml:space="preserve"> </w:t>
      </w:r>
      <w:r>
        <w:t>be</w:t>
      </w:r>
      <w:r w:rsidR="00B7388B">
        <w:t xml:space="preserve"> </w:t>
      </w:r>
      <w:r>
        <w:t>found</w:t>
      </w:r>
      <w:r w:rsidR="00B7388B">
        <w:t xml:space="preserve"> </w:t>
      </w:r>
      <w:r>
        <w:t>as</w:t>
      </w:r>
      <w:r w:rsidR="00B7388B">
        <w:t xml:space="preserve"> </w:t>
      </w:r>
      <w:r>
        <w:t>Attachment</w:t>
      </w:r>
      <w:r w:rsidR="00B7388B">
        <w:t xml:space="preserve"> </w:t>
      </w:r>
      <w:r w:rsidR="00C84527">
        <w:t>3</w:t>
      </w:r>
      <w:r>
        <w:t>.</w:t>
      </w:r>
    </w:p>
    <w:p w14:paraId="448661AC" w14:textId="60D0C211" w:rsidR="000818B5" w:rsidRDefault="000818B5" w:rsidP="000818B5">
      <w:pPr>
        <w:pStyle w:val="Question"/>
        <w:ind w:left="1439" w:hanging="1155"/>
      </w:pPr>
      <w:r w:rsidRPr="00F50C99">
        <w:t>Question</w:t>
      </w:r>
      <w:r>
        <w:t xml:space="preserve"> 1</w:t>
      </w:r>
      <w:r>
        <w:tab/>
      </w:r>
      <w:r w:rsidRPr="00190E90">
        <w:t xml:space="preserve">Do you understand the intent of </w:t>
      </w:r>
      <w:r>
        <w:t>D</w:t>
      </w:r>
      <w:r w:rsidRPr="00190E90">
        <w:t>CP</w:t>
      </w:r>
      <w:r>
        <w:t xml:space="preserve"> 40</w:t>
      </w:r>
      <w:r w:rsidR="007637CA">
        <w:t>7</w:t>
      </w:r>
      <w:r w:rsidRPr="00190E90">
        <w:t>?</w:t>
      </w:r>
    </w:p>
    <w:p w14:paraId="489D9C08" w14:textId="69932746" w:rsidR="001E7B09" w:rsidRPr="001E7B09" w:rsidRDefault="001E7B09" w:rsidP="00C6242C">
      <w:pPr>
        <w:pStyle w:val="Heading2"/>
      </w:pPr>
      <w:r w:rsidRPr="001E7B09">
        <w:t>The</w:t>
      </w:r>
      <w:r w:rsidR="00B7388B">
        <w:t xml:space="preserve"> </w:t>
      </w:r>
      <w:r w:rsidRPr="001E7B09">
        <w:t>Working</w:t>
      </w:r>
      <w:r w:rsidR="00B7388B">
        <w:t xml:space="preserve"> </w:t>
      </w:r>
      <w:r w:rsidRPr="001E7B09">
        <w:t>Group</w:t>
      </w:r>
      <w:r w:rsidR="00B7388B">
        <w:t xml:space="preserve"> </w:t>
      </w:r>
      <w:r w:rsidRPr="001E7B09">
        <w:t>noted</w:t>
      </w:r>
      <w:r w:rsidR="00B7388B">
        <w:t xml:space="preserve"> </w:t>
      </w:r>
      <w:r w:rsidRPr="001E7B09">
        <w:t>that</w:t>
      </w:r>
      <w:r w:rsidR="00B7388B">
        <w:t xml:space="preserve"> </w:t>
      </w:r>
      <w:r w:rsidRPr="001E7B09">
        <w:t>all</w:t>
      </w:r>
      <w:r w:rsidR="00B7388B">
        <w:t xml:space="preserve"> </w:t>
      </w:r>
      <w:r w:rsidRPr="001E7B09">
        <w:t>respondents</w:t>
      </w:r>
      <w:r w:rsidR="00B7388B">
        <w:t xml:space="preserve"> </w:t>
      </w:r>
      <w:r w:rsidRPr="001E7B09">
        <w:t>to</w:t>
      </w:r>
      <w:r w:rsidR="00B7388B">
        <w:t xml:space="preserve"> </w:t>
      </w:r>
      <w:r w:rsidRPr="001E7B09">
        <w:t>the</w:t>
      </w:r>
      <w:r w:rsidR="00B7388B">
        <w:t xml:space="preserve"> </w:t>
      </w:r>
      <w:r w:rsidRPr="001E7B09">
        <w:t>consultation</w:t>
      </w:r>
      <w:r w:rsidR="00B7388B">
        <w:t xml:space="preserve"> </w:t>
      </w:r>
      <w:r w:rsidRPr="001E7B09">
        <w:t>confirmed</w:t>
      </w:r>
      <w:r w:rsidR="00B7388B">
        <w:t xml:space="preserve"> </w:t>
      </w:r>
      <w:r w:rsidRPr="001E7B09">
        <w:t>that</w:t>
      </w:r>
      <w:r w:rsidR="00B7388B">
        <w:t xml:space="preserve"> </w:t>
      </w:r>
      <w:r w:rsidRPr="001E7B09">
        <w:t>they</w:t>
      </w:r>
      <w:r w:rsidR="00B7388B">
        <w:t xml:space="preserve"> </w:t>
      </w:r>
      <w:r w:rsidRPr="001E7B09">
        <w:t>understood</w:t>
      </w:r>
      <w:r w:rsidR="00B7388B">
        <w:t xml:space="preserve"> </w:t>
      </w:r>
      <w:r w:rsidRPr="001E7B09">
        <w:t>the</w:t>
      </w:r>
      <w:r w:rsidR="00B7388B">
        <w:t xml:space="preserve"> </w:t>
      </w:r>
      <w:r w:rsidRPr="001E7B09">
        <w:t>intent</w:t>
      </w:r>
      <w:r w:rsidR="00B7388B">
        <w:t xml:space="preserve"> </w:t>
      </w:r>
      <w:r w:rsidRPr="001E7B09">
        <w:t>of</w:t>
      </w:r>
      <w:r w:rsidR="00B7388B">
        <w:t xml:space="preserve"> </w:t>
      </w:r>
      <w:r w:rsidRPr="001E7B09">
        <w:t>the</w:t>
      </w:r>
      <w:r w:rsidR="00B7388B">
        <w:t xml:space="preserve"> </w:t>
      </w:r>
      <w:r w:rsidRPr="001E7B09">
        <w:t>CP.</w:t>
      </w:r>
    </w:p>
    <w:p w14:paraId="6DBE267F" w14:textId="1E699766" w:rsidR="00350285" w:rsidRDefault="00350285" w:rsidP="00350285">
      <w:pPr>
        <w:pStyle w:val="Question"/>
        <w:ind w:left="1439" w:hanging="1155"/>
      </w:pPr>
      <w:r w:rsidRPr="00F50C99">
        <w:lastRenderedPageBreak/>
        <w:t>Question</w:t>
      </w:r>
      <w:r>
        <w:t xml:space="preserve"> 2</w:t>
      </w:r>
      <w:r>
        <w:tab/>
      </w:r>
      <w:r w:rsidRPr="00190E90">
        <w:t xml:space="preserve">Are you supportive of the principles of </w:t>
      </w:r>
      <w:r>
        <w:t>DCP 40</w:t>
      </w:r>
      <w:r w:rsidR="007637CA">
        <w:t>7</w:t>
      </w:r>
      <w:r w:rsidRPr="00190E90">
        <w:t>?</w:t>
      </w:r>
      <w:r>
        <w:t xml:space="preserve"> </w:t>
      </w:r>
    </w:p>
    <w:p w14:paraId="6A53E9B5" w14:textId="0DF7621F" w:rsidR="00202759" w:rsidRDefault="00202759" w:rsidP="005B6E2D">
      <w:pPr>
        <w:pStyle w:val="Heading2"/>
      </w:pPr>
    </w:p>
    <w:p w14:paraId="18FED0E1" w14:textId="0121CF08" w:rsidR="006110C9" w:rsidRDefault="006110C9" w:rsidP="006110C9">
      <w:pPr>
        <w:pStyle w:val="Question"/>
        <w:pBdr>
          <w:bottom w:val="single" w:sz="48" w:space="0" w:color="339966"/>
        </w:pBdr>
        <w:spacing w:line="276" w:lineRule="auto"/>
        <w:ind w:left="1439" w:hanging="1155"/>
      </w:pPr>
      <w:r>
        <w:t xml:space="preserve">Question 3: </w:t>
      </w:r>
      <w:r w:rsidR="000807AF">
        <w:t xml:space="preserve">Do you agree the proposed criteria of whether a development is speculative or not? </w:t>
      </w:r>
      <w:r w:rsidR="000807AF" w:rsidRPr="008B4516">
        <w:rPr>
          <w:szCs w:val="20"/>
        </w:rPr>
        <w:t>If not, please provide your rationale.</w:t>
      </w:r>
    </w:p>
    <w:p w14:paraId="3D2444E1" w14:textId="42442248" w:rsidR="00430DBC" w:rsidRPr="004D73CE" w:rsidRDefault="00430DBC" w:rsidP="00430DBC">
      <w:pPr>
        <w:pStyle w:val="Heading2"/>
        <w:rPr>
          <w:i/>
        </w:rPr>
      </w:pPr>
    </w:p>
    <w:p w14:paraId="7956A8D6" w14:textId="7254D219" w:rsidR="00857196" w:rsidRPr="00D515DD" w:rsidRDefault="00857196" w:rsidP="00857196">
      <w:pPr>
        <w:pStyle w:val="Question"/>
        <w:pBdr>
          <w:bottom w:val="single" w:sz="48" w:space="0" w:color="339966"/>
        </w:pBdr>
        <w:spacing w:line="276" w:lineRule="auto"/>
        <w:ind w:left="1439" w:hanging="1155"/>
      </w:pPr>
      <w:bookmarkStart w:id="34" w:name="_Hlk111213562"/>
      <w:r>
        <w:t xml:space="preserve">Question 4: </w:t>
      </w:r>
      <w:r w:rsidR="00860BAC">
        <w:t>What other industrial guidelines should be considered under Criterion 1? Please provide your rationale.</w:t>
      </w:r>
    </w:p>
    <w:bookmarkEnd w:id="34"/>
    <w:p w14:paraId="1C1A266B" w14:textId="5F4BD1E1" w:rsidR="00F26A9A" w:rsidRPr="00870781" w:rsidRDefault="00F26A9A" w:rsidP="00C6242C">
      <w:pPr>
        <w:pStyle w:val="Heading2"/>
      </w:pPr>
    </w:p>
    <w:p w14:paraId="0725EFE4" w14:textId="7B37A6AF" w:rsidR="00500B50" w:rsidRDefault="00500B50" w:rsidP="00500B50">
      <w:pPr>
        <w:pStyle w:val="Question"/>
        <w:pBdr>
          <w:bottom w:val="single" w:sz="48" w:space="0" w:color="339966"/>
        </w:pBdr>
        <w:spacing w:line="360" w:lineRule="auto"/>
        <w:ind w:left="1441" w:hanging="1157"/>
      </w:pPr>
      <w:r>
        <w:t xml:space="preserve">Question 5: </w:t>
      </w:r>
      <w:r w:rsidR="004830B4">
        <w:t>What other criteria do you believe should be used to determine whether an application is speculative? Please provide your rationale.</w:t>
      </w:r>
    </w:p>
    <w:p w14:paraId="2DD8CF40" w14:textId="4D5C62E8" w:rsidR="00AA2988" w:rsidRPr="00870781" w:rsidRDefault="00AA2988" w:rsidP="00C6242C">
      <w:pPr>
        <w:pStyle w:val="Heading2"/>
      </w:pPr>
    </w:p>
    <w:p w14:paraId="66BD6654" w14:textId="5B24E61D" w:rsidR="008F0DA0" w:rsidRDefault="008F0DA0" w:rsidP="008F0DA0">
      <w:pPr>
        <w:pStyle w:val="Question"/>
        <w:pBdr>
          <w:bottom w:val="single" w:sz="48" w:space="0" w:color="339966"/>
        </w:pBdr>
        <w:spacing w:line="360" w:lineRule="auto"/>
        <w:ind w:left="1441" w:hanging="1157"/>
      </w:pPr>
      <w:r>
        <w:t>Question 6:</w:t>
      </w:r>
      <w:r>
        <w:tab/>
      </w:r>
      <w:r w:rsidR="00CC6E56" w:rsidRPr="005C37CE">
        <w:t>Do you agree that the specific criteria are appropriately weighted</w:t>
      </w:r>
      <w:r w:rsidR="00CC6E56">
        <w:t xml:space="preserve"> in terms of their significance</w:t>
      </w:r>
      <w:r w:rsidR="00CC6E56" w:rsidRPr="005C37CE">
        <w:t>?</w:t>
      </w:r>
      <w:r w:rsidR="00CC6E56">
        <w:t xml:space="preserve"> </w:t>
      </w:r>
      <w:r w:rsidR="00CC6E56" w:rsidRPr="008B4516">
        <w:rPr>
          <w:szCs w:val="20"/>
        </w:rPr>
        <w:t>If not, please provide your rationale.</w:t>
      </w:r>
    </w:p>
    <w:p w14:paraId="1D318A10" w14:textId="4DF3E2F7" w:rsidR="00F26A9A" w:rsidRPr="00C94FB3" w:rsidRDefault="00F26A9A" w:rsidP="005A1E71">
      <w:pPr>
        <w:pStyle w:val="Heading2"/>
      </w:pPr>
    </w:p>
    <w:p w14:paraId="24FB743D" w14:textId="3B4D87CB" w:rsidR="00013FDE" w:rsidRDefault="00013FDE" w:rsidP="00662ACC">
      <w:pPr>
        <w:pStyle w:val="Question"/>
        <w:ind w:left="1439" w:hanging="1155"/>
      </w:pPr>
      <w:r>
        <w:t xml:space="preserve">Question 7: </w:t>
      </w:r>
      <w:r w:rsidR="00203E15">
        <w:t>For criteria 1,2,3 &amp; 6 do you agree with the quantitative values of the measures used? If not, please suggest alternative values and provide your rationale.</w:t>
      </w:r>
    </w:p>
    <w:p w14:paraId="4ECFC303" w14:textId="223EBAE1" w:rsidR="00C23D5D" w:rsidRPr="00C23D5D" w:rsidRDefault="00B7388B" w:rsidP="00C6242C">
      <w:pPr>
        <w:pStyle w:val="Heading2"/>
      </w:pPr>
      <w:r>
        <w:t xml:space="preserve"> </w:t>
      </w:r>
    </w:p>
    <w:p w14:paraId="4227FEF0" w14:textId="641C10F2" w:rsidR="00A6798E" w:rsidRDefault="00A6798E" w:rsidP="00A6798E">
      <w:pPr>
        <w:pStyle w:val="Question"/>
        <w:ind w:left="1439" w:hanging="1155"/>
      </w:pPr>
      <w:r w:rsidRPr="00D73AF2">
        <w:t>Q</w:t>
      </w:r>
      <w:r>
        <w:t xml:space="preserve">uestion 8: </w:t>
      </w:r>
      <w:r w:rsidR="00A05196" w:rsidRPr="002A3876">
        <w:t xml:space="preserve">Do you agree with the </w:t>
      </w:r>
      <w:r w:rsidR="00A05196">
        <w:t xml:space="preserve">Working Groups decision </w:t>
      </w:r>
      <w:r w:rsidR="00A05196" w:rsidRPr="002A3876">
        <w:t>to not take forward</w:t>
      </w:r>
      <w:r w:rsidR="00A05196">
        <w:t xml:space="preserve"> the criteria identified in Section 4.60 of this consultation? </w:t>
      </w:r>
      <w:r w:rsidR="00A05196" w:rsidRPr="008B4516">
        <w:rPr>
          <w:szCs w:val="20"/>
        </w:rPr>
        <w:t>If not, please provide your rationale.</w:t>
      </w:r>
    </w:p>
    <w:p w14:paraId="24FCF22C" w14:textId="375D350C" w:rsidR="00F26A9A" w:rsidRPr="00841062" w:rsidRDefault="00F26A9A">
      <w:pPr>
        <w:pStyle w:val="Heading2"/>
        <w:rPr>
          <w:i/>
        </w:rPr>
      </w:pPr>
    </w:p>
    <w:p w14:paraId="00C28619" w14:textId="0B3F35C0" w:rsidR="00FD55E1" w:rsidRDefault="003D5DD2" w:rsidP="00FD55E1">
      <w:pPr>
        <w:pStyle w:val="Question"/>
        <w:ind w:left="1985" w:hanging="1701"/>
      </w:pPr>
      <w:r w:rsidRPr="00D73AF2">
        <w:t>Q</w:t>
      </w:r>
      <w:r>
        <w:t>uestion 9:</w:t>
      </w:r>
      <w:r w:rsidRPr="001F3C27">
        <w:t xml:space="preserve"> </w:t>
      </w:r>
      <w:r w:rsidR="00337BEF" w:rsidRPr="002A7F0A">
        <w:t>Do you agree with the Working Group that a change is needed to Schedule 32? If not, please provide your rationale.</w:t>
      </w:r>
    </w:p>
    <w:p w14:paraId="0D2BD27E" w14:textId="648C9AA5" w:rsidR="00F26A9A" w:rsidRPr="00686A11" w:rsidRDefault="00F26A9A" w:rsidP="00C6242C">
      <w:pPr>
        <w:pStyle w:val="Heading2"/>
      </w:pPr>
    </w:p>
    <w:p w14:paraId="2EFC3C99" w14:textId="3029B3CE" w:rsidR="00FB19DF" w:rsidRDefault="007D7647" w:rsidP="008538C9">
      <w:pPr>
        <w:pStyle w:val="Question"/>
        <w:ind w:left="1985" w:hanging="1701"/>
      </w:pPr>
      <w:r>
        <w:t xml:space="preserve">Question 10: </w:t>
      </w:r>
      <w:r w:rsidR="008538C9">
        <w:t>Do you have any comments on the proposed legal text for Schedule 32?</w:t>
      </w:r>
    </w:p>
    <w:p w14:paraId="7DFF32FE" w14:textId="77777777" w:rsidR="00FB19DF" w:rsidRDefault="00FB19DF" w:rsidP="00C2390E">
      <w:pPr>
        <w:pStyle w:val="Heading2"/>
      </w:pPr>
    </w:p>
    <w:p w14:paraId="331ADA3D" w14:textId="78C88E06" w:rsidR="00FB19DF" w:rsidRDefault="002E0099" w:rsidP="002B49AE">
      <w:pPr>
        <w:pStyle w:val="Question"/>
        <w:ind w:left="1985" w:hanging="1701"/>
      </w:pPr>
      <w:r>
        <w:t xml:space="preserve">Question 11: </w:t>
      </w:r>
      <w:r w:rsidR="00C4505A" w:rsidRPr="007D5922">
        <w:t xml:space="preserve">Overall, do you agree that the draft legal text delivers the intent of the Ofgem direction? </w:t>
      </w:r>
      <w:r w:rsidR="00C4505A" w:rsidRPr="008B4516">
        <w:rPr>
          <w:szCs w:val="20"/>
        </w:rPr>
        <w:t>If not, please provide your rationale.</w:t>
      </w:r>
    </w:p>
    <w:p w14:paraId="7D8B70C5" w14:textId="77777777" w:rsidR="002E0099" w:rsidRPr="002E0099" w:rsidRDefault="002E0099" w:rsidP="002E0099">
      <w:pPr>
        <w:pStyle w:val="Heading2"/>
      </w:pPr>
    </w:p>
    <w:p w14:paraId="2B45EB87" w14:textId="27E3F38A" w:rsidR="00343E6D" w:rsidRDefault="00343E6D" w:rsidP="00343E6D">
      <w:pPr>
        <w:pStyle w:val="Question"/>
        <w:ind w:left="1985" w:hanging="1701"/>
      </w:pPr>
      <w:r>
        <w:t>Question 1</w:t>
      </w:r>
      <w:r w:rsidR="00EF10B9">
        <w:t>2</w:t>
      </w:r>
      <w:r>
        <w:t xml:space="preserve">: </w:t>
      </w:r>
      <w:r w:rsidR="00436601">
        <w:t>Do you consider that the proposal better facilitates the DCUSA Charging Objectives?</w:t>
      </w:r>
    </w:p>
    <w:p w14:paraId="6F02CAA0" w14:textId="227E0CD2" w:rsidR="00436601" w:rsidRDefault="00436601" w:rsidP="00343E6D">
      <w:pPr>
        <w:pStyle w:val="Question"/>
        <w:ind w:left="1985" w:hanging="1701"/>
      </w:pPr>
      <w:r>
        <w:t>If so, please detail which of the Charging Objectives you believe are better facilitated and provide supporting re</w:t>
      </w:r>
      <w:r w:rsidR="00CE3D33">
        <w:t>asons.</w:t>
      </w:r>
    </w:p>
    <w:p w14:paraId="58BE95C6" w14:textId="4D6E5E5F" w:rsidR="00CE3D33" w:rsidRDefault="00CE3D33" w:rsidP="00343E6D">
      <w:pPr>
        <w:pStyle w:val="Question"/>
        <w:ind w:left="1985" w:hanging="1701"/>
      </w:pPr>
      <w:r>
        <w:t>If not, please provide supporting reasons.</w:t>
      </w:r>
    </w:p>
    <w:p w14:paraId="7762B199" w14:textId="1EC3CE85" w:rsidR="002E0099" w:rsidRDefault="002E0099" w:rsidP="00C2390E">
      <w:pPr>
        <w:pStyle w:val="Heading2"/>
      </w:pPr>
    </w:p>
    <w:p w14:paraId="5AA227B9" w14:textId="2790D814" w:rsidR="00EF10B9" w:rsidRPr="00EF10B9" w:rsidRDefault="00EF10B9" w:rsidP="00EF10B9">
      <w:pPr>
        <w:pStyle w:val="Question"/>
        <w:ind w:left="1985" w:hanging="1701"/>
      </w:pPr>
      <w:r>
        <w:lastRenderedPageBreak/>
        <w:t xml:space="preserve">Question 13: </w:t>
      </w:r>
      <w:r w:rsidR="003D4CC3">
        <w:t xml:space="preserve">Are you aware of any wider industry developments that may impact upon or be impacted by this CP?  </w:t>
      </w:r>
    </w:p>
    <w:p w14:paraId="755EF974" w14:textId="65C5D297" w:rsidR="002E0099" w:rsidRDefault="002E0099" w:rsidP="00C2390E">
      <w:pPr>
        <w:pStyle w:val="Heading2"/>
      </w:pPr>
    </w:p>
    <w:p w14:paraId="712CD51A" w14:textId="0FF6AD94" w:rsidR="00BF4C03" w:rsidRPr="00BF4C03" w:rsidRDefault="00477DA6" w:rsidP="00477DA6">
      <w:pPr>
        <w:pStyle w:val="Question"/>
        <w:ind w:left="1985" w:hanging="1701"/>
      </w:pPr>
      <w:r>
        <w:t xml:space="preserve">Question 14: </w:t>
      </w:r>
      <w:r w:rsidR="00A351E4" w:rsidRPr="00A8776A">
        <w:rPr>
          <w:bCs w:val="0"/>
        </w:rPr>
        <w:t xml:space="preserve">Do you agree with the Working Group’s proposed implementation date? </w:t>
      </w:r>
      <w:r w:rsidR="00A351E4" w:rsidRPr="004F3F39">
        <w:rPr>
          <w:bCs w:val="0"/>
        </w:rPr>
        <w:t xml:space="preserve"> </w:t>
      </w:r>
      <w:r w:rsidR="00A351E4" w:rsidRPr="004F3F39">
        <w:rPr>
          <w:bCs w:val="0"/>
          <w:szCs w:val="20"/>
        </w:rPr>
        <w:t>If not, please provide your rationale.</w:t>
      </w:r>
    </w:p>
    <w:p w14:paraId="41841C7C" w14:textId="78A7EFFE" w:rsidR="00B46C5E" w:rsidRDefault="00B46C5E" w:rsidP="00A351E4">
      <w:pPr>
        <w:pStyle w:val="Heading2"/>
      </w:pPr>
    </w:p>
    <w:p w14:paraId="57B029D6" w14:textId="77777777" w:rsidR="00733B12" w:rsidRPr="00733B12" w:rsidRDefault="00733B12" w:rsidP="00733B12"/>
    <w:p w14:paraId="30AC95B1" w14:textId="39AA2BF1" w:rsidR="00FD160A" w:rsidRPr="00FD160A" w:rsidRDefault="00E31FE4" w:rsidP="004726B8">
      <w:pPr>
        <w:pStyle w:val="Heading03"/>
      </w:pPr>
      <w:bookmarkStart w:id="35" w:name="_Toc88488804"/>
      <w:bookmarkStart w:id="36" w:name="_Toc77143157"/>
      <w:r>
        <w:t>Working</w:t>
      </w:r>
      <w:r w:rsidR="00B7388B">
        <w:t xml:space="preserve"> </w:t>
      </w:r>
      <w:r>
        <w:t>Group</w:t>
      </w:r>
      <w:r w:rsidR="00B7388B">
        <w:t xml:space="preserve"> </w:t>
      </w:r>
      <w:r>
        <w:t>Conclusions</w:t>
      </w:r>
      <w:r w:rsidR="00B7388B">
        <w:t xml:space="preserve"> </w:t>
      </w:r>
      <w:r>
        <w:t>&amp;</w:t>
      </w:r>
      <w:r w:rsidR="00B7388B">
        <w:t xml:space="preserve"> </w:t>
      </w:r>
      <w:r>
        <w:t>Final</w:t>
      </w:r>
      <w:r w:rsidR="00B7388B">
        <w:t xml:space="preserve"> </w:t>
      </w:r>
      <w:r w:rsidR="00FD160A" w:rsidRPr="00FD160A">
        <w:t>Solution</w:t>
      </w:r>
      <w:bookmarkEnd w:id="18"/>
      <w:bookmarkEnd w:id="35"/>
      <w:r w:rsidR="00B7388B">
        <w:t xml:space="preserve"> </w:t>
      </w:r>
      <w:bookmarkEnd w:id="19"/>
      <w:bookmarkEnd w:id="36"/>
    </w:p>
    <w:p w14:paraId="44C069E1" w14:textId="3318FF52" w:rsidR="00DE2A44" w:rsidRPr="00F20C4C" w:rsidRDefault="00DE2A44" w:rsidP="00C6242C">
      <w:pPr>
        <w:pStyle w:val="Heading2"/>
        <w:rPr>
          <w:rStyle w:val="Strong"/>
          <w:b w:val="0"/>
          <w:bCs w:val="0"/>
        </w:rPr>
      </w:pPr>
    </w:p>
    <w:p w14:paraId="6B2B9C7D" w14:textId="20090508" w:rsidR="00E913E3" w:rsidRPr="00FD160A" w:rsidRDefault="00E913E3" w:rsidP="004726B8">
      <w:pPr>
        <w:pStyle w:val="Heading03"/>
      </w:pPr>
      <w:bookmarkStart w:id="37" w:name="_Toc88488805"/>
      <w:r>
        <w:t>Legal</w:t>
      </w:r>
      <w:r w:rsidR="00B7388B">
        <w:t xml:space="preserve"> </w:t>
      </w:r>
      <w:r>
        <w:t>Text</w:t>
      </w:r>
      <w:bookmarkEnd w:id="37"/>
    </w:p>
    <w:p w14:paraId="24F6344B" w14:textId="4670F86D" w:rsidR="008B2F38" w:rsidRPr="008B2F38" w:rsidRDefault="00803C5E" w:rsidP="00AC44E6">
      <w:pPr>
        <w:pStyle w:val="Heading2"/>
      </w:pPr>
      <w:r>
        <w:t>Following</w:t>
      </w:r>
      <w:r w:rsidR="00B7388B">
        <w:t xml:space="preserve"> </w:t>
      </w:r>
      <w:r>
        <w:t>the</w:t>
      </w:r>
      <w:r w:rsidR="00B7388B">
        <w:t xml:space="preserve"> </w:t>
      </w:r>
      <w:r>
        <w:t>Working</w:t>
      </w:r>
      <w:r w:rsidR="00B7388B">
        <w:t xml:space="preserve"> </w:t>
      </w:r>
      <w:r>
        <w:t>Group’s</w:t>
      </w:r>
      <w:r w:rsidR="00B7388B">
        <w:t xml:space="preserve"> </w:t>
      </w:r>
      <w:r>
        <w:t>review</w:t>
      </w:r>
      <w:r w:rsidR="00B7388B">
        <w:t xml:space="preserve"> </w:t>
      </w:r>
      <w:r>
        <w:t>of</w:t>
      </w:r>
      <w:r w:rsidR="00B7388B">
        <w:t xml:space="preserve"> </w:t>
      </w:r>
      <w:r>
        <w:t>the</w:t>
      </w:r>
      <w:r w:rsidR="00B7388B">
        <w:t xml:space="preserve"> </w:t>
      </w:r>
      <w:r>
        <w:t>responses</w:t>
      </w:r>
      <w:r w:rsidR="00B7388B">
        <w:t xml:space="preserve"> </w:t>
      </w:r>
      <w:r>
        <w:t>to</w:t>
      </w:r>
      <w:r w:rsidR="00B7388B">
        <w:t xml:space="preserve"> </w:t>
      </w:r>
      <w:r>
        <w:t>the</w:t>
      </w:r>
      <w:r w:rsidR="00B7388B">
        <w:t xml:space="preserve"> </w:t>
      </w:r>
      <w:r>
        <w:t>consultation,</w:t>
      </w:r>
      <w:r w:rsidR="00B7388B">
        <w:t xml:space="preserve"> </w:t>
      </w:r>
      <w:r>
        <w:t>the</w:t>
      </w:r>
      <w:r w:rsidR="00B7388B">
        <w:t xml:space="preserve"> </w:t>
      </w:r>
      <w:r>
        <w:t>amendments</w:t>
      </w:r>
      <w:r w:rsidR="00B7388B">
        <w:t xml:space="preserve"> </w:t>
      </w:r>
      <w:r>
        <w:t>being</w:t>
      </w:r>
      <w:r w:rsidR="00B7388B">
        <w:t xml:space="preserve"> </w:t>
      </w:r>
      <w:r>
        <w:t>made</w:t>
      </w:r>
      <w:r w:rsidR="00B7388B">
        <w:t xml:space="preserve"> </w:t>
      </w:r>
      <w:r>
        <w:t>by</w:t>
      </w:r>
      <w:r w:rsidR="00B7388B">
        <w:t xml:space="preserve"> </w:t>
      </w:r>
      <w:r>
        <w:t>DCP</w:t>
      </w:r>
      <w:r w:rsidR="00B7388B">
        <w:t xml:space="preserve"> </w:t>
      </w:r>
      <w:r w:rsidR="008B2F38">
        <w:t>40</w:t>
      </w:r>
      <w:r w:rsidR="008032AE">
        <w:t>7</w:t>
      </w:r>
      <w:r w:rsidR="00B7388B">
        <w:t xml:space="preserve"> </w:t>
      </w:r>
      <w:r>
        <w:t>include:</w:t>
      </w:r>
      <w:r w:rsidR="00B7388B">
        <w:t xml:space="preserve"> </w:t>
      </w:r>
    </w:p>
    <w:p w14:paraId="657DD34D" w14:textId="587DBA34" w:rsidR="00E913E3" w:rsidRPr="008B2F38" w:rsidRDefault="00E913E3" w:rsidP="008B2F38">
      <w:pPr>
        <w:jc w:val="both"/>
        <w:rPr>
          <w:rFonts w:cs="Arial"/>
          <w:b/>
          <w:bCs/>
          <w:color w:val="008576"/>
          <w:sz w:val="24"/>
          <w:szCs w:val="28"/>
        </w:rPr>
      </w:pPr>
      <w:r w:rsidRPr="008B2F38">
        <w:rPr>
          <w:rFonts w:cs="Arial"/>
          <w:b/>
          <w:bCs/>
          <w:color w:val="008576"/>
          <w:sz w:val="24"/>
          <w:szCs w:val="28"/>
        </w:rPr>
        <w:t>Legal</w:t>
      </w:r>
      <w:r w:rsidR="00B7388B" w:rsidRPr="008B2F38">
        <w:rPr>
          <w:rFonts w:cs="Arial"/>
          <w:b/>
          <w:bCs/>
          <w:color w:val="008576"/>
          <w:sz w:val="24"/>
          <w:szCs w:val="28"/>
        </w:rPr>
        <w:t xml:space="preserve"> </w:t>
      </w:r>
      <w:r w:rsidRPr="008B2F38">
        <w:rPr>
          <w:rFonts w:cs="Arial"/>
          <w:b/>
          <w:bCs/>
          <w:color w:val="008576"/>
          <w:sz w:val="24"/>
          <w:szCs w:val="28"/>
        </w:rPr>
        <w:t>Text</w:t>
      </w:r>
    </w:p>
    <w:p w14:paraId="2274C275" w14:textId="77777777" w:rsidR="008032AE" w:rsidRPr="00CA21C2" w:rsidRDefault="008032AE" w:rsidP="00367AA0">
      <w:pPr>
        <w:pStyle w:val="ListParagraph"/>
        <w:numPr>
          <w:ilvl w:val="1"/>
          <w:numId w:val="41"/>
        </w:numPr>
      </w:pPr>
      <w:bookmarkStart w:id="38" w:name="_Toc313090988"/>
      <w:bookmarkStart w:id="39" w:name="_Toc459803623"/>
      <w:bookmarkStart w:id="40" w:name="_Toc77143158"/>
      <w:bookmarkStart w:id="41" w:name="_Toc88488806"/>
      <w:r w:rsidRPr="00CA21C2">
        <w:t xml:space="preserve">The proposed DCP 407 Legal Text in relation to Schedule 22 can be found in Attachment 2. </w:t>
      </w:r>
    </w:p>
    <w:p w14:paraId="7454C929" w14:textId="77777777" w:rsidR="008032AE" w:rsidRPr="00CA21C2" w:rsidRDefault="008032AE" w:rsidP="008032AE">
      <w:r>
        <w:t xml:space="preserve">8.2 </w:t>
      </w:r>
      <w:r w:rsidRPr="00CA21C2">
        <w:t>The proposed DCP 407 Legal Text in relation to Schedule 32 can be found in Attachment 3.</w:t>
      </w:r>
    </w:p>
    <w:p w14:paraId="73B60EBF" w14:textId="77777777" w:rsidR="008032AE" w:rsidRPr="00CA21C2" w:rsidRDefault="008032AE" w:rsidP="008032AE">
      <w:r>
        <w:t xml:space="preserve">8.3 </w:t>
      </w:r>
      <w:r w:rsidRPr="00CA21C2">
        <w:t xml:space="preserve">Key aspects of the DCP 407 will include the following: </w:t>
      </w:r>
    </w:p>
    <w:p w14:paraId="2A60A21C" w14:textId="77777777" w:rsidR="008032AE" w:rsidRPr="00CA21C2" w:rsidRDefault="008032AE" w:rsidP="008032AE">
      <w:pPr>
        <w:rPr>
          <w:b/>
          <w:bCs/>
        </w:rPr>
      </w:pPr>
      <w:r w:rsidRPr="00CA21C2">
        <w:rPr>
          <w:b/>
          <w:bCs/>
        </w:rPr>
        <w:t>Schedule 22</w:t>
      </w:r>
    </w:p>
    <w:p w14:paraId="5837D53A" w14:textId="77777777" w:rsidR="008032AE" w:rsidRPr="00CA21C2" w:rsidRDefault="008032AE" w:rsidP="00367AA0">
      <w:pPr>
        <w:numPr>
          <w:ilvl w:val="0"/>
          <w:numId w:val="39"/>
        </w:numPr>
      </w:pPr>
      <w:r w:rsidRPr="00CA21C2">
        <w:t>Details of the structured scoring system in relation to determining a site speculative. This includes the criteria for the Speculative Developments scoring system and how the scoring system should be applied.</w:t>
      </w:r>
    </w:p>
    <w:p w14:paraId="70FBEFBA" w14:textId="77777777" w:rsidR="008032AE" w:rsidRPr="00CA21C2" w:rsidRDefault="008032AE" w:rsidP="00367AA0">
      <w:pPr>
        <w:numPr>
          <w:ilvl w:val="0"/>
          <w:numId w:val="39"/>
        </w:numPr>
      </w:pPr>
      <w:r w:rsidRPr="00CA21C2">
        <w:t>Additional text added after the 'Capacity Ramping for LDNOs’ to include consideration of other customers.</w:t>
      </w:r>
    </w:p>
    <w:p w14:paraId="0C28B4B9" w14:textId="77777777" w:rsidR="008032AE" w:rsidRPr="00CA21C2" w:rsidRDefault="008032AE" w:rsidP="008032AE">
      <w:pPr>
        <w:rPr>
          <w:b/>
          <w:bCs/>
        </w:rPr>
      </w:pPr>
      <w:r w:rsidRPr="00CA21C2">
        <w:rPr>
          <w:b/>
          <w:bCs/>
        </w:rPr>
        <w:t xml:space="preserve">Schedule 32 </w:t>
      </w:r>
    </w:p>
    <w:p w14:paraId="10A9E451" w14:textId="77777777" w:rsidR="008032AE" w:rsidRPr="00CA21C2" w:rsidRDefault="008032AE" w:rsidP="00367AA0">
      <w:pPr>
        <w:numPr>
          <w:ilvl w:val="0"/>
          <w:numId w:val="40"/>
        </w:numPr>
      </w:pPr>
      <w:r w:rsidRPr="00CA21C2">
        <w:t>Insert a limb (d) in Paragraph 6.1: “or, the Final Demand Site is a Phased Capacity Site.</w:t>
      </w:r>
      <w:proofErr w:type="gramStart"/>
      <w:r w:rsidRPr="00CA21C2">
        <w:t>”;</w:t>
      </w:r>
      <w:proofErr w:type="gramEnd"/>
    </w:p>
    <w:p w14:paraId="60A8B95C" w14:textId="77777777" w:rsidR="008032AE" w:rsidRPr="00CA21C2" w:rsidRDefault="008032AE" w:rsidP="00367AA0">
      <w:pPr>
        <w:numPr>
          <w:ilvl w:val="0"/>
          <w:numId w:val="40"/>
        </w:numPr>
      </w:pPr>
      <w:r w:rsidRPr="00CA21C2">
        <w:t>Insert Paragraph 6.5: “Where Paragraph 6.1(d) applies the DNO/IDNO Party shall allocate the Final Demand Site pursuant to Paragraph 4.1.”; and</w:t>
      </w:r>
    </w:p>
    <w:p w14:paraId="43DBF8A1" w14:textId="77777777" w:rsidR="008032AE" w:rsidRPr="00CA21C2" w:rsidRDefault="008032AE" w:rsidP="00367AA0">
      <w:pPr>
        <w:numPr>
          <w:ilvl w:val="0"/>
          <w:numId w:val="40"/>
        </w:numPr>
      </w:pPr>
      <w:r w:rsidRPr="00CA21C2">
        <w:t>Insert the definition of Phased Capacity Site into Paragraph 8.2: “means a Final Demand Site whose Maximum Import Capacity has changed in line with a development phase as agreed with the DNO/IDNO Party.”</w:t>
      </w:r>
    </w:p>
    <w:p w14:paraId="4EBC164E" w14:textId="1318D790" w:rsidR="00FD160A" w:rsidRPr="00FD160A" w:rsidRDefault="00FD160A" w:rsidP="004726B8">
      <w:pPr>
        <w:pStyle w:val="Heading03"/>
      </w:pPr>
      <w:r w:rsidRPr="00FD160A">
        <w:t>Relevant</w:t>
      </w:r>
      <w:r w:rsidR="00B7388B">
        <w:t xml:space="preserve"> </w:t>
      </w:r>
      <w:r w:rsidRPr="00FD160A">
        <w:t>Objectives</w:t>
      </w:r>
      <w:bookmarkEnd w:id="38"/>
      <w:bookmarkEnd w:id="39"/>
      <w:bookmarkEnd w:id="40"/>
      <w:bookmarkEnd w:id="41"/>
    </w:p>
    <w:p w14:paraId="671098AE" w14:textId="68F5B7E2" w:rsidR="00C55B77" w:rsidRPr="002733C1" w:rsidRDefault="00C55B77" w:rsidP="00C55B77">
      <w:pPr>
        <w:pStyle w:val="Heading4"/>
        <w:keepLines/>
        <w:spacing w:before="120"/>
        <w:rPr>
          <w:rFonts w:ascii="Calibri" w:hAnsi="Calibri"/>
          <w:sz w:val="22"/>
        </w:rPr>
      </w:pPr>
      <w:r w:rsidRPr="00F04DA2">
        <w:t>A</w:t>
      </w:r>
      <w:r>
        <w:t>ssessment</w:t>
      </w:r>
      <w:r w:rsidR="00B7388B">
        <w:t xml:space="preserve"> </w:t>
      </w:r>
      <w:r>
        <w:t>A</w:t>
      </w:r>
      <w:r w:rsidRPr="00F04DA2">
        <w:t>gainst</w:t>
      </w:r>
      <w:r w:rsidR="00B7388B">
        <w:t xml:space="preserve"> </w:t>
      </w:r>
      <w:r w:rsidRPr="00F04DA2">
        <w:t>the</w:t>
      </w:r>
      <w:r w:rsidR="00B7388B">
        <w:t xml:space="preserve"> </w:t>
      </w:r>
      <w:r>
        <w:t>DCUSA</w:t>
      </w:r>
      <w:r w:rsidR="00B7388B">
        <w:t xml:space="preserve"> </w:t>
      </w:r>
      <w:r>
        <w:t>O</w:t>
      </w:r>
      <w:r w:rsidRPr="00F04DA2">
        <w:t>bjectives</w:t>
      </w:r>
      <w:r w:rsidR="00B7388B">
        <w:t xml:space="preserve"> </w:t>
      </w:r>
    </w:p>
    <w:p w14:paraId="02BE4439" w14:textId="52F6E1CE" w:rsidR="00C55B77" w:rsidRPr="00BF1449" w:rsidRDefault="00C55B77" w:rsidP="00C6242C">
      <w:pPr>
        <w:pStyle w:val="Heading2"/>
      </w:pPr>
      <w:r w:rsidRPr="00BF1449">
        <w:t>For</w:t>
      </w:r>
      <w:r w:rsidR="00B7388B">
        <w:t xml:space="preserve"> </w:t>
      </w:r>
      <w:r w:rsidRPr="00BF1449">
        <w:t>a</w:t>
      </w:r>
      <w:r w:rsidR="00B7388B">
        <w:t xml:space="preserve"> </w:t>
      </w:r>
      <w:r w:rsidRPr="00BF1449">
        <w:t>DCUSA</w:t>
      </w:r>
      <w:r w:rsidR="00B7388B">
        <w:t xml:space="preserve"> </w:t>
      </w:r>
      <w:r w:rsidRPr="00BF1449">
        <w:t>Change</w:t>
      </w:r>
      <w:r w:rsidR="00B7388B">
        <w:t xml:space="preserve"> </w:t>
      </w:r>
      <w:r w:rsidRPr="00BF1449">
        <w:t>Proposal</w:t>
      </w:r>
      <w:r w:rsidR="00B7388B">
        <w:t xml:space="preserve"> </w:t>
      </w:r>
      <w:r w:rsidRPr="00BF1449">
        <w:t>to</w:t>
      </w:r>
      <w:r w:rsidR="00B7388B">
        <w:t xml:space="preserve"> </w:t>
      </w:r>
      <w:r w:rsidRPr="00BF1449">
        <w:t>be</w:t>
      </w:r>
      <w:r w:rsidR="00B7388B">
        <w:t xml:space="preserve"> </w:t>
      </w:r>
      <w:r w:rsidRPr="00BF1449">
        <w:t>approved</w:t>
      </w:r>
      <w:r w:rsidR="00B7388B">
        <w:t xml:space="preserve"> </w:t>
      </w:r>
      <w:r w:rsidRPr="00BF1449">
        <w:t>it</w:t>
      </w:r>
      <w:r w:rsidR="00B7388B">
        <w:t xml:space="preserve"> </w:t>
      </w:r>
      <w:r w:rsidRPr="00BF1449">
        <w:t>must</w:t>
      </w:r>
      <w:r w:rsidR="00B7388B">
        <w:t xml:space="preserve"> </w:t>
      </w:r>
      <w:r w:rsidRPr="00BF1449">
        <w:t>be</w:t>
      </w:r>
      <w:r w:rsidR="00B7388B">
        <w:t xml:space="preserve"> </w:t>
      </w:r>
      <w:r w:rsidRPr="00BF1449">
        <w:t>demonstrated</w:t>
      </w:r>
      <w:r w:rsidR="00B7388B">
        <w:t xml:space="preserve"> </w:t>
      </w:r>
      <w:r w:rsidRPr="00BF1449">
        <w:t>that</w:t>
      </w:r>
      <w:r w:rsidR="00B7388B">
        <w:t xml:space="preserve"> </w:t>
      </w:r>
      <w:r w:rsidRPr="00BF1449">
        <w:t>it</w:t>
      </w:r>
      <w:r w:rsidR="00B7388B">
        <w:t xml:space="preserve"> </w:t>
      </w:r>
      <w:r w:rsidRPr="00BF1449">
        <w:t>better</w:t>
      </w:r>
      <w:r w:rsidR="00B7388B">
        <w:t xml:space="preserve"> </w:t>
      </w:r>
      <w:r w:rsidRPr="00BF1449">
        <w:t>facilitates</w:t>
      </w:r>
      <w:r w:rsidR="00B7388B">
        <w:t xml:space="preserve"> </w:t>
      </w:r>
      <w:r w:rsidRPr="00BF1449">
        <w:t>the</w:t>
      </w:r>
      <w:r w:rsidR="00B7388B">
        <w:t xml:space="preserve"> </w:t>
      </w:r>
      <w:r w:rsidRPr="00BF1449">
        <w:t>DCUSA</w:t>
      </w:r>
      <w:r w:rsidR="00B7388B">
        <w:t xml:space="preserve"> </w:t>
      </w:r>
      <w:r w:rsidRPr="00BF1449">
        <w:t>Objectives.</w:t>
      </w:r>
      <w:r w:rsidR="00B7388B">
        <w:t xml:space="preserve"> </w:t>
      </w:r>
      <w:r w:rsidRPr="00BF1449">
        <w:t>There</w:t>
      </w:r>
      <w:r w:rsidR="00B7388B">
        <w:t xml:space="preserve"> </w:t>
      </w:r>
      <w:r w:rsidRPr="00BF1449">
        <w:t>are</w:t>
      </w:r>
      <w:r w:rsidR="00B7388B">
        <w:t xml:space="preserve"> </w:t>
      </w:r>
      <w:r w:rsidRPr="00BF1449">
        <w:t>five</w:t>
      </w:r>
      <w:r w:rsidR="00B7388B">
        <w:t xml:space="preserve"> </w:t>
      </w:r>
      <w:r w:rsidRPr="00BF1449">
        <w:t>General</w:t>
      </w:r>
      <w:r w:rsidR="00B7388B">
        <w:t xml:space="preserve"> </w:t>
      </w:r>
      <w:r w:rsidRPr="00BF1449">
        <w:t>Objectives</w:t>
      </w:r>
      <w:r w:rsidR="00B7388B">
        <w:t xml:space="preserve"> </w:t>
      </w:r>
      <w:r w:rsidRPr="00BF1449">
        <w:t>and</w:t>
      </w:r>
      <w:r w:rsidR="00B7388B">
        <w:t xml:space="preserve"> </w:t>
      </w:r>
      <w:r w:rsidRPr="00BF1449">
        <w:t>six</w:t>
      </w:r>
      <w:r w:rsidR="00B7388B">
        <w:t xml:space="preserve"> </w:t>
      </w:r>
      <w:r w:rsidRPr="00BF1449">
        <w:t>Charging</w:t>
      </w:r>
      <w:r w:rsidR="00B7388B">
        <w:t xml:space="preserve"> </w:t>
      </w:r>
      <w:r w:rsidRPr="00BF1449">
        <w:t>Objectives.</w:t>
      </w:r>
      <w:r w:rsidR="00B7388B">
        <w:t xml:space="preserve"> </w:t>
      </w:r>
      <w:r w:rsidRPr="00BF1449">
        <w:t>The</w:t>
      </w:r>
      <w:r w:rsidR="00B7388B">
        <w:t xml:space="preserve"> </w:t>
      </w:r>
      <w:r w:rsidRPr="00BF1449">
        <w:t>full</w:t>
      </w:r>
      <w:r w:rsidR="00B7388B">
        <w:t xml:space="preserve"> </w:t>
      </w:r>
      <w:r w:rsidRPr="00BF1449">
        <w:t>list</w:t>
      </w:r>
      <w:r w:rsidR="00B7388B">
        <w:t xml:space="preserve"> </w:t>
      </w:r>
      <w:r w:rsidRPr="00BF1449">
        <w:t>of</w:t>
      </w:r>
      <w:r w:rsidR="00B7388B">
        <w:t xml:space="preserve"> </w:t>
      </w:r>
      <w:r w:rsidRPr="00BF1449">
        <w:t>objectives</w:t>
      </w:r>
      <w:r w:rsidR="00B7388B">
        <w:t xml:space="preserve"> </w:t>
      </w:r>
      <w:r w:rsidRPr="00BF1449">
        <w:t>is</w:t>
      </w:r>
      <w:r w:rsidR="00B7388B">
        <w:t xml:space="preserve"> </w:t>
      </w:r>
      <w:r w:rsidRPr="00BF1449">
        <w:t>documented</w:t>
      </w:r>
      <w:r w:rsidR="00B7388B">
        <w:t xml:space="preserve"> </w:t>
      </w:r>
      <w:r w:rsidRPr="00BF1449">
        <w:t>in</w:t>
      </w:r>
      <w:r w:rsidR="00B7388B">
        <w:t xml:space="preserve"> </w:t>
      </w:r>
      <w:r w:rsidRPr="00BF1449">
        <w:t>the</w:t>
      </w:r>
      <w:r w:rsidR="00B7388B">
        <w:t xml:space="preserve"> </w:t>
      </w:r>
      <w:r>
        <w:t>DCUSA</w:t>
      </w:r>
      <w:r w:rsidRPr="00BF1449">
        <w:t>.</w:t>
      </w:r>
    </w:p>
    <w:p w14:paraId="07693B30" w14:textId="10D2E74C" w:rsidR="00C55B77" w:rsidRDefault="00C55B77" w:rsidP="00C6242C">
      <w:pPr>
        <w:pStyle w:val="Heading2"/>
      </w:pPr>
      <w:r w:rsidRPr="00B77630">
        <w:lastRenderedPageBreak/>
        <w:t>The</w:t>
      </w:r>
      <w:r w:rsidR="00B7388B">
        <w:t xml:space="preserve"> </w:t>
      </w:r>
      <w:r w:rsidRPr="00B77630">
        <w:t>list</w:t>
      </w:r>
      <w:r w:rsidR="00B7388B">
        <w:t xml:space="preserve"> </w:t>
      </w:r>
      <w:r w:rsidRPr="00B77630">
        <w:t>of</w:t>
      </w:r>
      <w:r w:rsidR="00B7388B">
        <w:t xml:space="preserve"> </w:t>
      </w:r>
      <w:r w:rsidRPr="00B77630">
        <w:t>DCUSA</w:t>
      </w:r>
      <w:r w:rsidR="00B7388B">
        <w:t xml:space="preserve"> </w:t>
      </w:r>
      <w:r w:rsidR="009C426B">
        <w:t>General</w:t>
      </w:r>
      <w:r w:rsidR="00B7388B">
        <w:t xml:space="preserve"> </w:t>
      </w:r>
      <w:r w:rsidRPr="00B77630">
        <w:t>Objectives</w:t>
      </w:r>
      <w:r w:rsidR="00B7388B">
        <w:t xml:space="preserve"> </w:t>
      </w:r>
      <w:r w:rsidRPr="00B77630">
        <w:t>is</w:t>
      </w:r>
      <w:r w:rsidR="00B7388B">
        <w:t xml:space="preserve"> </w:t>
      </w:r>
      <w:r w:rsidRPr="00B77630">
        <w:t>set</w:t>
      </w:r>
      <w:r w:rsidR="00B7388B">
        <w:t xml:space="preserve"> </w:t>
      </w:r>
      <w:r w:rsidRPr="00B77630">
        <w:t>out</w:t>
      </w:r>
      <w:r w:rsidR="00B7388B">
        <w:t xml:space="preserve"> </w:t>
      </w:r>
      <w:r w:rsidRPr="00B77630">
        <w:t>in</w:t>
      </w:r>
      <w:r w:rsidR="00B7388B">
        <w:t xml:space="preserve"> </w:t>
      </w:r>
      <w:r w:rsidRPr="00B77630">
        <w:t>the</w:t>
      </w:r>
      <w:r w:rsidR="00B7388B">
        <w:t xml:space="preserve"> </w:t>
      </w:r>
      <w:r w:rsidRPr="00B77630">
        <w:t>table</w:t>
      </w:r>
      <w:r w:rsidR="00B7388B">
        <w:t xml:space="preserve"> </w:t>
      </w:r>
      <w:r w:rsidRPr="00B77630">
        <w:t>below.</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10"/>
        <w:gridCol w:w="7819"/>
        <w:gridCol w:w="1187"/>
      </w:tblGrid>
      <w:tr w:rsidR="00984FAF" w:rsidRPr="0060253F" w14:paraId="433FB530" w14:textId="77777777" w:rsidTr="00C50589">
        <w:trPr>
          <w:cantSplit/>
          <w:trHeight w:val="397"/>
        </w:trPr>
        <w:tc>
          <w:tcPr>
            <w:tcW w:w="365" w:type="pct"/>
          </w:tcPr>
          <w:p w14:paraId="0E953D63" w14:textId="77777777" w:rsidR="00984FAF" w:rsidRPr="009C63A3" w:rsidRDefault="00984FAF" w:rsidP="00C50589">
            <w:pPr>
              <w:pStyle w:val="Tablebodycopy"/>
              <w:ind w:left="0" w:right="238"/>
              <w:rPr>
                <w:rFonts w:cs="Arial"/>
                <w:b/>
                <w:sz w:val="24"/>
              </w:rPr>
            </w:pPr>
          </w:p>
        </w:tc>
        <w:tc>
          <w:tcPr>
            <w:tcW w:w="4024" w:type="pct"/>
            <w:vAlign w:val="center"/>
          </w:tcPr>
          <w:p w14:paraId="0E60AF4C" w14:textId="77777777" w:rsidR="00984FAF" w:rsidRPr="009C63A3" w:rsidRDefault="00984FAF" w:rsidP="00C50589">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tc>
        <w:tc>
          <w:tcPr>
            <w:tcW w:w="611" w:type="pct"/>
          </w:tcPr>
          <w:p w14:paraId="2E31B028" w14:textId="77777777" w:rsidR="00984FAF" w:rsidRPr="0060253F" w:rsidRDefault="00984FAF" w:rsidP="00C50589">
            <w:pPr>
              <w:ind w:left="113" w:right="113"/>
              <w:rPr>
                <w:b/>
              </w:rPr>
            </w:pPr>
            <w:r w:rsidRPr="0060253F">
              <w:rPr>
                <w:b/>
              </w:rPr>
              <w:t>Identified impact</w:t>
            </w:r>
          </w:p>
        </w:tc>
      </w:tr>
      <w:tr w:rsidR="00984FAF" w:rsidRPr="00EB32BB" w14:paraId="4E23BACC" w14:textId="77777777" w:rsidTr="00C50589">
        <w:trPr>
          <w:cantSplit/>
          <w:trHeight w:val="397"/>
        </w:trPr>
        <w:tc>
          <w:tcPr>
            <w:tcW w:w="365" w:type="pct"/>
          </w:tcPr>
          <w:p w14:paraId="7E16D74A" w14:textId="77777777" w:rsidR="00984FAF" w:rsidRPr="00C8117D" w:rsidRDefault="00984FAF" w:rsidP="00C50589">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206775814"/>
                <w14:checkbox>
                  <w14:checked w14:val="1"/>
                  <w14:checkedState w14:val="0052" w14:font="Wingdings 2"/>
                  <w14:uncheckedState w14:val="2610" w14:font="MS Gothic"/>
                </w14:checkbox>
              </w:sdtPr>
              <w:sdtContent>
                <w:r>
                  <w:rPr>
                    <w:rFonts w:ascii="Wingdings 2" w:eastAsia="Wingdings 2" w:hAnsi="Wingdings 2" w:cs="Wingdings 2" w:hint="eastAsia"/>
                    <w:b/>
                    <w:bCs/>
                    <w:noProof/>
                    <w:color w:val="00B050"/>
                    <w:sz w:val="48"/>
                    <w:szCs w:val="56"/>
                  </w:rPr>
                  <w:t>R</w:t>
                </w:r>
              </w:sdtContent>
            </w:sdt>
          </w:p>
        </w:tc>
        <w:tc>
          <w:tcPr>
            <w:tcW w:w="4024" w:type="pct"/>
          </w:tcPr>
          <w:p w14:paraId="4D4E1E74" w14:textId="77777777" w:rsidR="00984FAF" w:rsidRPr="009146AA" w:rsidRDefault="00984FAF" w:rsidP="00984FAF">
            <w:pPr>
              <w:pStyle w:val="ListNumber"/>
              <w:numPr>
                <w:ilvl w:val="0"/>
                <w:numId w:val="25"/>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11" w:type="pct"/>
          </w:tcPr>
          <w:p w14:paraId="48F3299F" w14:textId="77777777" w:rsidR="00984FAF" w:rsidRPr="002267E5" w:rsidRDefault="00984FAF" w:rsidP="00C50589">
            <w:pPr>
              <w:pStyle w:val="NoSpacing"/>
              <w:ind w:left="113"/>
              <w:rPr>
                <w:color w:val="00B050"/>
              </w:rPr>
            </w:pPr>
            <w:r w:rsidRPr="002267E5">
              <w:rPr>
                <w:color w:val="00B050"/>
              </w:rPr>
              <w:t>Positive</w:t>
            </w:r>
          </w:p>
          <w:p w14:paraId="33909EAA" w14:textId="77777777" w:rsidR="00984FAF" w:rsidRPr="002267E5" w:rsidRDefault="00984FAF" w:rsidP="00C50589">
            <w:pPr>
              <w:pStyle w:val="NoSpacing"/>
              <w:ind w:left="113"/>
            </w:pPr>
          </w:p>
        </w:tc>
      </w:tr>
      <w:tr w:rsidR="00984FAF" w:rsidRPr="00EB32BB" w14:paraId="761D5226" w14:textId="77777777" w:rsidTr="00C50589">
        <w:trPr>
          <w:cantSplit/>
          <w:trHeight w:val="397"/>
        </w:trPr>
        <w:tc>
          <w:tcPr>
            <w:tcW w:w="365" w:type="pct"/>
          </w:tcPr>
          <w:p w14:paraId="4BC1F22F" w14:textId="77777777" w:rsidR="00984FAF" w:rsidRPr="00C8117D" w:rsidRDefault="00984FAF" w:rsidP="00C50589">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4840054"/>
                <w14:checkbox>
                  <w14:checked w14:val="1"/>
                  <w14:checkedState w14:val="0052" w14:font="Wingdings 2"/>
                  <w14:uncheckedState w14:val="2610" w14:font="MS Gothic"/>
                </w14:checkbox>
              </w:sdtPr>
              <w:sdtContent>
                <w:r>
                  <w:rPr>
                    <w:rFonts w:ascii="Wingdings 2" w:eastAsia="Wingdings 2" w:hAnsi="Wingdings 2" w:cs="Wingdings 2" w:hint="eastAsia"/>
                    <w:b/>
                    <w:bCs/>
                    <w:noProof/>
                    <w:color w:val="00B050"/>
                    <w:sz w:val="48"/>
                    <w:szCs w:val="56"/>
                  </w:rPr>
                  <w:t>R</w:t>
                </w:r>
              </w:sdtContent>
            </w:sdt>
          </w:p>
        </w:tc>
        <w:tc>
          <w:tcPr>
            <w:tcW w:w="4024" w:type="pct"/>
          </w:tcPr>
          <w:p w14:paraId="6A74D940" w14:textId="77777777" w:rsidR="00984FAF" w:rsidRPr="009146AA" w:rsidRDefault="00984FAF" w:rsidP="00984FAF">
            <w:pPr>
              <w:pStyle w:val="ListNumber"/>
              <w:numPr>
                <w:ilvl w:val="0"/>
                <w:numId w:val="25"/>
              </w:numP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11" w:type="pct"/>
          </w:tcPr>
          <w:p w14:paraId="1FBF66D6" w14:textId="77777777" w:rsidR="00984FAF" w:rsidRPr="002267E5" w:rsidRDefault="00984FAF" w:rsidP="00C50589">
            <w:pPr>
              <w:pStyle w:val="NoSpacing"/>
              <w:ind w:left="113"/>
              <w:rPr>
                <w:color w:val="4472C4" w:themeColor="accent1"/>
              </w:rPr>
            </w:pPr>
            <w:r w:rsidRPr="002267E5">
              <w:rPr>
                <w:color w:val="4472C4" w:themeColor="accent1"/>
              </w:rPr>
              <w:t>Neutral</w:t>
            </w:r>
          </w:p>
          <w:p w14:paraId="0CD8D984" w14:textId="77777777" w:rsidR="00984FAF" w:rsidRPr="002267E5" w:rsidRDefault="00984FAF" w:rsidP="00C50589">
            <w:pPr>
              <w:spacing w:before="0" w:line="240" w:lineRule="auto"/>
              <w:ind w:left="113" w:right="113"/>
            </w:pPr>
          </w:p>
        </w:tc>
      </w:tr>
      <w:tr w:rsidR="00984FAF" w14:paraId="5AD085E4" w14:textId="77777777" w:rsidTr="00C50589">
        <w:trPr>
          <w:cantSplit/>
          <w:trHeight w:val="397"/>
        </w:trPr>
        <w:tc>
          <w:tcPr>
            <w:tcW w:w="365" w:type="pct"/>
          </w:tcPr>
          <w:p w14:paraId="5DE57AA8" w14:textId="77777777" w:rsidR="00984FAF" w:rsidRPr="00C8117D" w:rsidRDefault="00984FAF" w:rsidP="00C50589">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04668146"/>
                <w14:checkbox>
                  <w14:checked w14:val="1"/>
                  <w14:checkedState w14:val="0052" w14:font="Wingdings 2"/>
                  <w14:uncheckedState w14:val="2610" w14:font="MS Gothic"/>
                </w14:checkbox>
              </w:sdtPr>
              <w:sdtContent>
                <w:r>
                  <w:rPr>
                    <w:rFonts w:ascii="Wingdings 2" w:eastAsia="Wingdings 2" w:hAnsi="Wingdings 2" w:cs="Wingdings 2" w:hint="eastAsia"/>
                    <w:b/>
                    <w:bCs/>
                    <w:noProof/>
                    <w:color w:val="00B050"/>
                    <w:sz w:val="48"/>
                    <w:szCs w:val="56"/>
                  </w:rPr>
                  <w:t>R</w:t>
                </w:r>
              </w:sdtContent>
            </w:sdt>
          </w:p>
        </w:tc>
        <w:tc>
          <w:tcPr>
            <w:tcW w:w="4024" w:type="pct"/>
          </w:tcPr>
          <w:p w14:paraId="479F6CCD" w14:textId="77777777" w:rsidR="00984FAF" w:rsidRPr="009146AA" w:rsidRDefault="00984FAF" w:rsidP="00984FAF">
            <w:pPr>
              <w:pStyle w:val="ListNumber"/>
              <w:numPr>
                <w:ilvl w:val="0"/>
                <w:numId w:val="25"/>
              </w:numP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11" w:type="pct"/>
          </w:tcPr>
          <w:p w14:paraId="4A1DD248" w14:textId="77777777" w:rsidR="00984FAF" w:rsidRPr="002267E5" w:rsidRDefault="00984FAF" w:rsidP="00C50589">
            <w:pPr>
              <w:pStyle w:val="NoSpacing"/>
              <w:ind w:left="113"/>
              <w:rPr>
                <w:color w:val="C00000"/>
              </w:rPr>
            </w:pPr>
            <w:r w:rsidRPr="002267E5">
              <w:rPr>
                <w:color w:val="4472C4" w:themeColor="accent1"/>
              </w:rPr>
              <w:t>Neutral</w:t>
            </w:r>
          </w:p>
          <w:p w14:paraId="7518FDE1" w14:textId="77777777" w:rsidR="00984FAF" w:rsidRPr="002267E5" w:rsidRDefault="00984FAF" w:rsidP="00C50589">
            <w:pPr>
              <w:spacing w:before="0" w:line="240" w:lineRule="auto"/>
              <w:ind w:left="113" w:right="113"/>
            </w:pPr>
          </w:p>
        </w:tc>
      </w:tr>
      <w:tr w:rsidR="00984FAF" w:rsidRPr="00F913C3" w14:paraId="30902581" w14:textId="77777777" w:rsidTr="00C50589">
        <w:trPr>
          <w:cantSplit/>
          <w:trHeight w:val="397"/>
        </w:trPr>
        <w:tc>
          <w:tcPr>
            <w:tcW w:w="365" w:type="pct"/>
          </w:tcPr>
          <w:p w14:paraId="0CAD5E10" w14:textId="77777777" w:rsidR="00984FAF" w:rsidRPr="00C8117D" w:rsidRDefault="00984FAF" w:rsidP="00C50589">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268390923"/>
                <w14:checkbox>
                  <w14:checked w14:val="1"/>
                  <w14:checkedState w14:val="0052" w14:font="Wingdings 2"/>
                  <w14:uncheckedState w14:val="2610" w14:font="MS Gothic"/>
                </w14:checkbox>
              </w:sdtPr>
              <w:sdtContent>
                <w:r>
                  <w:rPr>
                    <w:rFonts w:ascii="Wingdings 2" w:eastAsia="Wingdings 2" w:hAnsi="Wingdings 2" w:cs="Wingdings 2" w:hint="eastAsia"/>
                    <w:b/>
                    <w:bCs/>
                    <w:noProof/>
                    <w:color w:val="00B050"/>
                    <w:sz w:val="48"/>
                    <w:szCs w:val="56"/>
                  </w:rPr>
                  <w:t>R</w:t>
                </w:r>
              </w:sdtContent>
            </w:sdt>
          </w:p>
        </w:tc>
        <w:tc>
          <w:tcPr>
            <w:tcW w:w="4024" w:type="pct"/>
          </w:tcPr>
          <w:p w14:paraId="71FE444E" w14:textId="77777777" w:rsidR="00984FAF" w:rsidRPr="009146AA" w:rsidRDefault="00984FAF" w:rsidP="00984FAF">
            <w:pPr>
              <w:pStyle w:val="ListNumber"/>
              <w:numPr>
                <w:ilvl w:val="0"/>
                <w:numId w:val="25"/>
              </w:numP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11" w:type="pct"/>
          </w:tcPr>
          <w:p w14:paraId="428F62E4" w14:textId="77777777" w:rsidR="00984FAF" w:rsidRPr="002267E5" w:rsidRDefault="00984FAF" w:rsidP="00C50589">
            <w:pPr>
              <w:pStyle w:val="NoSpacing"/>
              <w:ind w:left="113"/>
              <w:rPr>
                <w:color w:val="4472C4" w:themeColor="accent1"/>
              </w:rPr>
            </w:pPr>
            <w:r w:rsidRPr="002267E5">
              <w:rPr>
                <w:color w:val="4472C4" w:themeColor="accent1"/>
              </w:rPr>
              <w:t>Neutral</w:t>
            </w:r>
          </w:p>
          <w:p w14:paraId="11D196BA" w14:textId="77777777" w:rsidR="00984FAF" w:rsidRPr="002267E5" w:rsidRDefault="00984FAF" w:rsidP="00C50589">
            <w:pPr>
              <w:spacing w:before="0" w:line="240" w:lineRule="auto"/>
              <w:ind w:left="113" w:right="113"/>
            </w:pPr>
          </w:p>
        </w:tc>
      </w:tr>
      <w:tr w:rsidR="00984FAF" w14:paraId="15D3B93C" w14:textId="77777777" w:rsidTr="00C50589">
        <w:trPr>
          <w:cantSplit/>
          <w:trHeight w:val="397"/>
        </w:trPr>
        <w:tc>
          <w:tcPr>
            <w:tcW w:w="365" w:type="pct"/>
          </w:tcPr>
          <w:p w14:paraId="24FB87BA" w14:textId="77777777" w:rsidR="00984FAF" w:rsidRPr="00C8117D" w:rsidRDefault="00984FAF" w:rsidP="00C50589">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71927253"/>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4" w:type="pct"/>
          </w:tcPr>
          <w:p w14:paraId="6092B772" w14:textId="77777777" w:rsidR="00984FAF" w:rsidRPr="00E46C74" w:rsidRDefault="00984FAF" w:rsidP="00984FAF">
            <w:pPr>
              <w:pStyle w:val="ListNumber"/>
              <w:numPr>
                <w:ilvl w:val="0"/>
                <w:numId w:val="25"/>
              </w:numP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11" w:type="pct"/>
          </w:tcPr>
          <w:p w14:paraId="77947830" w14:textId="77777777" w:rsidR="00984FAF" w:rsidRPr="002267E5" w:rsidRDefault="00984FAF" w:rsidP="00C50589">
            <w:pPr>
              <w:spacing w:before="0" w:line="240" w:lineRule="auto"/>
              <w:ind w:left="113" w:right="113"/>
            </w:pPr>
            <w:r w:rsidRPr="002267E5">
              <w:t>None</w:t>
            </w:r>
          </w:p>
        </w:tc>
      </w:tr>
      <w:tr w:rsidR="00984FAF" w:rsidRPr="009F4320" w14:paraId="390BA91B" w14:textId="77777777" w:rsidTr="00C50589">
        <w:trPr>
          <w:cantSplit/>
          <w:trHeight w:val="397"/>
        </w:trPr>
        <w:tc>
          <w:tcPr>
            <w:tcW w:w="365" w:type="pct"/>
          </w:tcPr>
          <w:p w14:paraId="7675E692" w14:textId="77777777" w:rsidR="00984FAF" w:rsidRPr="00C8117D" w:rsidRDefault="00984FAF" w:rsidP="00C50589">
            <w:pPr>
              <w:pStyle w:val="BodyText"/>
              <w:spacing w:before="0"/>
              <w:jc w:val="center"/>
              <w:rPr>
                <w:rFonts w:ascii="Arial Black" w:hAnsi="Arial Black" w:cs="Arial"/>
                <w:noProof/>
                <w:sz w:val="48"/>
                <w:szCs w:val="56"/>
                <w:lang w:val="en-US" w:eastAsia="en-US"/>
              </w:rPr>
            </w:pPr>
            <w:sdt>
              <w:sdtPr>
                <w:rPr>
                  <w:rFonts w:ascii="Arial Black" w:hAnsi="Arial Black" w:cs="Arial"/>
                  <w:b/>
                  <w:bCs/>
                  <w:noProof/>
                  <w:color w:val="00B050"/>
                  <w:sz w:val="48"/>
                  <w:szCs w:val="56"/>
                </w:rPr>
                <w:id w:val="-370603705"/>
                <w14:checkbox>
                  <w14:checked w14:val="1"/>
                  <w14:checkedState w14:val="0052" w14:font="Wingdings 2"/>
                  <w14:uncheckedState w14:val="2610" w14:font="MS Gothic"/>
                </w14:checkbox>
              </w:sdtPr>
              <w:sdtContent>
                <w:r>
                  <w:rPr>
                    <w:rFonts w:ascii="Wingdings 2" w:eastAsia="Wingdings 2" w:hAnsi="Wingdings 2" w:cs="Wingdings 2" w:hint="eastAsia"/>
                    <w:b/>
                    <w:bCs/>
                    <w:noProof/>
                    <w:color w:val="00B050"/>
                    <w:sz w:val="48"/>
                    <w:szCs w:val="56"/>
                  </w:rPr>
                  <w:t>R</w:t>
                </w:r>
              </w:sdtContent>
            </w:sdt>
          </w:p>
        </w:tc>
        <w:tc>
          <w:tcPr>
            <w:tcW w:w="4024" w:type="pct"/>
          </w:tcPr>
          <w:p w14:paraId="241B5C96" w14:textId="77777777" w:rsidR="00984FAF" w:rsidRPr="00E46C74" w:rsidRDefault="00984FAF" w:rsidP="00984FAF">
            <w:pPr>
              <w:pStyle w:val="ListNumber"/>
              <w:numPr>
                <w:ilvl w:val="0"/>
                <w:numId w:val="25"/>
              </w:numP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11" w:type="pct"/>
          </w:tcPr>
          <w:p w14:paraId="48BBAF8C" w14:textId="77777777" w:rsidR="00984FAF" w:rsidRPr="002267E5" w:rsidRDefault="00984FAF" w:rsidP="00C50589">
            <w:pPr>
              <w:pStyle w:val="NoSpacing"/>
              <w:ind w:left="113"/>
              <w:rPr>
                <w:color w:val="C00000"/>
              </w:rPr>
            </w:pPr>
            <w:r w:rsidRPr="002267E5">
              <w:rPr>
                <w:color w:val="C00000"/>
              </w:rPr>
              <w:t>Negative</w:t>
            </w:r>
          </w:p>
          <w:p w14:paraId="634A6B85" w14:textId="77777777" w:rsidR="00984FAF" w:rsidRPr="002267E5" w:rsidRDefault="00984FAF" w:rsidP="00C50589">
            <w:pPr>
              <w:spacing w:before="0" w:line="240" w:lineRule="auto"/>
              <w:ind w:left="113" w:right="113"/>
            </w:pPr>
          </w:p>
        </w:tc>
      </w:tr>
    </w:tbl>
    <w:p w14:paraId="05FFF7C0" w14:textId="77777777" w:rsidR="003519F8" w:rsidRPr="003519F8" w:rsidRDefault="003519F8" w:rsidP="003519F8"/>
    <w:p w14:paraId="5572398C" w14:textId="77777777" w:rsidR="005352F4" w:rsidRPr="007B6511" w:rsidRDefault="005352F4" w:rsidP="005352F4">
      <w:pPr>
        <w:pStyle w:val="ListParagraph"/>
        <w:numPr>
          <w:ilvl w:val="1"/>
          <w:numId w:val="14"/>
        </w:numPr>
      </w:pPr>
      <w:bookmarkStart w:id="42" w:name="_Toc77143156"/>
      <w:bookmarkStart w:id="43" w:name="_Toc88488807"/>
      <w:bookmarkStart w:id="44" w:name="_Toc313090989"/>
      <w:bookmarkStart w:id="45" w:name="_Toc459803624"/>
      <w:r w:rsidRPr="007B6511">
        <w:t>This change is to comply with an Ofgem direction arising from its Access SCR Decision and Direction and therefore directly supports Charging Objective 1.</w:t>
      </w:r>
    </w:p>
    <w:p w14:paraId="1A16A008" w14:textId="77777777" w:rsidR="005352F4" w:rsidRPr="007B6511" w:rsidRDefault="005352F4" w:rsidP="005352F4">
      <w:pPr>
        <w:pStyle w:val="ListParagraph"/>
        <w:numPr>
          <w:ilvl w:val="1"/>
          <w:numId w:val="14"/>
        </w:numPr>
      </w:pPr>
      <w:r w:rsidRPr="007B6511">
        <w:t xml:space="preserve">The change could introduce different charging arrangements for speculative and non-speculative connections and therefore adds more complexity into the assessment of the type of connection so that the appropriate charging regime can be applied; </w:t>
      </w:r>
      <w:proofErr w:type="gramStart"/>
      <w:r w:rsidRPr="007B6511">
        <w:t>therefore</w:t>
      </w:r>
      <w:proofErr w:type="gramEnd"/>
      <w:r w:rsidRPr="007B6511">
        <w:t xml:space="preserve"> there is potentially a negative impact in relation to Charging Objective 6. However, the Working Group recognise that the Access SCR Decision has determined that this change compared to the current arrangements is justified.</w:t>
      </w:r>
    </w:p>
    <w:p w14:paraId="01C255DB" w14:textId="3BC7021A" w:rsidR="005E7A96" w:rsidRPr="00882F64" w:rsidRDefault="005E7A96" w:rsidP="004726B8">
      <w:pPr>
        <w:pStyle w:val="Heading03"/>
      </w:pPr>
      <w:r w:rsidRPr="00882F64">
        <w:t>Code</w:t>
      </w:r>
      <w:r w:rsidR="00B7388B">
        <w:t xml:space="preserve"> </w:t>
      </w:r>
      <w:r w:rsidRPr="00882F64">
        <w:t>Specific</w:t>
      </w:r>
      <w:r w:rsidR="00B7388B">
        <w:t xml:space="preserve"> </w:t>
      </w:r>
      <w:r w:rsidRPr="00882F64">
        <w:t>Matters</w:t>
      </w:r>
      <w:bookmarkEnd w:id="42"/>
      <w:bookmarkEnd w:id="43"/>
    </w:p>
    <w:p w14:paraId="17647459" w14:textId="6D5F555E" w:rsidR="005E7A96" w:rsidRPr="00E2671B" w:rsidRDefault="005E7A96" w:rsidP="005E7A96">
      <w:pPr>
        <w:keepLines/>
        <w:spacing w:before="240"/>
        <w:outlineLvl w:val="3"/>
        <w:rPr>
          <w:rFonts w:cs="Arial"/>
          <w:b/>
          <w:bCs/>
          <w:color w:val="008576"/>
          <w:sz w:val="24"/>
        </w:rPr>
      </w:pPr>
      <w:r w:rsidRPr="00E2671B">
        <w:rPr>
          <w:rFonts w:cs="Arial"/>
          <w:b/>
          <w:bCs/>
          <w:color w:val="008576"/>
          <w:sz w:val="24"/>
        </w:rPr>
        <w:t>Reference</w:t>
      </w:r>
      <w:r w:rsidR="00B7388B">
        <w:rPr>
          <w:rFonts w:cs="Arial"/>
          <w:b/>
          <w:bCs/>
          <w:color w:val="008576"/>
          <w:sz w:val="24"/>
        </w:rPr>
        <w:t xml:space="preserve"> </w:t>
      </w:r>
      <w:r w:rsidRPr="00E2671B">
        <w:rPr>
          <w:rFonts w:cs="Arial"/>
          <w:b/>
          <w:bCs/>
          <w:color w:val="008576"/>
          <w:sz w:val="24"/>
        </w:rPr>
        <w:t>Documents</w:t>
      </w:r>
    </w:p>
    <w:p w14:paraId="462299A8" w14:textId="77777777" w:rsidR="002379EA" w:rsidRDefault="002379EA" w:rsidP="002379EA">
      <w:pPr>
        <w:pStyle w:val="Heading2"/>
      </w:pPr>
      <w:bookmarkStart w:id="46" w:name="_Toc77143159"/>
      <w:bookmarkStart w:id="47" w:name="_Toc88488808"/>
      <w:r>
        <w:t xml:space="preserve">The Access SCR Decision and Access SCR Direction which can be found </w:t>
      </w:r>
      <w:hyperlink r:id="rId21">
        <w:r w:rsidRPr="7C102FC9">
          <w:rPr>
            <w:rStyle w:val="Hyperlink"/>
          </w:rPr>
          <w:t>here</w:t>
        </w:r>
      </w:hyperlink>
      <w:r>
        <w:t>.</w:t>
      </w:r>
    </w:p>
    <w:p w14:paraId="79DAB936" w14:textId="7F0F6C44" w:rsidR="00FD160A" w:rsidRPr="00FD160A" w:rsidRDefault="00FD160A" w:rsidP="004726B8">
      <w:pPr>
        <w:pStyle w:val="Heading03"/>
        <w:rPr>
          <w:noProof/>
        </w:rPr>
      </w:pPr>
      <w:r w:rsidRPr="00FD160A">
        <w:rPr>
          <w:noProof/>
        </w:rPr>
        <w:t>Impacts</w:t>
      </w:r>
      <w:r w:rsidR="00B7388B">
        <w:rPr>
          <w:noProof/>
        </w:rPr>
        <w:t xml:space="preserve"> </w:t>
      </w:r>
      <w:r w:rsidRPr="00FD160A">
        <w:rPr>
          <w:noProof/>
        </w:rPr>
        <w:t>&amp;</w:t>
      </w:r>
      <w:r w:rsidR="00B7388B">
        <w:rPr>
          <w:noProof/>
        </w:rPr>
        <w:t xml:space="preserve"> </w:t>
      </w:r>
      <w:r w:rsidRPr="00FD160A">
        <w:rPr>
          <w:noProof/>
        </w:rPr>
        <w:t>Other</w:t>
      </w:r>
      <w:r w:rsidR="00B7388B">
        <w:rPr>
          <w:noProof/>
        </w:rPr>
        <w:t xml:space="preserve"> </w:t>
      </w:r>
      <w:r w:rsidRPr="00FD160A">
        <w:rPr>
          <w:noProof/>
        </w:rPr>
        <w:t>Considerations</w:t>
      </w:r>
      <w:bookmarkEnd w:id="44"/>
      <w:bookmarkEnd w:id="45"/>
      <w:bookmarkEnd w:id="46"/>
      <w:bookmarkEnd w:id="47"/>
    </w:p>
    <w:p w14:paraId="47FECC86" w14:textId="77777777" w:rsidR="00A65D2D" w:rsidRPr="00EB32BB" w:rsidRDefault="00A65D2D" w:rsidP="00A65D2D">
      <w:pPr>
        <w:pStyle w:val="Heading4"/>
        <w:rPr>
          <w:i/>
          <w:iCs/>
        </w:rPr>
      </w:pPr>
      <w:bookmarkStart w:id="48" w:name="_Toc77143160"/>
      <w:bookmarkStart w:id="49" w:name="_Toc88488809"/>
      <w:r w:rsidRPr="00EB32BB">
        <w:rPr>
          <w:i/>
          <w:iCs/>
        </w:rPr>
        <w:t>Significant Code Review (SCR) or other significant industry change projects</w:t>
      </w:r>
    </w:p>
    <w:p w14:paraId="14F9105E" w14:textId="77777777" w:rsidR="00A65D2D" w:rsidRPr="00477F04" w:rsidRDefault="00A65D2D" w:rsidP="00A65D2D">
      <w:pPr>
        <w:pStyle w:val="Heading2"/>
      </w:pPr>
      <w:r w:rsidRPr="00FB3202">
        <w:lastRenderedPageBreak/>
        <w:t>This CP is part of a suite of changes that will implement the Access SCR Decision, therefore the SCR phase shall be treated as having ended.</w:t>
      </w:r>
    </w:p>
    <w:p w14:paraId="31F597E7" w14:textId="77777777" w:rsidR="00A65D2D" w:rsidRDefault="00A65D2D" w:rsidP="00A65D2D">
      <w:pPr>
        <w:rPr>
          <w:rFonts w:cs="Arial"/>
          <w:b/>
          <w:bCs/>
          <w:color w:val="008576"/>
          <w:sz w:val="24"/>
          <w:szCs w:val="28"/>
        </w:rPr>
      </w:pPr>
      <w:r>
        <w:rPr>
          <w:rFonts w:cs="Arial"/>
          <w:b/>
          <w:bCs/>
          <w:color w:val="008576"/>
          <w:sz w:val="24"/>
          <w:szCs w:val="28"/>
        </w:rPr>
        <w:t>Cross Code Impacts</w:t>
      </w:r>
    </w:p>
    <w:tbl>
      <w:tblPr>
        <w:tblW w:w="749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850"/>
        <w:gridCol w:w="1418"/>
        <w:gridCol w:w="709"/>
        <w:gridCol w:w="1842"/>
        <w:gridCol w:w="567"/>
      </w:tblGrid>
      <w:tr w:rsidR="00A65D2D" w14:paraId="72881698" w14:textId="77777777" w:rsidTr="008A1005">
        <w:trPr>
          <w:trHeight w:val="258"/>
        </w:trPr>
        <w:tc>
          <w:tcPr>
            <w:tcW w:w="2112" w:type="dxa"/>
            <w:tcBorders>
              <w:top w:val="nil"/>
              <w:left w:val="nil"/>
              <w:bottom w:val="nil"/>
              <w:right w:val="nil"/>
            </w:tcBorders>
            <w:vAlign w:val="center"/>
            <w:hideMark/>
          </w:tcPr>
          <w:p w14:paraId="35D143C6" w14:textId="77777777" w:rsidR="00A65D2D" w:rsidRDefault="00A65D2D" w:rsidP="008A1005">
            <w:pPr>
              <w:spacing w:before="0" w:after="0" w:line="360" w:lineRule="auto"/>
              <w:rPr>
                <w:rFonts w:cs="Arial"/>
                <w:noProof/>
                <w:szCs w:val="20"/>
              </w:rPr>
            </w:pPr>
            <w:r>
              <w:rPr>
                <w:rFonts w:cs="Arial"/>
                <w:noProof/>
                <w:szCs w:val="20"/>
              </w:rPr>
              <w:t>BSC……………...</w:t>
            </w:r>
          </w:p>
        </w:tc>
        <w:sdt>
          <w:sdtPr>
            <w:rPr>
              <w:rFonts w:cs="Arial"/>
              <w:noProof/>
              <w:color w:val="C00000"/>
              <w:sz w:val="32"/>
              <w:szCs w:val="32"/>
            </w:rPr>
            <w:id w:val="204524802"/>
            <w15:color w:val="CC0000"/>
            <w14:checkbox>
              <w14:checked w14:val="0"/>
              <w14:checkedState w14:val="2612" w14:font="MS Gothic"/>
              <w14:uncheckedState w14:val="2610" w14:font="MS Gothic"/>
            </w14:checkbox>
          </w:sdtPr>
          <w:sdtEndPr/>
          <w:sdtContent>
            <w:tc>
              <w:tcPr>
                <w:tcW w:w="850" w:type="dxa"/>
                <w:tcBorders>
                  <w:top w:val="nil"/>
                  <w:left w:val="nil"/>
                  <w:bottom w:val="nil"/>
                  <w:right w:val="nil"/>
                </w:tcBorders>
                <w:shd w:val="clear" w:color="auto" w:fill="auto"/>
                <w:vAlign w:val="center"/>
              </w:tcPr>
              <w:p w14:paraId="3821C804" w14:textId="77777777" w:rsidR="00A65D2D" w:rsidRPr="002267E5" w:rsidRDefault="00A65D2D" w:rsidP="008A1005">
                <w:pPr>
                  <w:spacing w:before="0" w:after="0" w:line="360" w:lineRule="auto"/>
                  <w:rPr>
                    <w:rFonts w:cs="Arial"/>
                    <w:noProof/>
                    <w:color w:val="C00000"/>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03030711" w14:textId="77777777" w:rsidR="00A65D2D" w:rsidRDefault="00A65D2D" w:rsidP="008A1005">
            <w:pPr>
              <w:spacing w:before="0" w:after="0" w:line="360" w:lineRule="auto"/>
              <w:rPr>
                <w:rFonts w:cs="Arial"/>
                <w:noProof/>
                <w:szCs w:val="20"/>
              </w:rPr>
            </w:pPr>
            <w:r>
              <w:rPr>
                <w:rFonts w:cs="Arial"/>
                <w:noProof/>
                <w:szCs w:val="20"/>
              </w:rPr>
              <w:t>REC……….</w:t>
            </w:r>
          </w:p>
        </w:tc>
        <w:sdt>
          <w:sdtPr>
            <w:rPr>
              <w:rFonts w:cs="Arial"/>
              <w:noProof/>
              <w:color w:val="C00000"/>
              <w:sz w:val="32"/>
              <w:szCs w:val="32"/>
            </w:rPr>
            <w:id w:val="-1544520298"/>
            <w15:color w:val="CC0000"/>
            <w14:checkbox>
              <w14:checked w14:val="0"/>
              <w14:checkedState w14:val="2612" w14:font="MS Gothic"/>
              <w14:uncheckedState w14:val="2610" w14:font="MS Gothic"/>
            </w14:checkbox>
          </w:sdtPr>
          <w:sdtEndPr/>
          <w:sdtContent>
            <w:tc>
              <w:tcPr>
                <w:tcW w:w="709" w:type="dxa"/>
                <w:tcBorders>
                  <w:top w:val="nil"/>
                  <w:left w:val="nil"/>
                  <w:bottom w:val="nil"/>
                  <w:right w:val="nil"/>
                </w:tcBorders>
                <w:vAlign w:val="center"/>
              </w:tcPr>
              <w:p w14:paraId="2632C0D6" w14:textId="77777777" w:rsidR="00A65D2D" w:rsidRDefault="00A65D2D" w:rsidP="008A1005">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1842" w:type="dxa"/>
            <w:tcBorders>
              <w:top w:val="nil"/>
              <w:left w:val="nil"/>
              <w:bottom w:val="nil"/>
              <w:right w:val="nil"/>
            </w:tcBorders>
            <w:vAlign w:val="center"/>
          </w:tcPr>
          <w:p w14:paraId="041CAB4A" w14:textId="77777777" w:rsidR="00A65D2D" w:rsidRDefault="00A65D2D" w:rsidP="008A1005">
            <w:pPr>
              <w:spacing w:before="0" w:after="0" w:line="360" w:lineRule="auto"/>
              <w:rPr>
                <w:rFonts w:cs="Arial"/>
                <w:noProof/>
                <w:color w:val="C00000"/>
                <w:sz w:val="32"/>
                <w:szCs w:val="32"/>
              </w:rPr>
            </w:pPr>
            <w:r>
              <w:rPr>
                <w:rFonts w:cs="Arial"/>
                <w:noProof/>
                <w:szCs w:val="20"/>
              </w:rPr>
              <w:t>Distrbution Code..</w:t>
            </w:r>
          </w:p>
        </w:tc>
        <w:sdt>
          <w:sdtPr>
            <w:rPr>
              <w:rFonts w:cs="Arial"/>
              <w:noProof/>
              <w:color w:val="C00000"/>
              <w:sz w:val="32"/>
              <w:szCs w:val="32"/>
            </w:rPr>
            <w:id w:val="963083459"/>
            <w15:color w:val="CC0000"/>
            <w14:checkbox>
              <w14:checked w14:val="0"/>
              <w14:checkedState w14:val="2612" w14:font="MS Gothic"/>
              <w14:uncheckedState w14:val="2610" w14:font="MS Gothic"/>
            </w14:checkbox>
          </w:sdtPr>
          <w:sdtEndPr/>
          <w:sdtContent>
            <w:tc>
              <w:tcPr>
                <w:tcW w:w="567" w:type="dxa"/>
                <w:tcBorders>
                  <w:top w:val="nil"/>
                  <w:left w:val="nil"/>
                  <w:bottom w:val="nil"/>
                  <w:right w:val="nil"/>
                </w:tcBorders>
                <w:vAlign w:val="center"/>
                <w:hideMark/>
              </w:tcPr>
              <w:p w14:paraId="5AE3DC52" w14:textId="77777777" w:rsidR="00A65D2D" w:rsidRDefault="00A65D2D" w:rsidP="008A100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A65D2D" w14:paraId="50CAA342" w14:textId="77777777" w:rsidTr="008A1005">
        <w:trPr>
          <w:trHeight w:val="258"/>
        </w:trPr>
        <w:tc>
          <w:tcPr>
            <w:tcW w:w="2112" w:type="dxa"/>
            <w:tcBorders>
              <w:top w:val="nil"/>
              <w:left w:val="nil"/>
              <w:bottom w:val="nil"/>
              <w:right w:val="nil"/>
            </w:tcBorders>
            <w:vAlign w:val="center"/>
            <w:hideMark/>
          </w:tcPr>
          <w:p w14:paraId="69D7B921" w14:textId="77777777" w:rsidR="00A65D2D" w:rsidRDefault="00A65D2D" w:rsidP="008A1005">
            <w:pPr>
              <w:spacing w:before="0" w:after="0" w:line="360" w:lineRule="auto"/>
              <w:rPr>
                <w:rFonts w:cs="Arial"/>
                <w:noProof/>
                <w:szCs w:val="20"/>
              </w:rPr>
            </w:pPr>
            <w:r>
              <w:rPr>
                <w:rFonts w:cs="Arial"/>
                <w:noProof/>
                <w:szCs w:val="20"/>
              </w:rPr>
              <w:t>CUSC……………</w:t>
            </w:r>
          </w:p>
        </w:tc>
        <w:sdt>
          <w:sdtPr>
            <w:rPr>
              <w:rFonts w:cs="Arial"/>
              <w:noProof/>
              <w:color w:val="C00000"/>
              <w:sz w:val="32"/>
              <w:szCs w:val="32"/>
            </w:rPr>
            <w:id w:val="-1382316135"/>
            <w15:color w:val="CC0000"/>
            <w14:checkbox>
              <w14:checked w14:val="0"/>
              <w14:checkedState w14:val="2612" w14:font="MS Gothic"/>
              <w14:uncheckedState w14:val="2610" w14:font="MS Gothic"/>
            </w14:checkbox>
          </w:sdtPr>
          <w:sdtEndPr/>
          <w:sdtContent>
            <w:tc>
              <w:tcPr>
                <w:tcW w:w="850" w:type="dxa"/>
                <w:tcBorders>
                  <w:top w:val="nil"/>
                  <w:left w:val="nil"/>
                  <w:bottom w:val="nil"/>
                  <w:right w:val="nil"/>
                </w:tcBorders>
                <w:vAlign w:val="center"/>
                <w:hideMark/>
              </w:tcPr>
              <w:p w14:paraId="13E62732" w14:textId="77777777" w:rsidR="00A65D2D" w:rsidRDefault="00A65D2D" w:rsidP="008A100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7F7A5478" w14:textId="77777777" w:rsidR="00A65D2D" w:rsidRDefault="00A65D2D" w:rsidP="008A1005">
            <w:pPr>
              <w:spacing w:before="0" w:after="0" w:line="360" w:lineRule="auto"/>
              <w:rPr>
                <w:rFonts w:cs="Arial"/>
                <w:noProof/>
                <w:szCs w:val="20"/>
              </w:rPr>
            </w:pPr>
            <w:r>
              <w:rPr>
                <w:rFonts w:cs="Arial"/>
                <w:noProof/>
                <w:szCs w:val="20"/>
              </w:rPr>
              <w:t>SEC………</w:t>
            </w:r>
          </w:p>
        </w:tc>
        <w:sdt>
          <w:sdtPr>
            <w:rPr>
              <w:rFonts w:cs="Arial"/>
              <w:noProof/>
              <w:color w:val="C00000"/>
              <w:sz w:val="32"/>
              <w:szCs w:val="32"/>
            </w:rPr>
            <w:id w:val="1726255169"/>
            <w15:color w:val="CC0000"/>
            <w14:checkbox>
              <w14:checked w14:val="0"/>
              <w14:checkedState w14:val="2612" w14:font="MS Gothic"/>
              <w14:uncheckedState w14:val="2610" w14:font="MS Gothic"/>
            </w14:checkbox>
          </w:sdtPr>
          <w:sdtEndPr/>
          <w:sdtContent>
            <w:tc>
              <w:tcPr>
                <w:tcW w:w="709" w:type="dxa"/>
                <w:tcBorders>
                  <w:top w:val="nil"/>
                  <w:left w:val="nil"/>
                  <w:bottom w:val="nil"/>
                  <w:right w:val="nil"/>
                </w:tcBorders>
                <w:vAlign w:val="center"/>
              </w:tcPr>
              <w:p w14:paraId="13077F59" w14:textId="77777777" w:rsidR="00A65D2D" w:rsidRDefault="00A65D2D" w:rsidP="008A1005">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1842" w:type="dxa"/>
            <w:tcBorders>
              <w:top w:val="nil"/>
              <w:left w:val="nil"/>
              <w:bottom w:val="nil"/>
              <w:right w:val="nil"/>
            </w:tcBorders>
            <w:vAlign w:val="center"/>
          </w:tcPr>
          <w:p w14:paraId="21AD47A2" w14:textId="77777777" w:rsidR="00A65D2D" w:rsidRDefault="00A65D2D" w:rsidP="008A1005">
            <w:pPr>
              <w:spacing w:before="0" w:after="0" w:line="360" w:lineRule="auto"/>
              <w:rPr>
                <w:rFonts w:cs="Arial"/>
                <w:noProof/>
                <w:color w:val="C00000"/>
                <w:sz w:val="32"/>
                <w:szCs w:val="32"/>
              </w:rPr>
            </w:pPr>
            <w:r>
              <w:rPr>
                <w:rFonts w:cs="Arial"/>
                <w:noProof/>
                <w:szCs w:val="20"/>
              </w:rPr>
              <w:t>Grid Code……….</w:t>
            </w:r>
          </w:p>
        </w:tc>
        <w:sdt>
          <w:sdtPr>
            <w:rPr>
              <w:rFonts w:cs="Arial"/>
              <w:noProof/>
              <w:color w:val="C00000"/>
              <w:sz w:val="32"/>
              <w:szCs w:val="32"/>
            </w:rPr>
            <w:id w:val="1599666684"/>
            <w15:color w:val="CC0000"/>
            <w14:checkbox>
              <w14:checked w14:val="0"/>
              <w14:checkedState w14:val="2612" w14:font="MS Gothic"/>
              <w14:uncheckedState w14:val="2610" w14:font="MS Gothic"/>
            </w14:checkbox>
          </w:sdtPr>
          <w:sdtEndPr/>
          <w:sdtContent>
            <w:tc>
              <w:tcPr>
                <w:tcW w:w="567" w:type="dxa"/>
                <w:tcBorders>
                  <w:top w:val="nil"/>
                  <w:left w:val="nil"/>
                  <w:bottom w:val="nil"/>
                  <w:right w:val="nil"/>
                </w:tcBorders>
                <w:vAlign w:val="center"/>
                <w:hideMark/>
              </w:tcPr>
              <w:p w14:paraId="0FA1E493" w14:textId="77777777" w:rsidR="00A65D2D" w:rsidRDefault="00A65D2D" w:rsidP="008A100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A65D2D" w14:paraId="251379D7" w14:textId="77777777" w:rsidTr="008A1005">
        <w:trPr>
          <w:trHeight w:val="258"/>
        </w:trPr>
        <w:tc>
          <w:tcPr>
            <w:tcW w:w="2112" w:type="dxa"/>
            <w:tcBorders>
              <w:top w:val="nil"/>
              <w:left w:val="nil"/>
              <w:bottom w:val="nil"/>
              <w:right w:val="nil"/>
            </w:tcBorders>
            <w:vAlign w:val="center"/>
            <w:hideMark/>
          </w:tcPr>
          <w:p w14:paraId="08E5FC3D" w14:textId="77777777" w:rsidR="00A65D2D" w:rsidRDefault="00A65D2D" w:rsidP="008A1005">
            <w:pPr>
              <w:spacing w:before="0" w:after="0" w:line="360" w:lineRule="auto"/>
              <w:rPr>
                <w:rFonts w:cs="Arial"/>
                <w:noProof/>
                <w:szCs w:val="20"/>
              </w:rPr>
            </w:pPr>
            <w:r>
              <w:rPr>
                <w:rFonts w:cs="Arial"/>
                <w:noProof/>
                <w:szCs w:val="20"/>
              </w:rPr>
              <w:t>None……………...</w:t>
            </w:r>
          </w:p>
        </w:tc>
        <w:sdt>
          <w:sdtPr>
            <w:rPr>
              <w:rFonts w:cs="Arial"/>
              <w:noProof/>
              <w:color w:val="C00000"/>
              <w:sz w:val="32"/>
              <w:szCs w:val="32"/>
            </w:rPr>
            <w:id w:val="-1639947205"/>
            <w15:color w:val="CC0000"/>
            <w14:checkbox>
              <w14:checked w14:val="1"/>
              <w14:checkedState w14:val="2612" w14:font="MS Gothic"/>
              <w14:uncheckedState w14:val="2610" w14:font="MS Gothic"/>
            </w14:checkbox>
          </w:sdtPr>
          <w:sdtEndPr/>
          <w:sdtContent>
            <w:tc>
              <w:tcPr>
                <w:tcW w:w="850" w:type="dxa"/>
                <w:tcBorders>
                  <w:top w:val="nil"/>
                  <w:left w:val="nil"/>
                  <w:bottom w:val="nil"/>
                  <w:right w:val="nil"/>
                </w:tcBorders>
                <w:vAlign w:val="center"/>
                <w:hideMark/>
              </w:tcPr>
              <w:p w14:paraId="7A0A5ACB" w14:textId="77777777" w:rsidR="00A65D2D" w:rsidRDefault="00A65D2D" w:rsidP="008A100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7A4A0525" w14:textId="77777777" w:rsidR="00A65D2D" w:rsidRDefault="00A65D2D" w:rsidP="008A1005">
            <w:pPr>
              <w:spacing w:before="0" w:after="0" w:line="360" w:lineRule="auto"/>
              <w:rPr>
                <w:rFonts w:cs="Arial"/>
                <w:noProof/>
                <w:szCs w:val="20"/>
              </w:rPr>
            </w:pPr>
          </w:p>
        </w:tc>
        <w:tc>
          <w:tcPr>
            <w:tcW w:w="709" w:type="dxa"/>
            <w:tcBorders>
              <w:top w:val="nil"/>
              <w:left w:val="nil"/>
              <w:bottom w:val="nil"/>
              <w:right w:val="nil"/>
            </w:tcBorders>
            <w:vAlign w:val="center"/>
          </w:tcPr>
          <w:p w14:paraId="04B44FC3" w14:textId="77777777" w:rsidR="00A65D2D" w:rsidRDefault="00A65D2D" w:rsidP="008A1005">
            <w:pPr>
              <w:spacing w:before="0" w:after="0" w:line="360" w:lineRule="auto"/>
              <w:rPr>
                <w:rFonts w:cs="Arial"/>
                <w:noProof/>
                <w:color w:val="C00000"/>
                <w:sz w:val="32"/>
                <w:szCs w:val="32"/>
              </w:rPr>
            </w:pPr>
          </w:p>
        </w:tc>
        <w:tc>
          <w:tcPr>
            <w:tcW w:w="1842" w:type="dxa"/>
            <w:tcBorders>
              <w:top w:val="nil"/>
              <w:left w:val="nil"/>
              <w:bottom w:val="nil"/>
              <w:right w:val="nil"/>
            </w:tcBorders>
            <w:vAlign w:val="center"/>
          </w:tcPr>
          <w:p w14:paraId="14648DEF" w14:textId="77777777" w:rsidR="00A65D2D" w:rsidRDefault="00A65D2D" w:rsidP="008A1005">
            <w:pPr>
              <w:spacing w:before="0" w:after="0" w:line="360" w:lineRule="auto"/>
              <w:rPr>
                <w:rFonts w:cs="Arial"/>
                <w:noProof/>
                <w:color w:val="C00000"/>
                <w:sz w:val="32"/>
                <w:szCs w:val="32"/>
              </w:rPr>
            </w:pPr>
          </w:p>
        </w:tc>
        <w:tc>
          <w:tcPr>
            <w:tcW w:w="567" w:type="dxa"/>
            <w:tcBorders>
              <w:top w:val="nil"/>
              <w:left w:val="nil"/>
              <w:bottom w:val="nil"/>
              <w:right w:val="nil"/>
            </w:tcBorders>
            <w:vAlign w:val="center"/>
            <w:hideMark/>
          </w:tcPr>
          <w:p w14:paraId="70A5D619" w14:textId="77777777" w:rsidR="00A65D2D" w:rsidRDefault="00A65D2D" w:rsidP="008A1005">
            <w:pPr>
              <w:spacing w:before="0" w:after="0" w:line="360" w:lineRule="auto"/>
              <w:rPr>
                <w:rFonts w:cs="Arial"/>
                <w:noProof/>
                <w:szCs w:val="20"/>
              </w:rPr>
            </w:pPr>
          </w:p>
        </w:tc>
      </w:tr>
    </w:tbl>
    <w:p w14:paraId="7735F136" w14:textId="77777777" w:rsidR="00A65D2D" w:rsidRPr="00FB3202" w:rsidRDefault="00A65D2D" w:rsidP="00A65D2D">
      <w:pPr>
        <w:pStyle w:val="Heading2"/>
      </w:pPr>
      <w:r w:rsidRPr="00FB3202">
        <w:t>There are no cross-code impacts of this CP.</w:t>
      </w:r>
    </w:p>
    <w:p w14:paraId="6B73A917" w14:textId="77777777" w:rsidR="00A65D2D" w:rsidRPr="00DE0D97" w:rsidRDefault="00A65D2D" w:rsidP="00A65D2D">
      <w:r w:rsidRPr="00AD39E3">
        <w:rPr>
          <w:rFonts w:cs="Arial"/>
          <w:b/>
          <w:bCs/>
          <w:color w:val="008576"/>
          <w:sz w:val="24"/>
          <w:szCs w:val="28"/>
        </w:rPr>
        <w:t>Consideration of Wider Industry Impacts</w:t>
      </w:r>
    </w:p>
    <w:p w14:paraId="6534C98B" w14:textId="77777777" w:rsidR="00131575" w:rsidRDefault="00131575" w:rsidP="00131575">
      <w:pPr>
        <w:pStyle w:val="Heading2"/>
      </w:pPr>
      <w:r w:rsidRPr="00041C70">
        <w:t xml:space="preserve">The </w:t>
      </w:r>
      <w:r>
        <w:t>focus of this CP</w:t>
      </w:r>
      <w:r w:rsidRPr="00041C70">
        <w:t xml:space="preserve"> has been subject to </w:t>
      </w:r>
      <w:proofErr w:type="gramStart"/>
      <w:r w:rsidRPr="00041C70">
        <w:t>a number of</w:t>
      </w:r>
      <w:proofErr w:type="gramEnd"/>
      <w:r w:rsidRPr="00041C70">
        <w:t xml:space="preserve"> industry consultations as part of the Access SCR process. In addition, the ENA held </w:t>
      </w:r>
      <w:r>
        <w:t>two</w:t>
      </w:r>
      <w:r w:rsidRPr="00041C70">
        <w:t xml:space="preserve"> briefing </w:t>
      </w:r>
      <w:proofErr w:type="gramStart"/>
      <w:r w:rsidRPr="00041C70">
        <w:t>session</w:t>
      </w:r>
      <w:proofErr w:type="gramEnd"/>
      <w:r w:rsidRPr="00041C70">
        <w:t xml:space="preserve"> for parties interested in joining a DCUSA working group on these changes</w:t>
      </w:r>
      <w:r>
        <w:t>.</w:t>
      </w:r>
    </w:p>
    <w:p w14:paraId="3524CBC3" w14:textId="77777777" w:rsidR="00131575" w:rsidRDefault="00131575" w:rsidP="00131575">
      <w:pPr>
        <w:pStyle w:val="Heading2"/>
      </w:pPr>
      <w:r>
        <w:t xml:space="preserve">It should be noted that </w:t>
      </w:r>
      <w:proofErr w:type="gramStart"/>
      <w:r>
        <w:t>in order to</w:t>
      </w:r>
      <w:proofErr w:type="gramEnd"/>
      <w:r>
        <w:t xml:space="preserve"> implement the Access SCR Decision/Access SCR Direction, four DCUSA CPs were raised in total. The other three CPs that relate to the SCR are detailed below: </w:t>
      </w:r>
    </w:p>
    <w:p w14:paraId="5FA9D1C1" w14:textId="77777777" w:rsidR="00131575" w:rsidRDefault="00367AA0">
      <w:pPr>
        <w:pStyle w:val="ListParagraph"/>
        <w:numPr>
          <w:ilvl w:val="0"/>
          <w:numId w:val="23"/>
        </w:numPr>
      </w:pPr>
      <w:hyperlink r:id="rId22" w:history="1">
        <w:r w:rsidR="00131575" w:rsidRPr="00505468">
          <w:rPr>
            <w:rStyle w:val="Hyperlink"/>
          </w:rPr>
          <w:t>DCP 404 ‘Changes to Terms of Connection for Curtailable Customers’</w:t>
        </w:r>
      </w:hyperlink>
    </w:p>
    <w:p w14:paraId="10E0B1C2" w14:textId="22DC758E" w:rsidR="00131575" w:rsidRPr="0068545D" w:rsidRDefault="00367AA0">
      <w:pPr>
        <w:pStyle w:val="ListParagraph"/>
        <w:numPr>
          <w:ilvl w:val="0"/>
          <w:numId w:val="23"/>
        </w:numPr>
        <w:rPr>
          <w:rStyle w:val="Hyperlink"/>
          <w:color w:val="auto"/>
          <w:u w:val="none"/>
        </w:rPr>
      </w:pPr>
      <w:hyperlink r:id="rId23" w:history="1">
        <w:r w:rsidR="00131575" w:rsidRPr="00DB0226">
          <w:rPr>
            <w:rStyle w:val="Hyperlink"/>
          </w:rPr>
          <w:t>DCP 405 ‘Managing Curtailable Connections between Licensed Distribution Networks’</w:t>
        </w:r>
      </w:hyperlink>
    </w:p>
    <w:p w14:paraId="7E9697A2" w14:textId="38E670B3" w:rsidR="0068545D" w:rsidRDefault="00297B65">
      <w:pPr>
        <w:pStyle w:val="ListParagraph"/>
        <w:numPr>
          <w:ilvl w:val="0"/>
          <w:numId w:val="23"/>
        </w:numPr>
      </w:pPr>
      <w:hyperlink r:id="rId24" w:history="1">
        <w:r w:rsidR="0068545D" w:rsidRPr="00297B65">
          <w:rPr>
            <w:rStyle w:val="Hyperlink"/>
          </w:rPr>
          <w:t>DCP 406 ‘Changes to CCCM’</w:t>
        </w:r>
      </w:hyperlink>
    </w:p>
    <w:p w14:paraId="27D3C993" w14:textId="18475F5B" w:rsidR="00C55B77" w:rsidRPr="00C55B77" w:rsidRDefault="00C55B77" w:rsidP="004726B8">
      <w:pPr>
        <w:pStyle w:val="Heading03"/>
      </w:pPr>
      <w:r w:rsidRPr="00C55B77">
        <w:t>Implementation</w:t>
      </w:r>
      <w:r w:rsidR="00B7388B">
        <w:t xml:space="preserve"> </w:t>
      </w:r>
      <w:r w:rsidRPr="00C55B77">
        <w:t>Date</w:t>
      </w:r>
      <w:bookmarkEnd w:id="48"/>
      <w:bookmarkEnd w:id="49"/>
    </w:p>
    <w:p w14:paraId="7A08DF8C" w14:textId="4AF4EBF8" w:rsidR="00F30778" w:rsidRDefault="00F30778" w:rsidP="00F30778">
      <w:pPr>
        <w:pStyle w:val="Heading2"/>
      </w:pPr>
      <w:bookmarkStart w:id="50" w:name="_Toc318967203"/>
      <w:bookmarkStart w:id="51" w:name="_Toc40482678"/>
      <w:bookmarkStart w:id="52" w:name="_Toc88488810"/>
      <w:bookmarkEnd w:id="7"/>
      <w:r>
        <w:t>Clause 11.9A(2) of the DCUSA, sets out that in respect of all Authority Change Proposals, which DCP 40</w:t>
      </w:r>
      <w:r w:rsidR="00367AA0">
        <w:t>7</w:t>
      </w:r>
      <w:r>
        <w:t xml:space="preserve"> </w:t>
      </w:r>
      <w:proofErr w:type="gramStart"/>
      <w:r>
        <w:t>is considered to be</w:t>
      </w:r>
      <w:proofErr w:type="gramEnd"/>
      <w:r>
        <w:t xml:space="preserve">, the Authority may by direction, specify and/or amend the date from which the variation envisaged by the CP is to take effect. </w:t>
      </w:r>
    </w:p>
    <w:p w14:paraId="4174EE67" w14:textId="77777777" w:rsidR="00F30778" w:rsidRDefault="00F30778" w:rsidP="00F30778">
      <w:pPr>
        <w:pStyle w:val="Heading2"/>
        <w:rPr>
          <w:rFonts w:ascii="Calibri" w:eastAsia="Calibri" w:hAnsi="Calibri"/>
          <w:sz w:val="22"/>
          <w:lang w:eastAsia="en-US"/>
        </w:rPr>
      </w:pPr>
      <w:r>
        <w:t xml:space="preserve">Within the Access SCR Direction, the Authority, in accordance with paragraph 22.9E(a) of SLC C22 directed the DNOs to raise one or more code modification proposals in the terms and for the reasons set out in the Annex of the Access SCR Direction in sufficient time to enable the modifications to be effective as of 01 April 2023. </w:t>
      </w:r>
    </w:p>
    <w:p w14:paraId="3DEAB8AA" w14:textId="77777777" w:rsidR="00F30778" w:rsidRDefault="00F30778" w:rsidP="00F30778">
      <w:pPr>
        <w:pStyle w:val="Heading2"/>
        <w:rPr>
          <w:rFonts w:ascii="Calibri" w:eastAsia="Calibri" w:hAnsi="Calibri"/>
          <w:sz w:val="22"/>
          <w:lang w:eastAsia="en-US"/>
        </w:rPr>
      </w:pPr>
      <w:r>
        <w:t>As noted previously, this CP seeks to introduce processes that will implement the Access SCR Decision. Given this, the Working Group agreed that implementation date for this CP should set for 01 April 2023.</w:t>
      </w:r>
    </w:p>
    <w:p w14:paraId="70BB2407" w14:textId="77777777" w:rsidR="00F30778" w:rsidRPr="006C141A" w:rsidRDefault="00F30778" w:rsidP="00F30778">
      <w:pPr>
        <w:pStyle w:val="Heading2"/>
      </w:pPr>
      <w:r>
        <w:t xml:space="preserve">The implementation applies to all new applications received on or after this date.  There will therefore be a transition period where DNOs will continue to issue connection offers based on the existing CCCM for application received </w:t>
      </w:r>
      <w:r w:rsidRPr="00814CFA">
        <w:rPr>
          <w:i/>
        </w:rPr>
        <w:t xml:space="preserve">before </w:t>
      </w:r>
      <w:r>
        <w:t>the Implementation Date.  Therefore, both methodologies will be active for this transition period.</w:t>
      </w:r>
    </w:p>
    <w:p w14:paraId="2E5DB777" w14:textId="144E7A2C" w:rsidR="00F26A9A" w:rsidRPr="00EB32BB" w:rsidRDefault="00F26A9A" w:rsidP="004726B8">
      <w:pPr>
        <w:pStyle w:val="Heading03"/>
      </w:pPr>
      <w:r w:rsidRPr="00EB32BB">
        <w:t>Recommendation</w:t>
      </w:r>
      <w:r>
        <w:t>s</w:t>
      </w:r>
      <w:bookmarkEnd w:id="50"/>
      <w:bookmarkEnd w:id="51"/>
      <w:bookmarkEnd w:id="52"/>
      <w:r w:rsidR="00B7388B">
        <w:t xml:space="preserve"> </w:t>
      </w:r>
    </w:p>
    <w:p w14:paraId="6E2B8D07" w14:textId="2BDA8D49" w:rsidR="00F26A9A" w:rsidRPr="00F26A9A" w:rsidRDefault="00F26A9A" w:rsidP="00F26A9A">
      <w:pPr>
        <w:pStyle w:val="Heading4"/>
      </w:pPr>
      <w:r w:rsidRPr="00F26A9A">
        <w:t>Panel’s</w:t>
      </w:r>
      <w:r w:rsidR="00B7388B">
        <w:t xml:space="preserve"> </w:t>
      </w:r>
      <w:r w:rsidRPr="00F26A9A">
        <w:t>Recommendation</w:t>
      </w:r>
    </w:p>
    <w:p w14:paraId="17CE3CD5" w14:textId="674BF701" w:rsidR="00F26A9A" w:rsidRPr="000E293F" w:rsidRDefault="00F26A9A" w:rsidP="00C6242C">
      <w:pPr>
        <w:pStyle w:val="Heading2"/>
      </w:pPr>
      <w:r w:rsidRPr="000E293F">
        <w:lastRenderedPageBreak/>
        <w:t>The</w:t>
      </w:r>
      <w:r w:rsidR="00B7388B">
        <w:t xml:space="preserve"> </w:t>
      </w:r>
      <w:r w:rsidRPr="000E293F">
        <w:t>Panel</w:t>
      </w:r>
      <w:r w:rsidR="00B7388B">
        <w:t xml:space="preserve"> </w:t>
      </w:r>
      <w:r w:rsidRPr="000E293F">
        <w:t>approved</w:t>
      </w:r>
      <w:r w:rsidR="00B7388B">
        <w:t xml:space="preserve"> </w:t>
      </w:r>
      <w:r w:rsidRPr="000E293F">
        <w:t>this</w:t>
      </w:r>
      <w:r w:rsidR="00B7388B">
        <w:t xml:space="preserve"> </w:t>
      </w:r>
      <w:r w:rsidRPr="000E293F">
        <w:t>Change</w:t>
      </w:r>
      <w:r w:rsidR="00B7388B">
        <w:t xml:space="preserve"> </w:t>
      </w:r>
      <w:r w:rsidRPr="000E293F">
        <w:t>Report</w:t>
      </w:r>
      <w:r w:rsidR="00B7388B">
        <w:t xml:space="preserve"> </w:t>
      </w:r>
      <w:r w:rsidRPr="000E293F">
        <w:t>on</w:t>
      </w:r>
      <w:r w:rsidR="00B7388B">
        <w:t xml:space="preserve"> </w:t>
      </w:r>
      <w:r w:rsidR="004F1623">
        <w:t>05</w:t>
      </w:r>
      <w:r w:rsidR="00717796">
        <w:t xml:space="preserve"> </w:t>
      </w:r>
      <w:r w:rsidR="004F1623">
        <w:t>October</w:t>
      </w:r>
      <w:r w:rsidR="00551A41">
        <w:t xml:space="preserve"> </w:t>
      </w:r>
      <w:r w:rsidR="00E31FE4">
        <w:t>202</w:t>
      </w:r>
      <w:r w:rsidR="00717796">
        <w:t>2</w:t>
      </w:r>
      <w:r w:rsidRPr="000E293F">
        <w:t>.</w:t>
      </w:r>
      <w:r w:rsidR="00B7388B">
        <w:t xml:space="preserve"> </w:t>
      </w:r>
      <w:r w:rsidRPr="000E293F">
        <w:t>The</w:t>
      </w:r>
      <w:r w:rsidR="00B7388B">
        <w:t xml:space="preserve"> </w:t>
      </w:r>
      <w:r w:rsidRPr="000E293F">
        <w:t>Panel</w:t>
      </w:r>
      <w:r w:rsidR="00B7388B">
        <w:t xml:space="preserve"> </w:t>
      </w:r>
      <w:r w:rsidRPr="000E293F">
        <w:t>considered</w:t>
      </w:r>
      <w:r w:rsidR="00B7388B">
        <w:t xml:space="preserve"> </w:t>
      </w:r>
      <w:r w:rsidRPr="000E293F">
        <w:t>that</w:t>
      </w:r>
      <w:r w:rsidR="00B7388B">
        <w:t xml:space="preserve"> </w:t>
      </w:r>
      <w:r w:rsidRPr="000E293F">
        <w:t>the</w:t>
      </w:r>
      <w:r w:rsidR="00B7388B">
        <w:t xml:space="preserve"> </w:t>
      </w:r>
      <w:r>
        <w:t>Working</w:t>
      </w:r>
      <w:r w:rsidR="00B7388B">
        <w:t xml:space="preserve"> </w:t>
      </w:r>
      <w:r>
        <w:t>Group</w:t>
      </w:r>
      <w:r w:rsidR="00B7388B">
        <w:t xml:space="preserve"> </w:t>
      </w:r>
      <w:r w:rsidRPr="000E293F">
        <w:t>has</w:t>
      </w:r>
      <w:r w:rsidR="00B7388B">
        <w:t xml:space="preserve"> </w:t>
      </w:r>
      <w:r w:rsidRPr="000E293F">
        <w:t>carried</w:t>
      </w:r>
      <w:r w:rsidR="00B7388B">
        <w:t xml:space="preserve"> </w:t>
      </w:r>
      <w:r w:rsidRPr="000E293F">
        <w:t>out</w:t>
      </w:r>
      <w:r w:rsidR="00B7388B">
        <w:t xml:space="preserve"> </w:t>
      </w:r>
      <w:r w:rsidRPr="000E293F">
        <w:t>the</w:t>
      </w:r>
      <w:r w:rsidR="00B7388B">
        <w:t xml:space="preserve"> </w:t>
      </w:r>
      <w:r w:rsidRPr="000E293F">
        <w:t>level</w:t>
      </w:r>
      <w:r w:rsidR="00B7388B">
        <w:t xml:space="preserve"> </w:t>
      </w:r>
      <w:r w:rsidRPr="000E293F">
        <w:t>of</w:t>
      </w:r>
      <w:r w:rsidR="00B7388B">
        <w:t xml:space="preserve"> </w:t>
      </w:r>
      <w:r w:rsidRPr="000E293F">
        <w:t>analysis</w:t>
      </w:r>
      <w:r w:rsidR="00B7388B">
        <w:t xml:space="preserve"> </w:t>
      </w:r>
      <w:r w:rsidRPr="000E293F">
        <w:t>required</w:t>
      </w:r>
      <w:r w:rsidR="00B7388B">
        <w:t xml:space="preserve"> </w:t>
      </w:r>
      <w:r w:rsidRPr="000E293F">
        <w:t>to</w:t>
      </w:r>
      <w:r w:rsidR="00B7388B">
        <w:t xml:space="preserve"> </w:t>
      </w:r>
      <w:r w:rsidRPr="000E293F">
        <w:t>enable</w:t>
      </w:r>
      <w:r w:rsidR="00B7388B">
        <w:t xml:space="preserve"> </w:t>
      </w:r>
      <w:r w:rsidRPr="000E293F">
        <w:t>Parties</w:t>
      </w:r>
      <w:r w:rsidR="00B7388B">
        <w:t xml:space="preserve"> </w:t>
      </w:r>
      <w:r w:rsidRPr="000E293F">
        <w:t>to</w:t>
      </w:r>
      <w:r w:rsidR="00B7388B">
        <w:t xml:space="preserve"> </w:t>
      </w:r>
      <w:r w:rsidRPr="000E293F">
        <w:t>understand</w:t>
      </w:r>
      <w:r w:rsidR="00B7388B">
        <w:t xml:space="preserve"> </w:t>
      </w:r>
      <w:r w:rsidRPr="000E293F">
        <w:t>the</w:t>
      </w:r>
      <w:r w:rsidR="00B7388B">
        <w:t xml:space="preserve"> </w:t>
      </w:r>
      <w:r w:rsidRPr="000E293F">
        <w:t>impact</w:t>
      </w:r>
      <w:r w:rsidR="00B7388B">
        <w:t xml:space="preserve"> </w:t>
      </w:r>
      <w:r w:rsidRPr="000E293F">
        <w:t>of</w:t>
      </w:r>
      <w:r w:rsidR="00B7388B">
        <w:t xml:space="preserve"> </w:t>
      </w:r>
      <w:r w:rsidRPr="000E293F">
        <w:t>the</w:t>
      </w:r>
      <w:r w:rsidR="00B7388B">
        <w:t xml:space="preserve"> </w:t>
      </w:r>
      <w:r w:rsidRPr="000E293F">
        <w:t>proposed</w:t>
      </w:r>
      <w:r w:rsidR="00B7388B">
        <w:t xml:space="preserve"> </w:t>
      </w:r>
      <w:r w:rsidRPr="000E293F">
        <w:t>amendment</w:t>
      </w:r>
      <w:r w:rsidR="00B7388B">
        <w:t xml:space="preserve"> </w:t>
      </w:r>
      <w:r w:rsidRPr="000E293F">
        <w:t>and</w:t>
      </w:r>
      <w:r w:rsidR="00B7388B">
        <w:t xml:space="preserve"> </w:t>
      </w:r>
      <w:r w:rsidRPr="000E293F">
        <w:t>to</w:t>
      </w:r>
      <w:r w:rsidR="00B7388B">
        <w:t xml:space="preserve"> </w:t>
      </w:r>
      <w:r w:rsidRPr="000E293F">
        <w:t>vote</w:t>
      </w:r>
      <w:r w:rsidR="00B7388B">
        <w:t xml:space="preserve"> </w:t>
      </w:r>
      <w:r w:rsidRPr="000E293F">
        <w:t>on</w:t>
      </w:r>
      <w:r w:rsidR="00B7388B">
        <w:t xml:space="preserve"> </w:t>
      </w:r>
      <w:r w:rsidRPr="000E293F">
        <w:t>DCP</w:t>
      </w:r>
      <w:r w:rsidR="00B7388B">
        <w:t xml:space="preserve"> </w:t>
      </w:r>
      <w:r w:rsidR="004F1623">
        <w:t>40</w:t>
      </w:r>
      <w:r w:rsidR="00367AA0">
        <w:t>7</w:t>
      </w:r>
      <w:r>
        <w:t>.</w:t>
      </w:r>
    </w:p>
    <w:p w14:paraId="5E007172" w14:textId="5462EE7A" w:rsidR="00F26A9A" w:rsidRDefault="00F26A9A" w:rsidP="00C6242C">
      <w:pPr>
        <w:pStyle w:val="Heading2"/>
      </w:pPr>
      <w:r w:rsidRPr="000E293F">
        <w:t>The</w:t>
      </w:r>
      <w:r w:rsidR="00B7388B">
        <w:t xml:space="preserve"> </w:t>
      </w:r>
      <w:r w:rsidRPr="000E293F">
        <w:t>Panel</w:t>
      </w:r>
      <w:r w:rsidR="00B7388B">
        <w:t xml:space="preserve"> </w:t>
      </w:r>
      <w:r w:rsidRPr="000E293F">
        <w:t>have</w:t>
      </w:r>
      <w:r w:rsidR="00B7388B">
        <w:t xml:space="preserve"> </w:t>
      </w:r>
      <w:r w:rsidRPr="000E293F">
        <w:t>recommended</w:t>
      </w:r>
      <w:r w:rsidR="00B7388B">
        <w:t xml:space="preserve"> </w:t>
      </w:r>
      <w:r w:rsidRPr="000E293F">
        <w:t>this</w:t>
      </w:r>
      <w:r w:rsidR="00B7388B">
        <w:t xml:space="preserve"> </w:t>
      </w:r>
      <w:r w:rsidRPr="000E293F">
        <w:t>report</w:t>
      </w:r>
      <w:r w:rsidR="00B7388B">
        <w:t xml:space="preserve"> </w:t>
      </w:r>
      <w:r>
        <w:t>be</w:t>
      </w:r>
      <w:r w:rsidR="00B7388B">
        <w:t xml:space="preserve"> </w:t>
      </w:r>
      <w:r w:rsidRPr="000E293F">
        <w:t>issued</w:t>
      </w:r>
      <w:r w:rsidR="00B7388B">
        <w:t xml:space="preserve"> </w:t>
      </w:r>
      <w:r w:rsidRPr="000E293F">
        <w:t>for</w:t>
      </w:r>
      <w:r w:rsidR="00B7388B">
        <w:t xml:space="preserve"> </w:t>
      </w:r>
      <w:r>
        <w:t>v</w:t>
      </w:r>
      <w:r w:rsidRPr="000E293F">
        <w:t>oting</w:t>
      </w:r>
      <w:r w:rsidR="00B7388B">
        <w:t xml:space="preserve"> </w:t>
      </w:r>
      <w:r>
        <w:t>for</w:t>
      </w:r>
      <w:r w:rsidR="00B7388B">
        <w:t xml:space="preserve"> </w:t>
      </w:r>
      <w:r>
        <w:t>a</w:t>
      </w:r>
      <w:r w:rsidR="00B7388B">
        <w:t xml:space="preserve"> </w:t>
      </w:r>
      <w:r>
        <w:t>period</w:t>
      </w:r>
      <w:r w:rsidR="00B7388B">
        <w:t xml:space="preserve"> </w:t>
      </w:r>
      <w:r>
        <w:t>of</w:t>
      </w:r>
      <w:r w:rsidR="00B7388B">
        <w:t xml:space="preserve"> </w:t>
      </w:r>
      <w:r>
        <w:t>t</w:t>
      </w:r>
      <w:r w:rsidR="00913E1C">
        <w:t>wo</w:t>
      </w:r>
      <w:r w:rsidR="00B7388B">
        <w:t xml:space="preserve"> </w:t>
      </w:r>
      <w:r>
        <w:t>weeks</w:t>
      </w:r>
      <w:r w:rsidR="00B7388B">
        <w:t xml:space="preserve"> </w:t>
      </w:r>
      <w:r w:rsidRPr="000E293F">
        <w:t>and</w:t>
      </w:r>
      <w:r w:rsidR="00B7388B">
        <w:t xml:space="preserve"> </w:t>
      </w:r>
      <w:r w:rsidRPr="000E293F">
        <w:t>DCUSA</w:t>
      </w:r>
      <w:r w:rsidR="00B7388B">
        <w:t xml:space="preserve"> </w:t>
      </w:r>
      <w:r w:rsidRPr="000E293F">
        <w:t>Parties</w:t>
      </w:r>
      <w:r w:rsidR="00B7388B">
        <w:t xml:space="preserve"> </w:t>
      </w:r>
      <w:r w:rsidRPr="000E293F">
        <w:t>should</w:t>
      </w:r>
      <w:r w:rsidR="00B7388B">
        <w:t xml:space="preserve"> </w:t>
      </w:r>
      <w:r w:rsidRPr="000E293F">
        <w:t>consider</w:t>
      </w:r>
      <w:r w:rsidR="00B7388B">
        <w:t xml:space="preserve"> </w:t>
      </w:r>
      <w:r w:rsidRPr="000E293F">
        <w:t>whether</w:t>
      </w:r>
      <w:r w:rsidR="00B7388B">
        <w:t xml:space="preserve"> </w:t>
      </w:r>
      <w:r w:rsidRPr="000E293F">
        <w:t>they</w:t>
      </w:r>
      <w:r w:rsidR="00B7388B">
        <w:t xml:space="preserve"> </w:t>
      </w:r>
      <w:r w:rsidRPr="000E293F">
        <w:t>wish</w:t>
      </w:r>
      <w:r w:rsidR="00B7388B">
        <w:t xml:space="preserve"> </w:t>
      </w:r>
      <w:r w:rsidRPr="000E293F">
        <w:t>to</w:t>
      </w:r>
      <w:r w:rsidR="00B7388B">
        <w:t xml:space="preserve"> </w:t>
      </w:r>
      <w:r w:rsidRPr="000E293F">
        <w:t>submit</w:t>
      </w:r>
      <w:r w:rsidR="00B7388B">
        <w:t xml:space="preserve"> </w:t>
      </w:r>
      <w:r w:rsidRPr="000E293F">
        <w:t>views</w:t>
      </w:r>
      <w:r w:rsidR="00B7388B">
        <w:t xml:space="preserve"> </w:t>
      </w:r>
      <w:r w:rsidRPr="000E293F">
        <w:t>regarding</w:t>
      </w:r>
      <w:r w:rsidR="00B7388B">
        <w:t xml:space="preserve"> </w:t>
      </w:r>
      <w:r w:rsidRPr="000E293F">
        <w:t>this</w:t>
      </w:r>
      <w:r w:rsidR="00B7388B">
        <w:t xml:space="preserve"> </w:t>
      </w:r>
      <w:r>
        <w:t>CP</w:t>
      </w:r>
      <w:r w:rsidRPr="000E293F">
        <w:t>.</w:t>
      </w:r>
      <w:r w:rsidR="00B7388B">
        <w:t xml:space="preserve"> </w:t>
      </w:r>
      <w:r w:rsidRPr="000E293F">
        <w:t>The</w:t>
      </w:r>
      <w:r w:rsidR="00B7388B">
        <w:t xml:space="preserve"> </w:t>
      </w:r>
      <w:r w:rsidRPr="000E293F">
        <w:t>Voting</w:t>
      </w:r>
      <w:r w:rsidR="00B7388B">
        <w:t xml:space="preserve"> </w:t>
      </w:r>
      <w:r w:rsidRPr="000E293F">
        <w:t>Form</w:t>
      </w:r>
      <w:r w:rsidR="00B7388B">
        <w:t xml:space="preserve"> </w:t>
      </w:r>
      <w:r w:rsidRPr="000E293F">
        <w:t>can</w:t>
      </w:r>
      <w:r w:rsidR="00B7388B">
        <w:t xml:space="preserve"> </w:t>
      </w:r>
      <w:r w:rsidRPr="000E293F">
        <w:t>be</w:t>
      </w:r>
      <w:r w:rsidR="00B7388B">
        <w:t xml:space="preserve"> </w:t>
      </w:r>
      <w:r w:rsidRPr="000E293F">
        <w:t>found</w:t>
      </w:r>
      <w:r w:rsidR="00B7388B">
        <w:t xml:space="preserve"> </w:t>
      </w:r>
      <w:r w:rsidRPr="000E293F">
        <w:t>in</w:t>
      </w:r>
      <w:r w:rsidR="00B7388B">
        <w:t xml:space="preserve"> </w:t>
      </w:r>
      <w:r w:rsidRPr="000E293F">
        <w:t>Attachment</w:t>
      </w:r>
      <w:r w:rsidR="00B7388B">
        <w:t xml:space="preserve"> </w:t>
      </w:r>
      <w:r w:rsidRPr="000E293F">
        <w:t>2.</w:t>
      </w:r>
    </w:p>
    <w:p w14:paraId="538BA5CF" w14:textId="2D597019" w:rsidR="002733C1" w:rsidRPr="00FD64CC" w:rsidRDefault="002733C1" w:rsidP="004726B8">
      <w:pPr>
        <w:pStyle w:val="Heading03"/>
      </w:pPr>
      <w:bookmarkStart w:id="53" w:name="_Toc77143162"/>
      <w:bookmarkStart w:id="54" w:name="_Toc88488811"/>
      <w:r w:rsidRPr="00FD64CC">
        <w:t>Attachments</w:t>
      </w:r>
      <w:bookmarkEnd w:id="53"/>
      <w:bookmarkEnd w:id="54"/>
      <w:r w:rsidR="00B7388B">
        <w:t xml:space="preserve"> </w:t>
      </w:r>
    </w:p>
    <w:p w14:paraId="2F64EB63" w14:textId="5B9BA8B3" w:rsidR="002A3F8F" w:rsidRPr="002A3F8F" w:rsidRDefault="002A3F8F" w:rsidP="00FF1473">
      <w:pPr>
        <w:keepLines/>
        <w:numPr>
          <w:ilvl w:val="0"/>
          <w:numId w:val="16"/>
        </w:numPr>
      </w:pPr>
      <w:r w:rsidRPr="002A3F8F">
        <w:t>Attachment</w:t>
      </w:r>
      <w:r w:rsidR="00B7388B">
        <w:t xml:space="preserve"> </w:t>
      </w:r>
      <w:r w:rsidRPr="002A3F8F">
        <w:t>1</w:t>
      </w:r>
      <w:r w:rsidR="00B7388B">
        <w:t xml:space="preserve"> </w:t>
      </w:r>
      <w:r w:rsidRPr="002A3F8F">
        <w:t>–</w:t>
      </w:r>
      <w:r w:rsidR="00B7388B">
        <w:t xml:space="preserve"> </w:t>
      </w:r>
      <w:r w:rsidR="00C84527" w:rsidRPr="002A3F8F">
        <w:t>DCP</w:t>
      </w:r>
      <w:r w:rsidR="00B7388B">
        <w:t xml:space="preserve"> </w:t>
      </w:r>
      <w:r w:rsidR="00913E1C">
        <w:t>40</w:t>
      </w:r>
      <w:r w:rsidR="00367AA0">
        <w:t>7</w:t>
      </w:r>
      <w:r w:rsidR="00B7388B">
        <w:t xml:space="preserve"> </w:t>
      </w:r>
      <w:r w:rsidR="00C84527">
        <w:t>Legal</w:t>
      </w:r>
      <w:r w:rsidR="00B7388B">
        <w:t xml:space="preserve"> </w:t>
      </w:r>
      <w:r w:rsidR="00C84527">
        <w:t>Text</w:t>
      </w:r>
    </w:p>
    <w:p w14:paraId="4DA7121A" w14:textId="0EF67C73" w:rsidR="002A3F8F" w:rsidRPr="002A3F8F" w:rsidRDefault="002A3F8F" w:rsidP="00FF1473">
      <w:pPr>
        <w:keepLines/>
        <w:numPr>
          <w:ilvl w:val="0"/>
          <w:numId w:val="16"/>
        </w:numPr>
      </w:pPr>
      <w:r w:rsidRPr="002A3F8F">
        <w:t>Attachment</w:t>
      </w:r>
      <w:r w:rsidR="00B7388B">
        <w:t xml:space="preserve"> </w:t>
      </w:r>
      <w:r w:rsidRPr="002A3F8F">
        <w:t>2</w:t>
      </w:r>
      <w:r w:rsidR="00B7388B">
        <w:t xml:space="preserve"> </w:t>
      </w:r>
      <w:r w:rsidRPr="002A3F8F">
        <w:t>–</w:t>
      </w:r>
      <w:r w:rsidR="00B7388B">
        <w:t xml:space="preserve"> </w:t>
      </w:r>
      <w:r w:rsidRPr="002A3F8F">
        <w:t>DCP</w:t>
      </w:r>
      <w:r w:rsidR="00B7388B">
        <w:t xml:space="preserve"> </w:t>
      </w:r>
      <w:r w:rsidR="00913E1C">
        <w:t>40</w:t>
      </w:r>
      <w:r w:rsidR="00367AA0">
        <w:t>7</w:t>
      </w:r>
      <w:r w:rsidR="00B7388B">
        <w:t xml:space="preserve"> </w:t>
      </w:r>
      <w:r w:rsidR="00C84527">
        <w:t>Voting</w:t>
      </w:r>
      <w:r w:rsidR="00B7388B">
        <w:t xml:space="preserve"> </w:t>
      </w:r>
      <w:r w:rsidR="00C84527">
        <w:t>Response</w:t>
      </w:r>
      <w:r w:rsidR="00B7388B">
        <w:t xml:space="preserve"> </w:t>
      </w:r>
      <w:r>
        <w:t>Form</w:t>
      </w:r>
    </w:p>
    <w:p w14:paraId="6D4FEBDA" w14:textId="248672A6" w:rsidR="00C84527" w:rsidRDefault="005379FD" w:rsidP="00FF1473">
      <w:pPr>
        <w:keepLines/>
        <w:numPr>
          <w:ilvl w:val="0"/>
          <w:numId w:val="16"/>
        </w:numPr>
      </w:pPr>
      <w:bookmarkStart w:id="55" w:name="_Hlk77142709"/>
      <w:r>
        <w:t>Attachment</w:t>
      </w:r>
      <w:r w:rsidR="00B7388B">
        <w:t xml:space="preserve"> </w:t>
      </w:r>
      <w:r w:rsidR="00D734DB">
        <w:t>3</w:t>
      </w:r>
      <w:r w:rsidR="00B7388B">
        <w:t xml:space="preserve"> </w:t>
      </w:r>
      <w:r>
        <w:t>–</w:t>
      </w:r>
      <w:r w:rsidR="00B7388B">
        <w:t xml:space="preserve"> </w:t>
      </w:r>
      <w:r w:rsidR="00C84527" w:rsidRPr="002A3F8F">
        <w:t>DCP</w:t>
      </w:r>
      <w:r w:rsidR="00B7388B">
        <w:t xml:space="preserve"> </w:t>
      </w:r>
      <w:r w:rsidR="00913E1C">
        <w:t>40</w:t>
      </w:r>
      <w:r w:rsidR="00367AA0">
        <w:t>7</w:t>
      </w:r>
      <w:r w:rsidR="00B7388B">
        <w:t xml:space="preserve"> </w:t>
      </w:r>
      <w:r w:rsidR="00C84527">
        <w:t>Consultation</w:t>
      </w:r>
      <w:r w:rsidR="00B7388B">
        <w:t xml:space="preserve"> </w:t>
      </w:r>
      <w:r w:rsidR="00C84527">
        <w:t>and</w:t>
      </w:r>
      <w:r w:rsidR="00B7388B">
        <w:t xml:space="preserve"> </w:t>
      </w:r>
      <w:r w:rsidR="00C84527">
        <w:t>Responses</w:t>
      </w:r>
      <w:r w:rsidR="00B7388B">
        <w:t xml:space="preserve"> </w:t>
      </w:r>
    </w:p>
    <w:p w14:paraId="0BC7A21E" w14:textId="0B341E1F" w:rsidR="00D04D31" w:rsidRPr="00D734DB" w:rsidRDefault="00C84527" w:rsidP="00913E1C">
      <w:pPr>
        <w:keepLines/>
        <w:numPr>
          <w:ilvl w:val="0"/>
          <w:numId w:val="16"/>
        </w:numPr>
      </w:pPr>
      <w:r>
        <w:t>Attachment</w:t>
      </w:r>
      <w:r w:rsidR="00B7388B">
        <w:t xml:space="preserve"> </w:t>
      </w:r>
      <w:r>
        <w:t>4</w:t>
      </w:r>
      <w:r w:rsidR="00B7388B">
        <w:t xml:space="preserve"> </w:t>
      </w:r>
      <w:r>
        <w:t>–</w:t>
      </w:r>
      <w:r w:rsidR="00B7388B">
        <w:t xml:space="preserve"> </w:t>
      </w:r>
      <w:r w:rsidRPr="002A3F8F">
        <w:t>DCP</w:t>
      </w:r>
      <w:r w:rsidR="00B7388B">
        <w:t xml:space="preserve"> </w:t>
      </w:r>
      <w:r w:rsidR="00913E1C">
        <w:t>40</w:t>
      </w:r>
      <w:r w:rsidR="00367AA0">
        <w:t>7</w:t>
      </w:r>
      <w:r w:rsidR="00B7388B">
        <w:t xml:space="preserve"> </w:t>
      </w:r>
      <w:r>
        <w:t>Change</w:t>
      </w:r>
      <w:r w:rsidR="00B7388B">
        <w:t xml:space="preserve"> </w:t>
      </w:r>
      <w:r>
        <w:t>Proposal</w:t>
      </w:r>
      <w:r w:rsidR="00B7388B">
        <w:t xml:space="preserve"> </w:t>
      </w:r>
      <w:r>
        <w:t>Form</w:t>
      </w:r>
      <w:bookmarkEnd w:id="55"/>
    </w:p>
    <w:sectPr w:rsidR="00D04D31" w:rsidRPr="00D734DB" w:rsidSect="004726B8">
      <w:headerReference w:type="default" r:id="rId25"/>
      <w:footerReference w:type="default" r:id="rId26"/>
      <w:pgSz w:w="11906" w:h="16838" w:code="9"/>
      <w:pgMar w:top="1134" w:right="1080" w:bottom="709" w:left="1080" w:header="142"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228CE" w14:textId="77777777" w:rsidR="00733172" w:rsidRDefault="00733172">
      <w:pPr>
        <w:spacing w:line="240" w:lineRule="auto"/>
      </w:pPr>
      <w:r>
        <w:separator/>
      </w:r>
    </w:p>
    <w:p w14:paraId="65E459C6" w14:textId="77777777" w:rsidR="00733172" w:rsidRDefault="00733172"/>
    <w:p w14:paraId="0454F333" w14:textId="77777777" w:rsidR="00733172" w:rsidRDefault="00733172"/>
  </w:endnote>
  <w:endnote w:type="continuationSeparator" w:id="0">
    <w:p w14:paraId="619D9AE7" w14:textId="77777777" w:rsidR="00733172" w:rsidRDefault="00733172">
      <w:pPr>
        <w:spacing w:line="240" w:lineRule="auto"/>
      </w:pPr>
      <w:r>
        <w:continuationSeparator/>
      </w:r>
    </w:p>
    <w:p w14:paraId="764C8B8C" w14:textId="77777777" w:rsidR="00733172" w:rsidRDefault="00733172"/>
    <w:p w14:paraId="71926ED2" w14:textId="77777777" w:rsidR="00733172" w:rsidRDefault="00733172"/>
  </w:endnote>
  <w:endnote w:type="continuationNotice" w:id="1">
    <w:p w14:paraId="6AA507C8" w14:textId="77777777" w:rsidR="00733172" w:rsidRDefault="00733172">
      <w:pPr>
        <w:spacing w:before="0" w:after="0" w:line="240" w:lineRule="auto"/>
      </w:pPr>
    </w:p>
    <w:p w14:paraId="58286942" w14:textId="77777777" w:rsidR="00733172" w:rsidRDefault="00733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FCF6" w14:textId="2492D625" w:rsidR="00C30383" w:rsidRPr="00DE2A44" w:rsidRDefault="00C30383" w:rsidP="006B18A6">
    <w:pPr>
      <w:pStyle w:val="Footer"/>
      <w:pBdr>
        <w:top w:val="single" w:sz="4" w:space="10" w:color="auto"/>
      </w:pBdr>
      <w:spacing w:before="240" w:after="0"/>
      <w:contextualSpacing/>
      <w:rPr>
        <w:sz w:val="16"/>
        <w:szCs w:val="16"/>
      </w:rPr>
    </w:pPr>
    <w:r w:rsidRPr="00DE2A44">
      <w:rPr>
        <w:sz w:val="16"/>
        <w:szCs w:val="16"/>
      </w:rPr>
      <w:t xml:space="preserve">DCP </w:t>
    </w:r>
    <w:r w:rsidR="008A20C6">
      <w:rPr>
        <w:sz w:val="16"/>
        <w:szCs w:val="16"/>
      </w:rPr>
      <w:t>40</w:t>
    </w:r>
    <w:r w:rsidR="007E7783">
      <w:rPr>
        <w:sz w:val="16"/>
        <w:szCs w:val="16"/>
      </w:rPr>
      <w:t>7</w:t>
    </w:r>
    <w:r w:rsidRPr="00DE2A44">
      <w:rPr>
        <w:sz w:val="16"/>
        <w:szCs w:val="16"/>
      </w:rPr>
      <w:ptab w:relativeTo="margin" w:alignment="center" w:leader="none"/>
    </w:r>
    <w:r w:rsidRPr="00DE2A44">
      <w:rPr>
        <w:sz w:val="16"/>
        <w:szCs w:val="16"/>
      </w:rPr>
      <w:t xml:space="preserve"> </w:t>
    </w:r>
    <w:sdt>
      <w:sdtPr>
        <w:rPr>
          <w:sz w:val="16"/>
          <w:szCs w:val="16"/>
        </w:rPr>
        <w:id w:val="303589751"/>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r w:rsidRPr="00DE2A44">
              <w:rPr>
                <w:sz w:val="16"/>
                <w:szCs w:val="16"/>
              </w:rPr>
              <w:t xml:space="preserve">Page </w:t>
            </w:r>
            <w:r w:rsidRPr="00DE2A44">
              <w:rPr>
                <w:b/>
                <w:bCs/>
                <w:sz w:val="16"/>
                <w:szCs w:val="16"/>
              </w:rPr>
              <w:fldChar w:fldCharType="begin"/>
            </w:r>
            <w:r w:rsidRPr="00DE2A44">
              <w:rPr>
                <w:b/>
                <w:bCs/>
                <w:sz w:val="16"/>
                <w:szCs w:val="16"/>
              </w:rPr>
              <w:instrText xml:space="preserve"> PAGE </w:instrText>
            </w:r>
            <w:r w:rsidRPr="00DE2A44">
              <w:rPr>
                <w:b/>
                <w:bCs/>
                <w:sz w:val="16"/>
                <w:szCs w:val="16"/>
              </w:rPr>
              <w:fldChar w:fldCharType="separate"/>
            </w:r>
            <w:r w:rsidRPr="00DE2A44">
              <w:rPr>
                <w:b/>
                <w:bCs/>
                <w:sz w:val="16"/>
                <w:szCs w:val="16"/>
              </w:rPr>
              <w:t>1</w:t>
            </w:r>
            <w:r w:rsidRPr="00DE2A44">
              <w:rPr>
                <w:b/>
                <w:bCs/>
                <w:sz w:val="16"/>
                <w:szCs w:val="16"/>
              </w:rPr>
              <w:fldChar w:fldCharType="end"/>
            </w:r>
            <w:r w:rsidRPr="00DE2A44">
              <w:rPr>
                <w:sz w:val="16"/>
                <w:szCs w:val="16"/>
              </w:rPr>
              <w:t xml:space="preserve"> of </w:t>
            </w:r>
            <w:r w:rsidRPr="00DE2A44">
              <w:rPr>
                <w:b/>
                <w:bCs/>
                <w:sz w:val="16"/>
                <w:szCs w:val="16"/>
              </w:rPr>
              <w:fldChar w:fldCharType="begin"/>
            </w:r>
            <w:r w:rsidRPr="00DE2A44">
              <w:rPr>
                <w:b/>
                <w:bCs/>
                <w:sz w:val="16"/>
                <w:szCs w:val="16"/>
              </w:rPr>
              <w:instrText xml:space="preserve"> NUMPAGES  </w:instrText>
            </w:r>
            <w:r w:rsidRPr="00DE2A44">
              <w:rPr>
                <w:b/>
                <w:bCs/>
                <w:sz w:val="16"/>
                <w:szCs w:val="16"/>
              </w:rPr>
              <w:fldChar w:fldCharType="separate"/>
            </w:r>
            <w:r w:rsidRPr="00DE2A44">
              <w:rPr>
                <w:b/>
                <w:bCs/>
                <w:sz w:val="16"/>
                <w:szCs w:val="16"/>
              </w:rPr>
              <w:t>14</w:t>
            </w:r>
            <w:r w:rsidRPr="00DE2A44">
              <w:rPr>
                <w:b/>
                <w:bCs/>
                <w:sz w:val="16"/>
                <w:szCs w:val="16"/>
              </w:rPr>
              <w:fldChar w:fldCharType="end"/>
            </w:r>
          </w:sdtContent>
        </w:sdt>
      </w:sdtContent>
    </w:sdt>
    <w:r w:rsidRPr="00DE2A44">
      <w:rPr>
        <w:sz w:val="16"/>
        <w:szCs w:val="16"/>
      </w:rPr>
      <w:ptab w:relativeTo="margin" w:alignment="right" w:leader="none"/>
    </w:r>
    <w:r w:rsidRPr="00DE2A44">
      <w:rPr>
        <w:sz w:val="16"/>
        <w:szCs w:val="16"/>
      </w:rPr>
      <w:t xml:space="preserve">Version 1.0 </w:t>
    </w:r>
  </w:p>
  <w:p w14:paraId="62A74863" w14:textId="7D44022B" w:rsidR="00C30383" w:rsidRPr="00DE2A44" w:rsidRDefault="006B18A6" w:rsidP="006B18A6">
    <w:pPr>
      <w:pStyle w:val="Footer"/>
      <w:pBdr>
        <w:top w:val="single" w:sz="4" w:space="10" w:color="auto"/>
      </w:pBdr>
      <w:spacing w:before="240" w:after="0"/>
      <w:contextualSpacing/>
      <w:rPr>
        <w:sz w:val="16"/>
        <w:szCs w:val="16"/>
      </w:rPr>
    </w:pPr>
    <w:r w:rsidRPr="00DE2A44">
      <w:rPr>
        <w:sz w:val="16"/>
        <w:szCs w:val="16"/>
      </w:rPr>
      <w:t xml:space="preserve">DCUSA </w:t>
    </w:r>
    <w:r w:rsidR="004C6A9B" w:rsidRPr="00DE2A44">
      <w:rPr>
        <w:sz w:val="16"/>
        <w:szCs w:val="16"/>
      </w:rPr>
      <w:t>Change Report</w:t>
    </w:r>
    <w:r w:rsidR="00C30383" w:rsidRPr="00DE2A44">
      <w:rPr>
        <w:sz w:val="16"/>
        <w:szCs w:val="16"/>
      </w:rPr>
      <w:t xml:space="preserve"> </w:t>
    </w:r>
    <w:r w:rsidR="00C30383" w:rsidRPr="00DE2A44">
      <w:rPr>
        <w:sz w:val="16"/>
        <w:szCs w:val="16"/>
      </w:rPr>
      <w:ptab w:relativeTo="margin" w:alignment="center" w:leader="none"/>
    </w:r>
    <w:r w:rsidR="00C30383" w:rsidRPr="00DE2A44">
      <w:rPr>
        <w:sz w:val="16"/>
        <w:szCs w:val="16"/>
      </w:rPr>
      <w:t xml:space="preserve">© 2016 all rights reserved </w:t>
    </w:r>
    <w:r w:rsidR="00C30383" w:rsidRPr="00DE2A44">
      <w:rPr>
        <w:sz w:val="16"/>
        <w:szCs w:val="16"/>
      </w:rPr>
      <w:ptab w:relativeTo="margin" w:alignment="right" w:leader="none"/>
    </w:r>
    <w:r w:rsidR="008A20C6">
      <w:rPr>
        <w:sz w:val="16"/>
        <w:szCs w:val="16"/>
      </w:rPr>
      <w:t>12</w:t>
    </w:r>
    <w:r w:rsidR="00DE2A44">
      <w:rPr>
        <w:sz w:val="16"/>
        <w:szCs w:val="16"/>
      </w:rPr>
      <w:t xml:space="preserve"> </w:t>
    </w:r>
    <w:r w:rsidR="008A20C6">
      <w:rPr>
        <w:sz w:val="16"/>
        <w:szCs w:val="16"/>
      </w:rPr>
      <w:t>August</w:t>
    </w:r>
    <w:r w:rsidR="00551A41" w:rsidRPr="00DE2A44">
      <w:rPr>
        <w:sz w:val="16"/>
        <w:szCs w:val="16"/>
      </w:rPr>
      <w:t xml:space="preserve"> </w:t>
    </w:r>
    <w:r w:rsidR="00C30383" w:rsidRPr="00DE2A44">
      <w:rPr>
        <w:sz w:val="16"/>
        <w:szCs w:val="16"/>
      </w:rPr>
      <w:t>202</w:t>
    </w:r>
    <w:r w:rsidR="0071779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F84C1" w14:textId="77777777" w:rsidR="00733172" w:rsidRDefault="00733172">
      <w:pPr>
        <w:spacing w:line="240" w:lineRule="auto"/>
      </w:pPr>
      <w:r>
        <w:separator/>
      </w:r>
    </w:p>
    <w:p w14:paraId="15449491" w14:textId="77777777" w:rsidR="00733172" w:rsidRDefault="00733172"/>
    <w:p w14:paraId="030437DA" w14:textId="77777777" w:rsidR="00733172" w:rsidRDefault="00733172"/>
  </w:footnote>
  <w:footnote w:type="continuationSeparator" w:id="0">
    <w:p w14:paraId="38272830" w14:textId="77777777" w:rsidR="00733172" w:rsidRDefault="00733172">
      <w:pPr>
        <w:spacing w:line="240" w:lineRule="auto"/>
      </w:pPr>
      <w:r>
        <w:continuationSeparator/>
      </w:r>
    </w:p>
    <w:p w14:paraId="513D94C6" w14:textId="77777777" w:rsidR="00733172" w:rsidRDefault="00733172"/>
    <w:p w14:paraId="428159E1" w14:textId="77777777" w:rsidR="00733172" w:rsidRDefault="00733172"/>
  </w:footnote>
  <w:footnote w:type="continuationNotice" w:id="1">
    <w:p w14:paraId="00EBD80C" w14:textId="77777777" w:rsidR="00733172" w:rsidRDefault="00733172">
      <w:pPr>
        <w:spacing w:before="0" w:after="0" w:line="240" w:lineRule="auto"/>
      </w:pPr>
    </w:p>
    <w:p w14:paraId="72CBF00A" w14:textId="77777777" w:rsidR="00733172" w:rsidRDefault="007331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5E84" w14:textId="01219599" w:rsidR="00F23793" w:rsidRDefault="00DD5540">
    <w:pPr>
      <w:pStyle w:val="Header"/>
    </w:pPr>
    <w:r>
      <w:rPr>
        <w:noProof/>
      </w:rPr>
      <w:drawing>
        <wp:anchor distT="0" distB="0" distL="114300" distR="114300" simplePos="0" relativeHeight="251665408" behindDoc="0" locked="0" layoutInCell="1" allowOverlap="1" wp14:anchorId="27E7B173" wp14:editId="0C3D7FC4">
          <wp:simplePos x="0" y="0"/>
          <wp:positionH relativeFrom="margin">
            <wp:posOffset>3851910</wp:posOffset>
          </wp:positionH>
          <wp:positionV relativeFrom="paragraph">
            <wp:posOffset>-60713</wp:posOffset>
          </wp:positionV>
          <wp:extent cx="2317750" cy="784860"/>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F23793">
      <w:ptab w:relativeTo="margin" w:alignment="right" w:leader="none"/>
    </w:r>
  </w:p>
  <w:p w14:paraId="7686A88B" w14:textId="77777777" w:rsidR="00F23793" w:rsidRDefault="00F237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D2EB5DC"/>
    <w:lvl w:ilvl="0">
      <w:start w:val="1"/>
      <w:numFmt w:val="decimal"/>
      <w:pStyle w:val="ListNumber4"/>
      <w:lvlText w:val="%1."/>
      <w:lvlJc w:val="left"/>
      <w:pPr>
        <w:tabs>
          <w:tab w:val="num" w:pos="1635"/>
        </w:tabs>
        <w:ind w:left="1635" w:hanging="360"/>
      </w:pPr>
      <w:rPr>
        <w:color w:val="auto"/>
      </w:rPr>
    </w:lvl>
  </w:abstractNum>
  <w:abstractNum w:abstractNumId="1" w15:restartNumberingAfterBreak="0">
    <w:nsid w:val="0137CEF6"/>
    <w:multiLevelType w:val="multilevel"/>
    <w:tmpl w:val="399A31C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 w15:restartNumberingAfterBreak="0">
    <w:nsid w:val="06314909"/>
    <w:multiLevelType w:val="multilevel"/>
    <w:tmpl w:val="31EE01DC"/>
    <w:lvl w:ilvl="0">
      <w:start w:val="1"/>
      <w:numFmt w:val="decimal"/>
      <w:pStyle w:val="Heading03"/>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bCs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0E1738E4"/>
    <w:multiLevelType w:val="hybridMultilevel"/>
    <w:tmpl w:val="D730CA3C"/>
    <w:lvl w:ilvl="0" w:tplc="5C4C4E5C">
      <w:start w:val="16"/>
      <w:numFmt w:val="decimal"/>
      <w:lvlText w:val="%1)"/>
      <w:lvlJc w:val="left"/>
      <w:pPr>
        <w:ind w:left="602" w:hanging="360"/>
      </w:pPr>
      <w:rPr>
        <w:rFonts w:ascii="Arial" w:eastAsia="Verdana" w:hAnsi="Arial" w:cs="Arial" w:hint="default"/>
        <w:b w:val="0"/>
        <w:bCs w:val="0"/>
        <w:i w:val="0"/>
        <w:iCs w:val="0"/>
        <w:w w:val="99"/>
        <w:sz w:val="20"/>
        <w:szCs w:val="20"/>
      </w:rPr>
    </w:lvl>
    <w:lvl w:ilvl="1" w:tplc="FFFFFFFF">
      <w:start w:val="1"/>
      <w:numFmt w:val="lowerRoman"/>
      <w:lvlText w:val="%2)"/>
      <w:lvlJc w:val="right"/>
      <w:pPr>
        <w:ind w:left="1440" w:hanging="360"/>
      </w:pPr>
      <w:rPr>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57CE9C"/>
    <w:multiLevelType w:val="multilevel"/>
    <w:tmpl w:val="7E701A8E"/>
    <w:lvl w:ilvl="0">
      <w:start w:val="1"/>
      <w:numFmt w:val="decimal"/>
      <w:lvlText w:val="%1."/>
      <w:lvlJc w:val="left"/>
      <w:pPr>
        <w:ind w:left="938" w:hanging="360"/>
      </w:pPr>
    </w:lvl>
    <w:lvl w:ilvl="1">
      <w:start w:val="1"/>
      <w:numFmt w:val="decimal"/>
      <w:lvlText w:val="%1.%2."/>
      <w:lvlJc w:val="left"/>
      <w:pPr>
        <w:ind w:left="1658" w:hanging="360"/>
      </w:pPr>
    </w:lvl>
    <w:lvl w:ilvl="2">
      <w:start w:val="1"/>
      <w:numFmt w:val="decimal"/>
      <w:lvlText w:val="%1.%2.%3."/>
      <w:lvlJc w:val="left"/>
      <w:pPr>
        <w:ind w:left="2378" w:hanging="180"/>
      </w:pPr>
    </w:lvl>
    <w:lvl w:ilvl="3">
      <w:start w:val="1"/>
      <w:numFmt w:val="decimal"/>
      <w:lvlText w:val="%1.%2.%3.%4."/>
      <w:lvlJc w:val="left"/>
      <w:pPr>
        <w:ind w:left="3098" w:hanging="360"/>
      </w:pPr>
    </w:lvl>
    <w:lvl w:ilvl="4">
      <w:start w:val="1"/>
      <w:numFmt w:val="decimal"/>
      <w:lvlText w:val="%1.%2.%3.%4.%5."/>
      <w:lvlJc w:val="left"/>
      <w:pPr>
        <w:ind w:left="3818" w:hanging="360"/>
      </w:pPr>
    </w:lvl>
    <w:lvl w:ilvl="5">
      <w:start w:val="1"/>
      <w:numFmt w:val="decimal"/>
      <w:lvlText w:val="%1.%2.%3.%4.%5.%6."/>
      <w:lvlJc w:val="left"/>
      <w:pPr>
        <w:ind w:left="4538" w:hanging="180"/>
      </w:pPr>
    </w:lvl>
    <w:lvl w:ilvl="6">
      <w:start w:val="1"/>
      <w:numFmt w:val="decimal"/>
      <w:lvlText w:val="%1.%2.%3.%4.%5.%6.%7."/>
      <w:lvlJc w:val="left"/>
      <w:pPr>
        <w:ind w:left="5258" w:hanging="360"/>
      </w:pPr>
    </w:lvl>
    <w:lvl w:ilvl="7">
      <w:start w:val="1"/>
      <w:numFmt w:val="decimal"/>
      <w:lvlText w:val="%1.%2.%3.%4.%5.%6.%7.%8."/>
      <w:lvlJc w:val="left"/>
      <w:pPr>
        <w:ind w:left="5978" w:hanging="360"/>
      </w:pPr>
    </w:lvl>
    <w:lvl w:ilvl="8">
      <w:start w:val="1"/>
      <w:numFmt w:val="decimal"/>
      <w:lvlText w:val="%1.%2.%3.%4.%5.%6.%7.%8.%9."/>
      <w:lvlJc w:val="left"/>
      <w:pPr>
        <w:ind w:left="6698" w:hanging="180"/>
      </w:pPr>
    </w:lvl>
  </w:abstractNum>
  <w:abstractNum w:abstractNumId="8"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0" w15:restartNumberingAfterBreak="0">
    <w:nsid w:val="1A457CD6"/>
    <w:multiLevelType w:val="hybridMultilevel"/>
    <w:tmpl w:val="AB4AE00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1"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8A7221"/>
    <w:multiLevelType w:val="hybridMultilevel"/>
    <w:tmpl w:val="385C9ACE"/>
    <w:lvl w:ilvl="0" w:tplc="67EA0A2C">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00A541C"/>
    <w:multiLevelType w:val="multilevel"/>
    <w:tmpl w:val="F0184A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BF0455"/>
    <w:multiLevelType w:val="hybridMultilevel"/>
    <w:tmpl w:val="CF9648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A7F3532"/>
    <w:multiLevelType w:val="multilevel"/>
    <w:tmpl w:val="C114B242"/>
    <w:lvl w:ilvl="0">
      <w:start w:val="1"/>
      <w:numFmt w:val="decimal"/>
      <w:lvlText w:val="%1."/>
      <w:lvlJc w:val="left"/>
      <w:pPr>
        <w:ind w:left="1080" w:hanging="360"/>
      </w:p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6"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8"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7576F5"/>
    <w:multiLevelType w:val="hybridMultilevel"/>
    <w:tmpl w:val="E86400BA"/>
    <w:lvl w:ilvl="0" w:tplc="08090001">
      <w:start w:val="1"/>
      <w:numFmt w:val="bullet"/>
      <w:lvlText w:val=""/>
      <w:lvlJc w:val="left"/>
      <w:pPr>
        <w:ind w:left="936" w:hanging="360"/>
      </w:pPr>
      <w:rPr>
        <w:rFonts w:ascii="Symbol" w:hAnsi="Symbol" w:hint="default"/>
      </w:rPr>
    </w:lvl>
    <w:lvl w:ilvl="1" w:tplc="08090003">
      <w:start w:val="1"/>
      <w:numFmt w:val="bullet"/>
      <w:lvlText w:val="o"/>
      <w:lvlJc w:val="left"/>
      <w:pPr>
        <w:ind w:left="1656" w:hanging="360"/>
      </w:pPr>
      <w:rPr>
        <w:rFonts w:ascii="Courier New" w:hAnsi="Courier New" w:cs="Courier New" w:hint="default"/>
      </w:rPr>
    </w:lvl>
    <w:lvl w:ilvl="2" w:tplc="08090005">
      <w:start w:val="1"/>
      <w:numFmt w:val="bullet"/>
      <w:lvlText w:val=""/>
      <w:lvlJc w:val="left"/>
      <w:pPr>
        <w:ind w:left="2376" w:hanging="360"/>
      </w:pPr>
      <w:rPr>
        <w:rFonts w:ascii="Wingdings" w:hAnsi="Wingdings" w:hint="default"/>
      </w:rPr>
    </w:lvl>
    <w:lvl w:ilvl="3" w:tplc="08090001">
      <w:start w:val="1"/>
      <w:numFmt w:val="bullet"/>
      <w:lvlText w:val=""/>
      <w:lvlJc w:val="left"/>
      <w:pPr>
        <w:ind w:left="3096" w:hanging="360"/>
      </w:pPr>
      <w:rPr>
        <w:rFonts w:ascii="Symbol" w:hAnsi="Symbol" w:hint="default"/>
      </w:rPr>
    </w:lvl>
    <w:lvl w:ilvl="4" w:tplc="08090003">
      <w:start w:val="1"/>
      <w:numFmt w:val="bullet"/>
      <w:lvlText w:val="o"/>
      <w:lvlJc w:val="left"/>
      <w:pPr>
        <w:ind w:left="3816" w:hanging="360"/>
      </w:pPr>
      <w:rPr>
        <w:rFonts w:ascii="Courier New" w:hAnsi="Courier New" w:cs="Courier New" w:hint="default"/>
      </w:rPr>
    </w:lvl>
    <w:lvl w:ilvl="5" w:tplc="08090005">
      <w:start w:val="1"/>
      <w:numFmt w:val="bullet"/>
      <w:lvlText w:val=""/>
      <w:lvlJc w:val="left"/>
      <w:pPr>
        <w:ind w:left="4536" w:hanging="360"/>
      </w:pPr>
      <w:rPr>
        <w:rFonts w:ascii="Wingdings" w:hAnsi="Wingdings" w:hint="default"/>
      </w:rPr>
    </w:lvl>
    <w:lvl w:ilvl="6" w:tplc="08090001">
      <w:start w:val="1"/>
      <w:numFmt w:val="bullet"/>
      <w:lvlText w:val=""/>
      <w:lvlJc w:val="left"/>
      <w:pPr>
        <w:ind w:left="5256" w:hanging="360"/>
      </w:pPr>
      <w:rPr>
        <w:rFonts w:ascii="Symbol" w:hAnsi="Symbol" w:hint="default"/>
      </w:rPr>
    </w:lvl>
    <w:lvl w:ilvl="7" w:tplc="08090003">
      <w:start w:val="1"/>
      <w:numFmt w:val="bullet"/>
      <w:lvlText w:val="o"/>
      <w:lvlJc w:val="left"/>
      <w:pPr>
        <w:ind w:left="5976" w:hanging="360"/>
      </w:pPr>
      <w:rPr>
        <w:rFonts w:ascii="Courier New" w:hAnsi="Courier New" w:cs="Courier New" w:hint="default"/>
      </w:rPr>
    </w:lvl>
    <w:lvl w:ilvl="8" w:tplc="08090005">
      <w:start w:val="1"/>
      <w:numFmt w:val="bullet"/>
      <w:lvlText w:val=""/>
      <w:lvlJc w:val="left"/>
      <w:pPr>
        <w:ind w:left="6696" w:hanging="360"/>
      </w:pPr>
      <w:rPr>
        <w:rFonts w:ascii="Wingdings" w:hAnsi="Wingdings" w:hint="default"/>
      </w:rPr>
    </w:lvl>
  </w:abstractNum>
  <w:abstractNum w:abstractNumId="21" w15:restartNumberingAfterBreak="0">
    <w:nsid w:val="3C6D5815"/>
    <w:multiLevelType w:val="hybridMultilevel"/>
    <w:tmpl w:val="677214D2"/>
    <w:lvl w:ilvl="0" w:tplc="FC201B5E">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40250AB3"/>
    <w:multiLevelType w:val="hybridMultilevel"/>
    <w:tmpl w:val="5A4A59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32C2DD9"/>
    <w:multiLevelType w:val="hybridMultilevel"/>
    <w:tmpl w:val="3FD08294"/>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15:restartNumberingAfterBreak="0">
    <w:nsid w:val="477C2D62"/>
    <w:multiLevelType w:val="multilevel"/>
    <w:tmpl w:val="6D9A153C"/>
    <w:lvl w:ilvl="0">
      <w:start w:val="1"/>
      <w:numFmt w:val="lowerLetter"/>
      <w:pStyle w:val="NormalTextBold"/>
      <w:lvlText w:val="(%1)"/>
      <w:lvlJc w:val="left"/>
      <w:pPr>
        <w:tabs>
          <w:tab w:val="num" w:pos="1287"/>
        </w:tabs>
        <w:ind w:left="128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5" w15:restartNumberingAfterBreak="0">
    <w:nsid w:val="4D017702"/>
    <w:multiLevelType w:val="multilevel"/>
    <w:tmpl w:val="46E06A5A"/>
    <w:lvl w:ilvl="0">
      <w:start w:val="1"/>
      <w:numFmt w:val="decimal"/>
      <w:lvlText w:val="%1"/>
      <w:lvlJc w:val="left"/>
      <w:pPr>
        <w:ind w:left="1065" w:hanging="432"/>
      </w:pPr>
      <w:rPr>
        <w:sz w:val="28"/>
        <w:szCs w:val="28"/>
      </w:rPr>
    </w:lvl>
    <w:lvl w:ilvl="1">
      <w:start w:val="1"/>
      <w:numFmt w:val="decimal"/>
      <w:pStyle w:val="Heading2"/>
      <w:lvlText w:val="%1.%2"/>
      <w:lvlJc w:val="left"/>
      <w:pPr>
        <w:ind w:left="2486" w:hanging="576"/>
      </w:pPr>
      <w:rPr>
        <w:rFonts w:ascii="Arial" w:hAnsi="Arial" w:hint="default"/>
        <w:b w:val="0"/>
        <w:i w:val="0"/>
        <w:color w:val="000000"/>
        <w:sz w:val="20"/>
        <w:szCs w:val="20"/>
      </w:rPr>
    </w:lvl>
    <w:lvl w:ilvl="2">
      <w:start w:val="1"/>
      <w:numFmt w:val="decimal"/>
      <w:lvlText w:val="%1.%2.%3"/>
      <w:lvlJc w:val="left"/>
      <w:pPr>
        <w:ind w:left="2345" w:hanging="720"/>
      </w:pPr>
      <w:rPr>
        <w:rFonts w:hint="default"/>
      </w:rPr>
    </w:lvl>
    <w:lvl w:ilvl="3">
      <w:start w:val="1"/>
      <w:numFmt w:val="decimal"/>
      <w:lvlText w:val="%1.%2.%3.%4"/>
      <w:lvlJc w:val="left"/>
      <w:pPr>
        <w:ind w:left="1497" w:hanging="864"/>
      </w:pPr>
      <w:rPr>
        <w:rFonts w:hint="default"/>
      </w:rPr>
    </w:lvl>
    <w:lvl w:ilvl="4">
      <w:start w:val="1"/>
      <w:numFmt w:val="decimal"/>
      <w:lvlText w:val="%1.%2.%3.%4.%5"/>
      <w:lvlJc w:val="left"/>
      <w:pPr>
        <w:ind w:left="1641" w:hanging="1008"/>
      </w:pPr>
      <w:rPr>
        <w:rFonts w:hint="default"/>
      </w:rPr>
    </w:lvl>
    <w:lvl w:ilvl="5">
      <w:start w:val="1"/>
      <w:numFmt w:val="decimal"/>
      <w:lvlText w:val="%1.%2.%3.%4.%5.%6"/>
      <w:lvlJc w:val="left"/>
      <w:pPr>
        <w:ind w:left="1785" w:hanging="1152"/>
      </w:pPr>
      <w:rPr>
        <w:rFonts w:hint="default"/>
      </w:rPr>
    </w:lvl>
    <w:lvl w:ilvl="6">
      <w:start w:val="1"/>
      <w:numFmt w:val="decimal"/>
      <w:lvlText w:val="%1.%2.%3.%4.%5.%6.%7"/>
      <w:lvlJc w:val="left"/>
      <w:pPr>
        <w:ind w:left="1929" w:hanging="1296"/>
      </w:pPr>
      <w:rPr>
        <w:rFonts w:hint="default"/>
      </w:rPr>
    </w:lvl>
    <w:lvl w:ilvl="7">
      <w:start w:val="1"/>
      <w:numFmt w:val="decimal"/>
      <w:lvlText w:val="%1.%2.%3.%4.%5.%6.%7.%8"/>
      <w:lvlJc w:val="left"/>
      <w:pPr>
        <w:ind w:left="2073" w:hanging="1440"/>
      </w:pPr>
      <w:rPr>
        <w:rFonts w:hint="default"/>
      </w:rPr>
    </w:lvl>
    <w:lvl w:ilvl="8">
      <w:start w:val="1"/>
      <w:numFmt w:val="decimal"/>
      <w:lvlText w:val="%1.%2.%3.%4.%5.%6.%7.%8.%9"/>
      <w:lvlJc w:val="left"/>
      <w:pPr>
        <w:ind w:left="2217" w:hanging="1584"/>
      </w:pPr>
      <w:rPr>
        <w:rFonts w:hint="default"/>
      </w:rPr>
    </w:lvl>
  </w:abstractNum>
  <w:abstractNum w:abstractNumId="26"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FF7B88C"/>
    <w:multiLevelType w:val="multilevel"/>
    <w:tmpl w:val="BA469726"/>
    <w:lvl w:ilvl="0">
      <w:start w:val="1"/>
      <w:numFmt w:val="decimal"/>
      <w:lvlText w:val="%1."/>
      <w:lvlJc w:val="left"/>
      <w:pPr>
        <w:ind w:left="938" w:hanging="360"/>
      </w:pPr>
    </w:lvl>
    <w:lvl w:ilvl="1">
      <w:start w:val="1"/>
      <w:numFmt w:val="decimal"/>
      <w:lvlText w:val="%1.%2."/>
      <w:lvlJc w:val="left"/>
      <w:pPr>
        <w:ind w:left="1658" w:hanging="360"/>
      </w:pPr>
    </w:lvl>
    <w:lvl w:ilvl="2">
      <w:start w:val="1"/>
      <w:numFmt w:val="decimal"/>
      <w:lvlText w:val="%1.%2.%3."/>
      <w:lvlJc w:val="left"/>
      <w:pPr>
        <w:ind w:left="2378" w:hanging="360"/>
      </w:pPr>
    </w:lvl>
    <w:lvl w:ilvl="3">
      <w:start w:val="1"/>
      <w:numFmt w:val="decimal"/>
      <w:lvlText w:val="%1.%2.%3.%4."/>
      <w:lvlJc w:val="left"/>
      <w:pPr>
        <w:ind w:left="3098" w:hanging="360"/>
      </w:pPr>
    </w:lvl>
    <w:lvl w:ilvl="4">
      <w:start w:val="1"/>
      <w:numFmt w:val="decimal"/>
      <w:lvlText w:val="%1.%2.%3.%4.%5."/>
      <w:lvlJc w:val="left"/>
      <w:pPr>
        <w:ind w:left="3818" w:hanging="360"/>
      </w:pPr>
    </w:lvl>
    <w:lvl w:ilvl="5">
      <w:start w:val="1"/>
      <w:numFmt w:val="decimal"/>
      <w:lvlText w:val="%1.%2.%3.%4.%5.%6."/>
      <w:lvlJc w:val="left"/>
      <w:pPr>
        <w:ind w:left="4538" w:hanging="360"/>
      </w:pPr>
    </w:lvl>
    <w:lvl w:ilvl="6">
      <w:start w:val="1"/>
      <w:numFmt w:val="decimal"/>
      <w:lvlText w:val="%1.%2.%3.%4.%5.%6.%7."/>
      <w:lvlJc w:val="left"/>
      <w:pPr>
        <w:ind w:left="5258" w:hanging="360"/>
      </w:pPr>
    </w:lvl>
    <w:lvl w:ilvl="7">
      <w:start w:val="1"/>
      <w:numFmt w:val="decimal"/>
      <w:lvlText w:val="%1.%2.%3.%4.%5.%6.%7.%8."/>
      <w:lvlJc w:val="left"/>
      <w:pPr>
        <w:ind w:left="5978" w:hanging="360"/>
      </w:pPr>
    </w:lvl>
    <w:lvl w:ilvl="8">
      <w:start w:val="1"/>
      <w:numFmt w:val="decimal"/>
      <w:lvlText w:val="%1.%2.%3.%4.%5.%6.%7.%8.%9."/>
      <w:lvlJc w:val="left"/>
      <w:pPr>
        <w:ind w:left="6698" w:hanging="360"/>
      </w:pPr>
    </w:lvl>
  </w:abstractNum>
  <w:abstractNum w:abstractNumId="28" w15:restartNumberingAfterBreak="0">
    <w:nsid w:val="5830649D"/>
    <w:multiLevelType w:val="multilevel"/>
    <w:tmpl w:val="F224DA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EC79A7"/>
    <w:multiLevelType w:val="multilevel"/>
    <w:tmpl w:val="BE28A85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1"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61542E47"/>
    <w:multiLevelType w:val="hybridMultilevel"/>
    <w:tmpl w:val="43CE86F0"/>
    <w:lvl w:ilvl="0" w:tplc="67EA0A2C">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32229C"/>
    <w:multiLevelType w:val="hybridMultilevel"/>
    <w:tmpl w:val="677214D2"/>
    <w:lvl w:ilvl="0" w:tplc="FFFFFFFF">
      <w:start w:val="1"/>
      <w:numFmt w:val="lowerRoman"/>
      <w:lvlText w:val="%1)"/>
      <w:lvlJc w:val="left"/>
      <w:pPr>
        <w:ind w:left="1854" w:hanging="7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7" w15:restartNumberingAfterBreak="0">
    <w:nsid w:val="6D104157"/>
    <w:multiLevelType w:val="multilevel"/>
    <w:tmpl w:val="F224DA32"/>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A86190"/>
    <w:multiLevelType w:val="multilevel"/>
    <w:tmpl w:val="28721648"/>
    <w:lvl w:ilvl="0">
      <w:start w:val="1"/>
      <w:numFmt w:val="bullet"/>
      <w:pStyle w:val="ListBullet2"/>
      <w:lvlText w:val=""/>
      <w:lvlJc w:val="left"/>
      <w:pPr>
        <w:tabs>
          <w:tab w:val="num" w:pos="852"/>
        </w:tabs>
        <w:ind w:left="852" w:hanging="284"/>
      </w:pPr>
      <w:rPr>
        <w:rFonts w:ascii="Symbol" w:hAnsi="Symbol" w:hint="default"/>
        <w:b w:val="0"/>
        <w:i w:val="0"/>
        <w:color w:val="auto"/>
        <w:sz w:val="20"/>
      </w:rPr>
    </w:lvl>
    <w:lvl w:ilvl="1">
      <w:start w:val="1"/>
      <w:numFmt w:val="bullet"/>
      <w:pStyle w:val="TableList"/>
      <w:lvlText w:val=""/>
      <w:lvlJc w:val="left"/>
      <w:pPr>
        <w:tabs>
          <w:tab w:val="num" w:pos="1022"/>
        </w:tabs>
        <w:ind w:left="1022" w:hanging="341"/>
      </w:pPr>
      <w:rPr>
        <w:rFonts w:ascii="Symbol" w:hAnsi="Symbol" w:hint="default"/>
        <w:b w:val="0"/>
        <w:i w:val="0"/>
        <w:color w:val="008DA8"/>
        <w:sz w:val="20"/>
      </w:rPr>
    </w:lvl>
    <w:lvl w:ilvl="2">
      <w:start w:val="1"/>
      <w:numFmt w:val="bullet"/>
      <w:lvlText w:val=""/>
      <w:lvlJc w:val="left"/>
      <w:pPr>
        <w:tabs>
          <w:tab w:val="num" w:pos="1305"/>
        </w:tabs>
        <w:ind w:left="1305" w:hanging="283"/>
      </w:pPr>
      <w:rPr>
        <w:rFonts w:ascii="Symbol" w:hAnsi="Symbol" w:hint="default"/>
        <w:b w:val="0"/>
        <w:i w:val="0"/>
        <w:color w:val="008DA8"/>
        <w:sz w:val="20"/>
      </w:rPr>
    </w:lvl>
    <w:lvl w:ilvl="3">
      <w:start w:val="1"/>
      <w:numFmt w:val="bullet"/>
      <w:lvlText w:val=""/>
      <w:lvlJc w:val="left"/>
      <w:pPr>
        <w:tabs>
          <w:tab w:val="num" w:pos="1759"/>
        </w:tabs>
        <w:ind w:left="1759" w:hanging="454"/>
      </w:pPr>
      <w:rPr>
        <w:rFonts w:ascii="Symbol" w:hAnsi="Symbol" w:hint="default"/>
        <w:b w:val="0"/>
        <w:i w:val="0"/>
        <w:color w:val="008DA8"/>
        <w:sz w:val="20"/>
      </w:rPr>
    </w:lvl>
    <w:lvl w:ilvl="4">
      <w:start w:val="1"/>
      <w:numFmt w:val="bullet"/>
      <w:lvlText w:val=""/>
      <w:lvlJc w:val="left"/>
      <w:pPr>
        <w:tabs>
          <w:tab w:val="num" w:pos="3687"/>
        </w:tabs>
        <w:ind w:left="3687" w:hanging="964"/>
      </w:pPr>
      <w:rPr>
        <w:rFonts w:ascii="Symbol" w:hAnsi="Symbol" w:hint="default"/>
        <w:b w:val="0"/>
        <w:i w:val="0"/>
        <w:color w:val="008DA8"/>
        <w:sz w:val="20"/>
      </w:rPr>
    </w:lvl>
    <w:lvl w:ilvl="5">
      <w:start w:val="1"/>
      <w:numFmt w:val="bullet"/>
      <w:lvlText w:val=""/>
      <w:lvlJc w:val="left"/>
      <w:pPr>
        <w:tabs>
          <w:tab w:val="num" w:pos="4821"/>
        </w:tabs>
        <w:ind w:left="4821" w:hanging="1134"/>
      </w:pPr>
      <w:rPr>
        <w:rFonts w:ascii="Symbol" w:hAnsi="Symbol" w:hint="default"/>
        <w:b w:val="0"/>
        <w:i w:val="0"/>
        <w:color w:val="008DA8"/>
        <w:sz w:val="20"/>
      </w:rPr>
    </w:lvl>
    <w:lvl w:ilvl="6">
      <w:start w:val="1"/>
      <w:numFmt w:val="bullet"/>
      <w:lvlText w:val=""/>
      <w:lvlJc w:val="left"/>
      <w:pPr>
        <w:tabs>
          <w:tab w:val="num" w:pos="6125"/>
        </w:tabs>
        <w:ind w:left="6125" w:hanging="1304"/>
      </w:pPr>
      <w:rPr>
        <w:rFonts w:ascii="Symbol" w:hAnsi="Symbol" w:hint="default"/>
        <w:b w:val="0"/>
        <w:i w:val="0"/>
        <w:color w:val="008DA8"/>
        <w:sz w:val="20"/>
      </w:rPr>
    </w:lvl>
    <w:lvl w:ilvl="7">
      <w:start w:val="1"/>
      <w:numFmt w:val="bullet"/>
      <w:lvlText w:val=""/>
      <w:lvlJc w:val="left"/>
      <w:pPr>
        <w:tabs>
          <w:tab w:val="num" w:pos="5274"/>
        </w:tabs>
        <w:ind w:left="5274" w:hanging="1077"/>
      </w:pPr>
      <w:rPr>
        <w:rFonts w:ascii="Symbol" w:hAnsi="Symbol" w:hint="default"/>
        <w:b w:val="0"/>
        <w:i w:val="0"/>
        <w:color w:val="008DA8"/>
        <w:sz w:val="20"/>
      </w:rPr>
    </w:lvl>
    <w:lvl w:ilvl="8">
      <w:start w:val="1"/>
      <w:numFmt w:val="bullet"/>
      <w:lvlText w:val=""/>
      <w:lvlJc w:val="left"/>
      <w:pPr>
        <w:tabs>
          <w:tab w:val="num" w:pos="7712"/>
        </w:tabs>
        <w:ind w:left="7712" w:hanging="1587"/>
      </w:pPr>
      <w:rPr>
        <w:rFonts w:ascii="Symbol" w:hAnsi="Symbol" w:hint="default"/>
        <w:b w:val="0"/>
        <w:i w:val="0"/>
        <w:color w:val="008DA8"/>
        <w:sz w:val="20"/>
      </w:rPr>
    </w:lvl>
  </w:abstractNum>
  <w:abstractNum w:abstractNumId="39" w15:restartNumberingAfterBreak="0">
    <w:nsid w:val="7A210585"/>
    <w:multiLevelType w:val="multilevel"/>
    <w:tmpl w:val="8304C6A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Calibri" w:hAnsi="Calibri" w:cs="Calibri" w:hint="default"/>
        <w:b w:val="0"/>
        <w:sz w:val="22"/>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211842246">
    <w:abstractNumId w:val="38"/>
  </w:num>
  <w:num w:numId="2" w16cid:durableId="1350906460">
    <w:abstractNumId w:val="33"/>
  </w:num>
  <w:num w:numId="3" w16cid:durableId="1336306010">
    <w:abstractNumId w:val="16"/>
  </w:num>
  <w:num w:numId="4" w16cid:durableId="1251084806">
    <w:abstractNumId w:val="18"/>
  </w:num>
  <w:num w:numId="5" w16cid:durableId="607543433">
    <w:abstractNumId w:val="8"/>
  </w:num>
  <w:num w:numId="6" w16cid:durableId="451873057">
    <w:abstractNumId w:val="35"/>
  </w:num>
  <w:num w:numId="7" w16cid:durableId="1081564995">
    <w:abstractNumId w:val="19"/>
  </w:num>
  <w:num w:numId="8" w16cid:durableId="604382485">
    <w:abstractNumId w:val="11"/>
  </w:num>
  <w:num w:numId="9" w16cid:durableId="852308332">
    <w:abstractNumId w:val="32"/>
  </w:num>
  <w:num w:numId="10" w16cid:durableId="881793117">
    <w:abstractNumId w:val="30"/>
  </w:num>
  <w:num w:numId="11" w16cid:durableId="1346900366">
    <w:abstractNumId w:val="5"/>
  </w:num>
  <w:num w:numId="12" w16cid:durableId="51585089">
    <w:abstractNumId w:val="4"/>
  </w:num>
  <w:num w:numId="13" w16cid:durableId="700932633">
    <w:abstractNumId w:val="31"/>
  </w:num>
  <w:num w:numId="14" w16cid:durableId="900868243">
    <w:abstractNumId w:val="2"/>
  </w:num>
  <w:num w:numId="15" w16cid:durableId="73286978">
    <w:abstractNumId w:val="0"/>
  </w:num>
  <w:num w:numId="16" w16cid:durableId="353922052">
    <w:abstractNumId w:val="3"/>
  </w:num>
  <w:num w:numId="17" w16cid:durableId="724449485">
    <w:abstractNumId w:val="17"/>
  </w:num>
  <w:num w:numId="18" w16cid:durableId="878784534">
    <w:abstractNumId w:val="39"/>
  </w:num>
  <w:num w:numId="19" w16cid:durableId="336926418">
    <w:abstractNumId w:val="26"/>
  </w:num>
  <w:num w:numId="20" w16cid:durableId="1391152120">
    <w:abstractNumId w:val="9"/>
  </w:num>
  <w:num w:numId="21" w16cid:durableId="1065109492">
    <w:abstractNumId w:val="24"/>
  </w:num>
  <w:num w:numId="22" w16cid:durableId="1045955262">
    <w:abstractNumId w:val="25"/>
  </w:num>
  <w:num w:numId="23" w16cid:durableId="1094787549">
    <w:abstractNumId w:val="22"/>
  </w:num>
  <w:num w:numId="24" w16cid:durableId="527522675">
    <w:abstractNumId w:val="20"/>
  </w:num>
  <w:num w:numId="25" w16cid:durableId="9125909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3650674">
    <w:abstractNumId w:val="13"/>
  </w:num>
  <w:num w:numId="27" w16cid:durableId="1728869896">
    <w:abstractNumId w:val="34"/>
  </w:num>
  <w:num w:numId="28" w16cid:durableId="888491897">
    <w:abstractNumId w:val="28"/>
  </w:num>
  <w:num w:numId="29" w16cid:durableId="717703407">
    <w:abstractNumId w:val="6"/>
  </w:num>
  <w:num w:numId="30" w16cid:durableId="1838030000">
    <w:abstractNumId w:val="37"/>
  </w:num>
  <w:num w:numId="31" w16cid:durableId="1380860220">
    <w:abstractNumId w:val="12"/>
  </w:num>
  <w:num w:numId="32" w16cid:durableId="1597130149">
    <w:abstractNumId w:val="21"/>
  </w:num>
  <w:num w:numId="33" w16cid:durableId="103233935">
    <w:abstractNumId w:val="36"/>
  </w:num>
  <w:num w:numId="34" w16cid:durableId="1618220837">
    <w:abstractNumId w:val="15"/>
  </w:num>
  <w:num w:numId="35" w16cid:durableId="653607922">
    <w:abstractNumId w:val="1"/>
  </w:num>
  <w:num w:numId="36" w16cid:durableId="1534074162">
    <w:abstractNumId w:val="27"/>
  </w:num>
  <w:num w:numId="37" w16cid:durableId="1204370651">
    <w:abstractNumId w:val="7"/>
  </w:num>
  <w:num w:numId="38" w16cid:durableId="1580404751">
    <w:abstractNumId w:val="23"/>
  </w:num>
  <w:num w:numId="39" w16cid:durableId="1336036119">
    <w:abstractNumId w:val="10"/>
  </w:num>
  <w:num w:numId="40" w16cid:durableId="79063841">
    <w:abstractNumId w:val="14"/>
  </w:num>
  <w:num w:numId="41" w16cid:durableId="471606657">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0D52"/>
    <w:rsid w:val="00002B4A"/>
    <w:rsid w:val="00002EA0"/>
    <w:rsid w:val="00003462"/>
    <w:rsid w:val="00004426"/>
    <w:rsid w:val="00004A78"/>
    <w:rsid w:val="00005C2A"/>
    <w:rsid w:val="000068C4"/>
    <w:rsid w:val="00010D22"/>
    <w:rsid w:val="0001312A"/>
    <w:rsid w:val="000131C0"/>
    <w:rsid w:val="00013DA5"/>
    <w:rsid w:val="00013FDE"/>
    <w:rsid w:val="000140D5"/>
    <w:rsid w:val="00014A06"/>
    <w:rsid w:val="00015169"/>
    <w:rsid w:val="00016991"/>
    <w:rsid w:val="00016D45"/>
    <w:rsid w:val="000177C0"/>
    <w:rsid w:val="00020734"/>
    <w:rsid w:val="000208B9"/>
    <w:rsid w:val="000216F4"/>
    <w:rsid w:val="00021E27"/>
    <w:rsid w:val="000228DC"/>
    <w:rsid w:val="0002309B"/>
    <w:rsid w:val="00023C01"/>
    <w:rsid w:val="00024B90"/>
    <w:rsid w:val="00026013"/>
    <w:rsid w:val="00026770"/>
    <w:rsid w:val="00026858"/>
    <w:rsid w:val="00026A6A"/>
    <w:rsid w:val="0002714D"/>
    <w:rsid w:val="00030AA4"/>
    <w:rsid w:val="00032458"/>
    <w:rsid w:val="000363FA"/>
    <w:rsid w:val="00040643"/>
    <w:rsid w:val="00041A17"/>
    <w:rsid w:val="00041EE6"/>
    <w:rsid w:val="000427B0"/>
    <w:rsid w:val="000437B7"/>
    <w:rsid w:val="00043976"/>
    <w:rsid w:val="00050A22"/>
    <w:rsid w:val="00051412"/>
    <w:rsid w:val="00052A50"/>
    <w:rsid w:val="000546C7"/>
    <w:rsid w:val="00055793"/>
    <w:rsid w:val="0005617C"/>
    <w:rsid w:val="000561DC"/>
    <w:rsid w:val="000567EA"/>
    <w:rsid w:val="00057C9D"/>
    <w:rsid w:val="00061C8A"/>
    <w:rsid w:val="00062E0D"/>
    <w:rsid w:val="000639A5"/>
    <w:rsid w:val="0006566D"/>
    <w:rsid w:val="00065881"/>
    <w:rsid w:val="000659C5"/>
    <w:rsid w:val="000664D9"/>
    <w:rsid w:val="00066AFA"/>
    <w:rsid w:val="00067E74"/>
    <w:rsid w:val="0007005D"/>
    <w:rsid w:val="00070BFD"/>
    <w:rsid w:val="00071191"/>
    <w:rsid w:val="00072EE4"/>
    <w:rsid w:val="000737EA"/>
    <w:rsid w:val="00074B05"/>
    <w:rsid w:val="0007537E"/>
    <w:rsid w:val="00076EFC"/>
    <w:rsid w:val="00077265"/>
    <w:rsid w:val="000807AF"/>
    <w:rsid w:val="00080FDC"/>
    <w:rsid w:val="00081667"/>
    <w:rsid w:val="000818B5"/>
    <w:rsid w:val="00081C31"/>
    <w:rsid w:val="00082674"/>
    <w:rsid w:val="00082F1D"/>
    <w:rsid w:val="00086543"/>
    <w:rsid w:val="00087DA0"/>
    <w:rsid w:val="00090295"/>
    <w:rsid w:val="000906C3"/>
    <w:rsid w:val="00090B0B"/>
    <w:rsid w:val="000948AA"/>
    <w:rsid w:val="00095033"/>
    <w:rsid w:val="000950A4"/>
    <w:rsid w:val="00096B66"/>
    <w:rsid w:val="00096C4E"/>
    <w:rsid w:val="000A02A9"/>
    <w:rsid w:val="000A0475"/>
    <w:rsid w:val="000A36A8"/>
    <w:rsid w:val="000A3886"/>
    <w:rsid w:val="000A68D3"/>
    <w:rsid w:val="000A7546"/>
    <w:rsid w:val="000A76C4"/>
    <w:rsid w:val="000A7A5C"/>
    <w:rsid w:val="000B006C"/>
    <w:rsid w:val="000B007D"/>
    <w:rsid w:val="000B2E3D"/>
    <w:rsid w:val="000B325D"/>
    <w:rsid w:val="000B3694"/>
    <w:rsid w:val="000B5D6C"/>
    <w:rsid w:val="000B6FE3"/>
    <w:rsid w:val="000B782A"/>
    <w:rsid w:val="000C0E65"/>
    <w:rsid w:val="000C2081"/>
    <w:rsid w:val="000C228B"/>
    <w:rsid w:val="000C247A"/>
    <w:rsid w:val="000C3142"/>
    <w:rsid w:val="000C3DF4"/>
    <w:rsid w:val="000C539C"/>
    <w:rsid w:val="000C6018"/>
    <w:rsid w:val="000D0D49"/>
    <w:rsid w:val="000D1D1B"/>
    <w:rsid w:val="000D1ECA"/>
    <w:rsid w:val="000D5720"/>
    <w:rsid w:val="000D66EC"/>
    <w:rsid w:val="000E0100"/>
    <w:rsid w:val="000E034A"/>
    <w:rsid w:val="000E2859"/>
    <w:rsid w:val="000E2E48"/>
    <w:rsid w:val="000E358F"/>
    <w:rsid w:val="000E35F5"/>
    <w:rsid w:val="000E3B2E"/>
    <w:rsid w:val="000E3F5B"/>
    <w:rsid w:val="000E4463"/>
    <w:rsid w:val="000E76BF"/>
    <w:rsid w:val="000F0592"/>
    <w:rsid w:val="000F3FE6"/>
    <w:rsid w:val="000F434F"/>
    <w:rsid w:val="000F4B81"/>
    <w:rsid w:val="000F66D8"/>
    <w:rsid w:val="000F7B40"/>
    <w:rsid w:val="00100701"/>
    <w:rsid w:val="00101447"/>
    <w:rsid w:val="00103AD0"/>
    <w:rsid w:val="00105544"/>
    <w:rsid w:val="00105819"/>
    <w:rsid w:val="00106006"/>
    <w:rsid w:val="001060C1"/>
    <w:rsid w:val="00106E08"/>
    <w:rsid w:val="00111D88"/>
    <w:rsid w:val="00111F27"/>
    <w:rsid w:val="00112F45"/>
    <w:rsid w:val="00113CA8"/>
    <w:rsid w:val="00115BDC"/>
    <w:rsid w:val="00116E9B"/>
    <w:rsid w:val="001216C5"/>
    <w:rsid w:val="00122C11"/>
    <w:rsid w:val="0012496E"/>
    <w:rsid w:val="0012541D"/>
    <w:rsid w:val="0012563C"/>
    <w:rsid w:val="001256D1"/>
    <w:rsid w:val="0012611F"/>
    <w:rsid w:val="001261B1"/>
    <w:rsid w:val="0012717A"/>
    <w:rsid w:val="00131575"/>
    <w:rsid w:val="00131C1E"/>
    <w:rsid w:val="00132767"/>
    <w:rsid w:val="001367BA"/>
    <w:rsid w:val="00136B0C"/>
    <w:rsid w:val="00137B4D"/>
    <w:rsid w:val="00143041"/>
    <w:rsid w:val="0014327C"/>
    <w:rsid w:val="00143588"/>
    <w:rsid w:val="00143ECD"/>
    <w:rsid w:val="001445A0"/>
    <w:rsid w:val="001451F4"/>
    <w:rsid w:val="00146470"/>
    <w:rsid w:val="00151CCE"/>
    <w:rsid w:val="0015314F"/>
    <w:rsid w:val="00153B91"/>
    <w:rsid w:val="00154D44"/>
    <w:rsid w:val="00156DD1"/>
    <w:rsid w:val="001603D1"/>
    <w:rsid w:val="00162C54"/>
    <w:rsid w:val="00163386"/>
    <w:rsid w:val="0016365E"/>
    <w:rsid w:val="00164E30"/>
    <w:rsid w:val="00165719"/>
    <w:rsid w:val="00166FA6"/>
    <w:rsid w:val="001726C7"/>
    <w:rsid w:val="00174D21"/>
    <w:rsid w:val="00175488"/>
    <w:rsid w:val="001762D1"/>
    <w:rsid w:val="00181503"/>
    <w:rsid w:val="00182265"/>
    <w:rsid w:val="00182A0C"/>
    <w:rsid w:val="00183270"/>
    <w:rsid w:val="00184908"/>
    <w:rsid w:val="0018581B"/>
    <w:rsid w:val="00186B8A"/>
    <w:rsid w:val="0018792D"/>
    <w:rsid w:val="00187969"/>
    <w:rsid w:val="00187E2F"/>
    <w:rsid w:val="00192551"/>
    <w:rsid w:val="001937A0"/>
    <w:rsid w:val="00193A1C"/>
    <w:rsid w:val="00193F47"/>
    <w:rsid w:val="00197A37"/>
    <w:rsid w:val="001A0473"/>
    <w:rsid w:val="001A2D48"/>
    <w:rsid w:val="001A4BD3"/>
    <w:rsid w:val="001A5839"/>
    <w:rsid w:val="001A6A34"/>
    <w:rsid w:val="001A6F74"/>
    <w:rsid w:val="001A7BE3"/>
    <w:rsid w:val="001B2D7A"/>
    <w:rsid w:val="001B526B"/>
    <w:rsid w:val="001B707D"/>
    <w:rsid w:val="001C01D5"/>
    <w:rsid w:val="001C0AAE"/>
    <w:rsid w:val="001C0C6E"/>
    <w:rsid w:val="001C1089"/>
    <w:rsid w:val="001C1537"/>
    <w:rsid w:val="001C207A"/>
    <w:rsid w:val="001C252A"/>
    <w:rsid w:val="001C4440"/>
    <w:rsid w:val="001C665E"/>
    <w:rsid w:val="001C6F86"/>
    <w:rsid w:val="001C7F14"/>
    <w:rsid w:val="001D0B92"/>
    <w:rsid w:val="001D3EFD"/>
    <w:rsid w:val="001D7EC5"/>
    <w:rsid w:val="001E0C65"/>
    <w:rsid w:val="001E2563"/>
    <w:rsid w:val="001E32D7"/>
    <w:rsid w:val="001E5D16"/>
    <w:rsid w:val="001E5D9F"/>
    <w:rsid w:val="001E6DCF"/>
    <w:rsid w:val="001E7703"/>
    <w:rsid w:val="001E7B09"/>
    <w:rsid w:val="001F0E93"/>
    <w:rsid w:val="001F17C2"/>
    <w:rsid w:val="001F1D9C"/>
    <w:rsid w:val="001F29F9"/>
    <w:rsid w:val="001F36FC"/>
    <w:rsid w:val="001F3812"/>
    <w:rsid w:val="001F3FA8"/>
    <w:rsid w:val="001F4DA0"/>
    <w:rsid w:val="001F57B9"/>
    <w:rsid w:val="001F6CC7"/>
    <w:rsid w:val="001F6DA9"/>
    <w:rsid w:val="001F7908"/>
    <w:rsid w:val="001F7D0E"/>
    <w:rsid w:val="00201A95"/>
    <w:rsid w:val="00202759"/>
    <w:rsid w:val="002036BB"/>
    <w:rsid w:val="00203E15"/>
    <w:rsid w:val="002047E2"/>
    <w:rsid w:val="00205029"/>
    <w:rsid w:val="00205E60"/>
    <w:rsid w:val="002069C0"/>
    <w:rsid w:val="00207EFA"/>
    <w:rsid w:val="00211281"/>
    <w:rsid w:val="002124F5"/>
    <w:rsid w:val="002126D4"/>
    <w:rsid w:val="00212BF5"/>
    <w:rsid w:val="002139FF"/>
    <w:rsid w:val="0021418F"/>
    <w:rsid w:val="002148B6"/>
    <w:rsid w:val="00215877"/>
    <w:rsid w:val="002161A4"/>
    <w:rsid w:val="00217240"/>
    <w:rsid w:val="002177E6"/>
    <w:rsid w:val="00217AEB"/>
    <w:rsid w:val="00220102"/>
    <w:rsid w:val="00223AEB"/>
    <w:rsid w:val="00225F2B"/>
    <w:rsid w:val="002272EF"/>
    <w:rsid w:val="00231812"/>
    <w:rsid w:val="00233D72"/>
    <w:rsid w:val="00234D6F"/>
    <w:rsid w:val="002350F0"/>
    <w:rsid w:val="002357BE"/>
    <w:rsid w:val="00236CC6"/>
    <w:rsid w:val="00236DCB"/>
    <w:rsid w:val="00236FB3"/>
    <w:rsid w:val="002379EA"/>
    <w:rsid w:val="00237A59"/>
    <w:rsid w:val="0024000A"/>
    <w:rsid w:val="00240AF9"/>
    <w:rsid w:val="002417A2"/>
    <w:rsid w:val="00241B3C"/>
    <w:rsid w:val="002420A2"/>
    <w:rsid w:val="002426A7"/>
    <w:rsid w:val="00245B52"/>
    <w:rsid w:val="00251F86"/>
    <w:rsid w:val="00252821"/>
    <w:rsid w:val="00252A80"/>
    <w:rsid w:val="00252F78"/>
    <w:rsid w:val="002540F4"/>
    <w:rsid w:val="002541A0"/>
    <w:rsid w:val="00254F34"/>
    <w:rsid w:val="00256075"/>
    <w:rsid w:val="00256566"/>
    <w:rsid w:val="0025741B"/>
    <w:rsid w:val="00260BAE"/>
    <w:rsid w:val="00260C2C"/>
    <w:rsid w:val="002612FD"/>
    <w:rsid w:val="0026221F"/>
    <w:rsid w:val="00263600"/>
    <w:rsid w:val="002653E9"/>
    <w:rsid w:val="002660EC"/>
    <w:rsid w:val="00266BC0"/>
    <w:rsid w:val="00266BDE"/>
    <w:rsid w:val="00270FA8"/>
    <w:rsid w:val="00272979"/>
    <w:rsid w:val="002733C1"/>
    <w:rsid w:val="002738F9"/>
    <w:rsid w:val="002744D3"/>
    <w:rsid w:val="002748C7"/>
    <w:rsid w:val="002758A6"/>
    <w:rsid w:val="002760F7"/>
    <w:rsid w:val="00276409"/>
    <w:rsid w:val="0027736F"/>
    <w:rsid w:val="00281A9E"/>
    <w:rsid w:val="00281CF1"/>
    <w:rsid w:val="00281F45"/>
    <w:rsid w:val="00281FE5"/>
    <w:rsid w:val="002823F3"/>
    <w:rsid w:val="00283BF8"/>
    <w:rsid w:val="00284300"/>
    <w:rsid w:val="00286CBD"/>
    <w:rsid w:val="00287F8A"/>
    <w:rsid w:val="00290F86"/>
    <w:rsid w:val="00291083"/>
    <w:rsid w:val="0029476E"/>
    <w:rsid w:val="00295F0A"/>
    <w:rsid w:val="00297B65"/>
    <w:rsid w:val="002A0D66"/>
    <w:rsid w:val="002A17C6"/>
    <w:rsid w:val="002A1D45"/>
    <w:rsid w:val="002A2C20"/>
    <w:rsid w:val="002A2F78"/>
    <w:rsid w:val="002A369F"/>
    <w:rsid w:val="002A3F8F"/>
    <w:rsid w:val="002A426E"/>
    <w:rsid w:val="002A68C4"/>
    <w:rsid w:val="002A70DA"/>
    <w:rsid w:val="002B03A3"/>
    <w:rsid w:val="002B0528"/>
    <w:rsid w:val="002B0912"/>
    <w:rsid w:val="002B0BFD"/>
    <w:rsid w:val="002B32AA"/>
    <w:rsid w:val="002B385B"/>
    <w:rsid w:val="002B3F1A"/>
    <w:rsid w:val="002B4393"/>
    <w:rsid w:val="002B48EE"/>
    <w:rsid w:val="002B49AE"/>
    <w:rsid w:val="002B6671"/>
    <w:rsid w:val="002B68DB"/>
    <w:rsid w:val="002C1553"/>
    <w:rsid w:val="002C2508"/>
    <w:rsid w:val="002C2D5C"/>
    <w:rsid w:val="002C7EAB"/>
    <w:rsid w:val="002D0639"/>
    <w:rsid w:val="002D0CEF"/>
    <w:rsid w:val="002D222E"/>
    <w:rsid w:val="002D25F9"/>
    <w:rsid w:val="002D4486"/>
    <w:rsid w:val="002D45B0"/>
    <w:rsid w:val="002D4638"/>
    <w:rsid w:val="002D4A48"/>
    <w:rsid w:val="002D4FA2"/>
    <w:rsid w:val="002D508E"/>
    <w:rsid w:val="002D5DFC"/>
    <w:rsid w:val="002D6272"/>
    <w:rsid w:val="002E0099"/>
    <w:rsid w:val="002E2ECA"/>
    <w:rsid w:val="002E40D9"/>
    <w:rsid w:val="002E593A"/>
    <w:rsid w:val="002E5A78"/>
    <w:rsid w:val="002E77F0"/>
    <w:rsid w:val="002F0224"/>
    <w:rsid w:val="002F13B8"/>
    <w:rsid w:val="002F1CAF"/>
    <w:rsid w:val="002F357D"/>
    <w:rsid w:val="002F40F9"/>
    <w:rsid w:val="002F651C"/>
    <w:rsid w:val="002F6CD0"/>
    <w:rsid w:val="003018DF"/>
    <w:rsid w:val="00301DAF"/>
    <w:rsid w:val="00302D25"/>
    <w:rsid w:val="00302F67"/>
    <w:rsid w:val="0030347F"/>
    <w:rsid w:val="003055BC"/>
    <w:rsid w:val="00305AC5"/>
    <w:rsid w:val="00306BF5"/>
    <w:rsid w:val="00310346"/>
    <w:rsid w:val="00313E9E"/>
    <w:rsid w:val="00313FE4"/>
    <w:rsid w:val="00314AE2"/>
    <w:rsid w:val="00316676"/>
    <w:rsid w:val="003167FC"/>
    <w:rsid w:val="00317F68"/>
    <w:rsid w:val="00320457"/>
    <w:rsid w:val="003221E9"/>
    <w:rsid w:val="00323257"/>
    <w:rsid w:val="00323EF6"/>
    <w:rsid w:val="00325232"/>
    <w:rsid w:val="00325D65"/>
    <w:rsid w:val="003266EF"/>
    <w:rsid w:val="0033013E"/>
    <w:rsid w:val="0033097B"/>
    <w:rsid w:val="00331AA6"/>
    <w:rsid w:val="00331B50"/>
    <w:rsid w:val="003328B8"/>
    <w:rsid w:val="00332FE3"/>
    <w:rsid w:val="00336821"/>
    <w:rsid w:val="00337BEF"/>
    <w:rsid w:val="0034142D"/>
    <w:rsid w:val="00341CAD"/>
    <w:rsid w:val="003427A5"/>
    <w:rsid w:val="0034343D"/>
    <w:rsid w:val="00343E6D"/>
    <w:rsid w:val="00344FDC"/>
    <w:rsid w:val="00345171"/>
    <w:rsid w:val="003456CF"/>
    <w:rsid w:val="00350285"/>
    <w:rsid w:val="00351633"/>
    <w:rsid w:val="00351769"/>
    <w:rsid w:val="00351960"/>
    <w:rsid w:val="003519F8"/>
    <w:rsid w:val="00351B5B"/>
    <w:rsid w:val="00351B9D"/>
    <w:rsid w:val="00352A27"/>
    <w:rsid w:val="00353AB3"/>
    <w:rsid w:val="00354599"/>
    <w:rsid w:val="0035487C"/>
    <w:rsid w:val="003557B1"/>
    <w:rsid w:val="0035722D"/>
    <w:rsid w:val="00357570"/>
    <w:rsid w:val="00360620"/>
    <w:rsid w:val="00362030"/>
    <w:rsid w:val="00362BAC"/>
    <w:rsid w:val="00363FE9"/>
    <w:rsid w:val="00364391"/>
    <w:rsid w:val="00367AA0"/>
    <w:rsid w:val="00367F60"/>
    <w:rsid w:val="0037034E"/>
    <w:rsid w:val="00370895"/>
    <w:rsid w:val="003711F3"/>
    <w:rsid w:val="00372606"/>
    <w:rsid w:val="00372C0A"/>
    <w:rsid w:val="0037400F"/>
    <w:rsid w:val="003741DF"/>
    <w:rsid w:val="00374E4B"/>
    <w:rsid w:val="00374EE7"/>
    <w:rsid w:val="003768D0"/>
    <w:rsid w:val="00376A7C"/>
    <w:rsid w:val="003771A0"/>
    <w:rsid w:val="00377752"/>
    <w:rsid w:val="00380C64"/>
    <w:rsid w:val="00381EB7"/>
    <w:rsid w:val="00382814"/>
    <w:rsid w:val="00382887"/>
    <w:rsid w:val="00384B85"/>
    <w:rsid w:val="0038516F"/>
    <w:rsid w:val="00386096"/>
    <w:rsid w:val="003878FB"/>
    <w:rsid w:val="00390361"/>
    <w:rsid w:val="00390D19"/>
    <w:rsid w:val="003920ED"/>
    <w:rsid w:val="003971AB"/>
    <w:rsid w:val="003A016A"/>
    <w:rsid w:val="003A2AA8"/>
    <w:rsid w:val="003A2BCC"/>
    <w:rsid w:val="003A3048"/>
    <w:rsid w:val="003A376E"/>
    <w:rsid w:val="003A3A15"/>
    <w:rsid w:val="003A4FC7"/>
    <w:rsid w:val="003A5B7D"/>
    <w:rsid w:val="003A5F1B"/>
    <w:rsid w:val="003A6028"/>
    <w:rsid w:val="003A64F3"/>
    <w:rsid w:val="003A6CCA"/>
    <w:rsid w:val="003B003F"/>
    <w:rsid w:val="003B05E7"/>
    <w:rsid w:val="003B0780"/>
    <w:rsid w:val="003B08B5"/>
    <w:rsid w:val="003B1A71"/>
    <w:rsid w:val="003B4359"/>
    <w:rsid w:val="003B44D0"/>
    <w:rsid w:val="003B5816"/>
    <w:rsid w:val="003B5A4D"/>
    <w:rsid w:val="003C03A1"/>
    <w:rsid w:val="003C1BBC"/>
    <w:rsid w:val="003C1E4D"/>
    <w:rsid w:val="003C22DF"/>
    <w:rsid w:val="003C3148"/>
    <w:rsid w:val="003C3A79"/>
    <w:rsid w:val="003C457B"/>
    <w:rsid w:val="003C4A9A"/>
    <w:rsid w:val="003C4B41"/>
    <w:rsid w:val="003C4BE1"/>
    <w:rsid w:val="003C6AB2"/>
    <w:rsid w:val="003C6EC2"/>
    <w:rsid w:val="003C7736"/>
    <w:rsid w:val="003D0281"/>
    <w:rsid w:val="003D0E0E"/>
    <w:rsid w:val="003D1338"/>
    <w:rsid w:val="003D2918"/>
    <w:rsid w:val="003D294F"/>
    <w:rsid w:val="003D2AFD"/>
    <w:rsid w:val="003D41D8"/>
    <w:rsid w:val="003D4CC3"/>
    <w:rsid w:val="003D5703"/>
    <w:rsid w:val="003D5877"/>
    <w:rsid w:val="003D5DD2"/>
    <w:rsid w:val="003D6504"/>
    <w:rsid w:val="003D6F1E"/>
    <w:rsid w:val="003E0757"/>
    <w:rsid w:val="003E0B53"/>
    <w:rsid w:val="003E16D8"/>
    <w:rsid w:val="003E1B16"/>
    <w:rsid w:val="003E59BB"/>
    <w:rsid w:val="003E609B"/>
    <w:rsid w:val="003E6502"/>
    <w:rsid w:val="003E7D1E"/>
    <w:rsid w:val="003F030F"/>
    <w:rsid w:val="003F0A5F"/>
    <w:rsid w:val="003F0B70"/>
    <w:rsid w:val="003F206B"/>
    <w:rsid w:val="003F2A86"/>
    <w:rsid w:val="003F36CE"/>
    <w:rsid w:val="003F3986"/>
    <w:rsid w:val="003F3A03"/>
    <w:rsid w:val="003F5566"/>
    <w:rsid w:val="003F6298"/>
    <w:rsid w:val="00400A61"/>
    <w:rsid w:val="00401C4C"/>
    <w:rsid w:val="004028D5"/>
    <w:rsid w:val="00403E29"/>
    <w:rsid w:val="004045E4"/>
    <w:rsid w:val="00410F62"/>
    <w:rsid w:val="00413790"/>
    <w:rsid w:val="00413DC4"/>
    <w:rsid w:val="00414AF2"/>
    <w:rsid w:val="00416FC8"/>
    <w:rsid w:val="0042042D"/>
    <w:rsid w:val="0042095A"/>
    <w:rsid w:val="00420FB8"/>
    <w:rsid w:val="00421554"/>
    <w:rsid w:val="00421B40"/>
    <w:rsid w:val="00422258"/>
    <w:rsid w:val="00422850"/>
    <w:rsid w:val="00424ED1"/>
    <w:rsid w:val="0042584E"/>
    <w:rsid w:val="00426FD6"/>
    <w:rsid w:val="00427536"/>
    <w:rsid w:val="00430DBC"/>
    <w:rsid w:val="00430E90"/>
    <w:rsid w:val="00432081"/>
    <w:rsid w:val="004322AA"/>
    <w:rsid w:val="004336F2"/>
    <w:rsid w:val="00433909"/>
    <w:rsid w:val="00433CFE"/>
    <w:rsid w:val="0043545B"/>
    <w:rsid w:val="00435787"/>
    <w:rsid w:val="00435C42"/>
    <w:rsid w:val="00435CF2"/>
    <w:rsid w:val="00436601"/>
    <w:rsid w:val="00436AEA"/>
    <w:rsid w:val="00440CC1"/>
    <w:rsid w:val="00440FAE"/>
    <w:rsid w:val="00441206"/>
    <w:rsid w:val="0044172F"/>
    <w:rsid w:val="004428DE"/>
    <w:rsid w:val="00444805"/>
    <w:rsid w:val="004464AB"/>
    <w:rsid w:val="00446636"/>
    <w:rsid w:val="00446AF3"/>
    <w:rsid w:val="00447064"/>
    <w:rsid w:val="00447134"/>
    <w:rsid w:val="00450385"/>
    <w:rsid w:val="004504EA"/>
    <w:rsid w:val="00450F23"/>
    <w:rsid w:val="00452455"/>
    <w:rsid w:val="0045247C"/>
    <w:rsid w:val="004529F1"/>
    <w:rsid w:val="00454ABB"/>
    <w:rsid w:val="004570AC"/>
    <w:rsid w:val="00457525"/>
    <w:rsid w:val="004579CF"/>
    <w:rsid w:val="0046001A"/>
    <w:rsid w:val="00460F6C"/>
    <w:rsid w:val="00461C2F"/>
    <w:rsid w:val="00463EF6"/>
    <w:rsid w:val="00465C31"/>
    <w:rsid w:val="00467702"/>
    <w:rsid w:val="00467CA8"/>
    <w:rsid w:val="00471CDD"/>
    <w:rsid w:val="004724B6"/>
    <w:rsid w:val="004726B8"/>
    <w:rsid w:val="0047378B"/>
    <w:rsid w:val="00473B9D"/>
    <w:rsid w:val="00476DC2"/>
    <w:rsid w:val="00477254"/>
    <w:rsid w:val="00477DA6"/>
    <w:rsid w:val="004817AB"/>
    <w:rsid w:val="004830B4"/>
    <w:rsid w:val="00483E69"/>
    <w:rsid w:val="0048657A"/>
    <w:rsid w:val="0048739E"/>
    <w:rsid w:val="00487E70"/>
    <w:rsid w:val="004900D2"/>
    <w:rsid w:val="004917FA"/>
    <w:rsid w:val="00491B33"/>
    <w:rsid w:val="0049474E"/>
    <w:rsid w:val="00494B16"/>
    <w:rsid w:val="004958FC"/>
    <w:rsid w:val="00495D25"/>
    <w:rsid w:val="0049654B"/>
    <w:rsid w:val="004A073C"/>
    <w:rsid w:val="004A105A"/>
    <w:rsid w:val="004A1126"/>
    <w:rsid w:val="004A1A94"/>
    <w:rsid w:val="004A1E87"/>
    <w:rsid w:val="004A22E8"/>
    <w:rsid w:val="004A28A2"/>
    <w:rsid w:val="004A2CEB"/>
    <w:rsid w:val="004A2FE0"/>
    <w:rsid w:val="004A3386"/>
    <w:rsid w:val="004A458D"/>
    <w:rsid w:val="004A5196"/>
    <w:rsid w:val="004A5970"/>
    <w:rsid w:val="004A631D"/>
    <w:rsid w:val="004B0EA7"/>
    <w:rsid w:val="004B2734"/>
    <w:rsid w:val="004B27FB"/>
    <w:rsid w:val="004B376C"/>
    <w:rsid w:val="004B53C8"/>
    <w:rsid w:val="004B62CE"/>
    <w:rsid w:val="004B7599"/>
    <w:rsid w:val="004B78BF"/>
    <w:rsid w:val="004B7ABF"/>
    <w:rsid w:val="004C17F9"/>
    <w:rsid w:val="004C1ABF"/>
    <w:rsid w:val="004C2609"/>
    <w:rsid w:val="004C2A54"/>
    <w:rsid w:val="004C377B"/>
    <w:rsid w:val="004C4371"/>
    <w:rsid w:val="004C5763"/>
    <w:rsid w:val="004C6117"/>
    <w:rsid w:val="004C66D0"/>
    <w:rsid w:val="004C6A9B"/>
    <w:rsid w:val="004D057B"/>
    <w:rsid w:val="004D0674"/>
    <w:rsid w:val="004D09F0"/>
    <w:rsid w:val="004D0D74"/>
    <w:rsid w:val="004D128F"/>
    <w:rsid w:val="004D149E"/>
    <w:rsid w:val="004D1BA0"/>
    <w:rsid w:val="004D1CB3"/>
    <w:rsid w:val="004D1EE8"/>
    <w:rsid w:val="004D3792"/>
    <w:rsid w:val="004D3B30"/>
    <w:rsid w:val="004D430C"/>
    <w:rsid w:val="004D5234"/>
    <w:rsid w:val="004D5582"/>
    <w:rsid w:val="004D638C"/>
    <w:rsid w:val="004D73CE"/>
    <w:rsid w:val="004E2468"/>
    <w:rsid w:val="004E3B18"/>
    <w:rsid w:val="004E41ED"/>
    <w:rsid w:val="004E5164"/>
    <w:rsid w:val="004E5E00"/>
    <w:rsid w:val="004E7FE5"/>
    <w:rsid w:val="004F061B"/>
    <w:rsid w:val="004F1623"/>
    <w:rsid w:val="004F1776"/>
    <w:rsid w:val="004F1C5C"/>
    <w:rsid w:val="004F21B3"/>
    <w:rsid w:val="004F4A12"/>
    <w:rsid w:val="004F6BF5"/>
    <w:rsid w:val="004F7F7A"/>
    <w:rsid w:val="00500707"/>
    <w:rsid w:val="00500B50"/>
    <w:rsid w:val="005023B5"/>
    <w:rsid w:val="00502491"/>
    <w:rsid w:val="00502C49"/>
    <w:rsid w:val="00502D95"/>
    <w:rsid w:val="00504CCD"/>
    <w:rsid w:val="00504E6C"/>
    <w:rsid w:val="00506963"/>
    <w:rsid w:val="00507084"/>
    <w:rsid w:val="005079E0"/>
    <w:rsid w:val="00511AAC"/>
    <w:rsid w:val="00512DFC"/>
    <w:rsid w:val="00513062"/>
    <w:rsid w:val="00513631"/>
    <w:rsid w:val="00514DED"/>
    <w:rsid w:val="005150A7"/>
    <w:rsid w:val="0051566C"/>
    <w:rsid w:val="00515987"/>
    <w:rsid w:val="005177DA"/>
    <w:rsid w:val="00520724"/>
    <w:rsid w:val="00521A0E"/>
    <w:rsid w:val="005231AB"/>
    <w:rsid w:val="00523DD0"/>
    <w:rsid w:val="005251AD"/>
    <w:rsid w:val="00526D50"/>
    <w:rsid w:val="00530EA6"/>
    <w:rsid w:val="005310CC"/>
    <w:rsid w:val="00531B35"/>
    <w:rsid w:val="005352A6"/>
    <w:rsid w:val="005352F4"/>
    <w:rsid w:val="005357A0"/>
    <w:rsid w:val="0053585F"/>
    <w:rsid w:val="005379FD"/>
    <w:rsid w:val="00537BB6"/>
    <w:rsid w:val="00540357"/>
    <w:rsid w:val="00541896"/>
    <w:rsid w:val="00541E6A"/>
    <w:rsid w:val="00544FAD"/>
    <w:rsid w:val="00545D78"/>
    <w:rsid w:val="005469C0"/>
    <w:rsid w:val="00546D70"/>
    <w:rsid w:val="0055068A"/>
    <w:rsid w:val="00551767"/>
    <w:rsid w:val="00551A41"/>
    <w:rsid w:val="00551BF1"/>
    <w:rsid w:val="005523C3"/>
    <w:rsid w:val="00554FD9"/>
    <w:rsid w:val="0055672D"/>
    <w:rsid w:val="005571C0"/>
    <w:rsid w:val="005572B1"/>
    <w:rsid w:val="00560EF2"/>
    <w:rsid w:val="005611B4"/>
    <w:rsid w:val="00561983"/>
    <w:rsid w:val="00561CEC"/>
    <w:rsid w:val="005641D4"/>
    <w:rsid w:val="005649CA"/>
    <w:rsid w:val="00564AD1"/>
    <w:rsid w:val="0056689A"/>
    <w:rsid w:val="00567D53"/>
    <w:rsid w:val="005703B3"/>
    <w:rsid w:val="005720CF"/>
    <w:rsid w:val="005745C2"/>
    <w:rsid w:val="005749DB"/>
    <w:rsid w:val="00575858"/>
    <w:rsid w:val="005779EE"/>
    <w:rsid w:val="00582AD2"/>
    <w:rsid w:val="00582E0D"/>
    <w:rsid w:val="005841B5"/>
    <w:rsid w:val="0058426F"/>
    <w:rsid w:val="00586DFA"/>
    <w:rsid w:val="0058742B"/>
    <w:rsid w:val="00587E1E"/>
    <w:rsid w:val="005977D5"/>
    <w:rsid w:val="00597D29"/>
    <w:rsid w:val="005A0143"/>
    <w:rsid w:val="005A1E00"/>
    <w:rsid w:val="005A1E71"/>
    <w:rsid w:val="005A2DC9"/>
    <w:rsid w:val="005A38D3"/>
    <w:rsid w:val="005A4046"/>
    <w:rsid w:val="005A4F5D"/>
    <w:rsid w:val="005A5786"/>
    <w:rsid w:val="005A6174"/>
    <w:rsid w:val="005A7145"/>
    <w:rsid w:val="005B0B30"/>
    <w:rsid w:val="005B105E"/>
    <w:rsid w:val="005B1211"/>
    <w:rsid w:val="005B378E"/>
    <w:rsid w:val="005B5F62"/>
    <w:rsid w:val="005B6421"/>
    <w:rsid w:val="005B6E2D"/>
    <w:rsid w:val="005B7A19"/>
    <w:rsid w:val="005C0151"/>
    <w:rsid w:val="005C0318"/>
    <w:rsid w:val="005C1952"/>
    <w:rsid w:val="005C2175"/>
    <w:rsid w:val="005C22EF"/>
    <w:rsid w:val="005C260C"/>
    <w:rsid w:val="005C3C45"/>
    <w:rsid w:val="005C6FEE"/>
    <w:rsid w:val="005C7D2E"/>
    <w:rsid w:val="005D0169"/>
    <w:rsid w:val="005D182C"/>
    <w:rsid w:val="005D18D5"/>
    <w:rsid w:val="005D1C6B"/>
    <w:rsid w:val="005D384E"/>
    <w:rsid w:val="005D4418"/>
    <w:rsid w:val="005D4631"/>
    <w:rsid w:val="005D4958"/>
    <w:rsid w:val="005D4A2B"/>
    <w:rsid w:val="005D5945"/>
    <w:rsid w:val="005D72CA"/>
    <w:rsid w:val="005E103C"/>
    <w:rsid w:val="005E3915"/>
    <w:rsid w:val="005E4529"/>
    <w:rsid w:val="005E45CC"/>
    <w:rsid w:val="005E585C"/>
    <w:rsid w:val="005E5ECF"/>
    <w:rsid w:val="005E661A"/>
    <w:rsid w:val="005E6E51"/>
    <w:rsid w:val="005E7A96"/>
    <w:rsid w:val="005F1A1B"/>
    <w:rsid w:val="005F26DE"/>
    <w:rsid w:val="005F3932"/>
    <w:rsid w:val="005F4AE3"/>
    <w:rsid w:val="005F6CFF"/>
    <w:rsid w:val="00600B78"/>
    <w:rsid w:val="00602A03"/>
    <w:rsid w:val="00610152"/>
    <w:rsid w:val="00610C8D"/>
    <w:rsid w:val="006110C9"/>
    <w:rsid w:val="00612F9E"/>
    <w:rsid w:val="00613074"/>
    <w:rsid w:val="00615D18"/>
    <w:rsid w:val="00617558"/>
    <w:rsid w:val="00620187"/>
    <w:rsid w:val="0062062A"/>
    <w:rsid w:val="006208CA"/>
    <w:rsid w:val="00620A44"/>
    <w:rsid w:val="00621761"/>
    <w:rsid w:val="00622259"/>
    <w:rsid w:val="00622DC8"/>
    <w:rsid w:val="00623022"/>
    <w:rsid w:val="0062380B"/>
    <w:rsid w:val="00624FA6"/>
    <w:rsid w:val="00626393"/>
    <w:rsid w:val="006272EA"/>
    <w:rsid w:val="00627983"/>
    <w:rsid w:val="00630F15"/>
    <w:rsid w:val="00631710"/>
    <w:rsid w:val="0063186C"/>
    <w:rsid w:val="00631EBB"/>
    <w:rsid w:val="006327E9"/>
    <w:rsid w:val="00632AE8"/>
    <w:rsid w:val="006347BD"/>
    <w:rsid w:val="006361BA"/>
    <w:rsid w:val="00637680"/>
    <w:rsid w:val="006377B6"/>
    <w:rsid w:val="00637CD6"/>
    <w:rsid w:val="0064094B"/>
    <w:rsid w:val="00640E93"/>
    <w:rsid w:val="006417EB"/>
    <w:rsid w:val="00642019"/>
    <w:rsid w:val="006446DD"/>
    <w:rsid w:val="006454F5"/>
    <w:rsid w:val="006466A2"/>
    <w:rsid w:val="00647335"/>
    <w:rsid w:val="00650186"/>
    <w:rsid w:val="00650505"/>
    <w:rsid w:val="00651C42"/>
    <w:rsid w:val="00652D78"/>
    <w:rsid w:val="006533C3"/>
    <w:rsid w:val="006551B8"/>
    <w:rsid w:val="0065586E"/>
    <w:rsid w:val="006623A5"/>
    <w:rsid w:val="006624D9"/>
    <w:rsid w:val="00662ACC"/>
    <w:rsid w:val="00662E88"/>
    <w:rsid w:val="00662F93"/>
    <w:rsid w:val="00664377"/>
    <w:rsid w:val="00664C93"/>
    <w:rsid w:val="00665358"/>
    <w:rsid w:val="006653B5"/>
    <w:rsid w:val="006725B1"/>
    <w:rsid w:val="00672C1E"/>
    <w:rsid w:val="00673F4F"/>
    <w:rsid w:val="0067455A"/>
    <w:rsid w:val="00674659"/>
    <w:rsid w:val="00675978"/>
    <w:rsid w:val="00682501"/>
    <w:rsid w:val="00683C3A"/>
    <w:rsid w:val="00684409"/>
    <w:rsid w:val="00684701"/>
    <w:rsid w:val="00684D97"/>
    <w:rsid w:val="0068545D"/>
    <w:rsid w:val="0068568A"/>
    <w:rsid w:val="00685E21"/>
    <w:rsid w:val="006860EE"/>
    <w:rsid w:val="00686A11"/>
    <w:rsid w:val="006876B6"/>
    <w:rsid w:val="0068791F"/>
    <w:rsid w:val="00690DA9"/>
    <w:rsid w:val="00691A06"/>
    <w:rsid w:val="00692C20"/>
    <w:rsid w:val="00693A8F"/>
    <w:rsid w:val="0069484D"/>
    <w:rsid w:val="00694865"/>
    <w:rsid w:val="00696D89"/>
    <w:rsid w:val="00697683"/>
    <w:rsid w:val="006A0767"/>
    <w:rsid w:val="006A0B86"/>
    <w:rsid w:val="006A0C43"/>
    <w:rsid w:val="006A5279"/>
    <w:rsid w:val="006A76C2"/>
    <w:rsid w:val="006B0734"/>
    <w:rsid w:val="006B18A6"/>
    <w:rsid w:val="006B68D8"/>
    <w:rsid w:val="006B6D83"/>
    <w:rsid w:val="006C06AB"/>
    <w:rsid w:val="006C1856"/>
    <w:rsid w:val="006C433B"/>
    <w:rsid w:val="006C4DEE"/>
    <w:rsid w:val="006C4F22"/>
    <w:rsid w:val="006C5683"/>
    <w:rsid w:val="006D0CC1"/>
    <w:rsid w:val="006D0E98"/>
    <w:rsid w:val="006D0FB6"/>
    <w:rsid w:val="006D1F16"/>
    <w:rsid w:val="006D509F"/>
    <w:rsid w:val="006D5614"/>
    <w:rsid w:val="006D75CD"/>
    <w:rsid w:val="006E605B"/>
    <w:rsid w:val="006E720C"/>
    <w:rsid w:val="006E7327"/>
    <w:rsid w:val="006E7560"/>
    <w:rsid w:val="006E7608"/>
    <w:rsid w:val="006E7A7E"/>
    <w:rsid w:val="006F1016"/>
    <w:rsid w:val="006F1498"/>
    <w:rsid w:val="006F19E3"/>
    <w:rsid w:val="006F1E66"/>
    <w:rsid w:val="006F4689"/>
    <w:rsid w:val="006F4798"/>
    <w:rsid w:val="006F51A5"/>
    <w:rsid w:val="007015FF"/>
    <w:rsid w:val="00701D85"/>
    <w:rsid w:val="00701E18"/>
    <w:rsid w:val="00706916"/>
    <w:rsid w:val="00707BBD"/>
    <w:rsid w:val="00710C7E"/>
    <w:rsid w:val="00710CDE"/>
    <w:rsid w:val="00710E92"/>
    <w:rsid w:val="00712FD8"/>
    <w:rsid w:val="0071547D"/>
    <w:rsid w:val="007176C3"/>
    <w:rsid w:val="00717796"/>
    <w:rsid w:val="00722FCE"/>
    <w:rsid w:val="0072385C"/>
    <w:rsid w:val="00725484"/>
    <w:rsid w:val="0072548D"/>
    <w:rsid w:val="00725C13"/>
    <w:rsid w:val="00726171"/>
    <w:rsid w:val="00731B99"/>
    <w:rsid w:val="007322AF"/>
    <w:rsid w:val="00733172"/>
    <w:rsid w:val="00733B12"/>
    <w:rsid w:val="00733D46"/>
    <w:rsid w:val="00733F4B"/>
    <w:rsid w:val="00734630"/>
    <w:rsid w:val="00735A46"/>
    <w:rsid w:val="00736A78"/>
    <w:rsid w:val="00736CCD"/>
    <w:rsid w:val="007374B9"/>
    <w:rsid w:val="00740A8F"/>
    <w:rsid w:val="00741C2E"/>
    <w:rsid w:val="00742876"/>
    <w:rsid w:val="00743675"/>
    <w:rsid w:val="00746937"/>
    <w:rsid w:val="00746C42"/>
    <w:rsid w:val="0074763E"/>
    <w:rsid w:val="00747A24"/>
    <w:rsid w:val="00750938"/>
    <w:rsid w:val="00751FC2"/>
    <w:rsid w:val="0076065B"/>
    <w:rsid w:val="007606C8"/>
    <w:rsid w:val="007607E8"/>
    <w:rsid w:val="007608FF"/>
    <w:rsid w:val="00760BD6"/>
    <w:rsid w:val="007613CD"/>
    <w:rsid w:val="007626D9"/>
    <w:rsid w:val="007637CA"/>
    <w:rsid w:val="0076545A"/>
    <w:rsid w:val="00766A3F"/>
    <w:rsid w:val="00771ACE"/>
    <w:rsid w:val="00772942"/>
    <w:rsid w:val="00774F15"/>
    <w:rsid w:val="00775E14"/>
    <w:rsid w:val="00775EF4"/>
    <w:rsid w:val="00780130"/>
    <w:rsid w:val="00781CF5"/>
    <w:rsid w:val="00782B8C"/>
    <w:rsid w:val="00783437"/>
    <w:rsid w:val="00784486"/>
    <w:rsid w:val="0078658B"/>
    <w:rsid w:val="00787EDB"/>
    <w:rsid w:val="00790384"/>
    <w:rsid w:val="0079113B"/>
    <w:rsid w:val="007922C1"/>
    <w:rsid w:val="0079237A"/>
    <w:rsid w:val="00794088"/>
    <w:rsid w:val="00794E3F"/>
    <w:rsid w:val="00795A1D"/>
    <w:rsid w:val="00797AA8"/>
    <w:rsid w:val="00797D2B"/>
    <w:rsid w:val="007A0992"/>
    <w:rsid w:val="007A0FB2"/>
    <w:rsid w:val="007A413E"/>
    <w:rsid w:val="007A46CD"/>
    <w:rsid w:val="007A4F58"/>
    <w:rsid w:val="007A6725"/>
    <w:rsid w:val="007A731E"/>
    <w:rsid w:val="007A7ADD"/>
    <w:rsid w:val="007A7F2C"/>
    <w:rsid w:val="007B002D"/>
    <w:rsid w:val="007B1C64"/>
    <w:rsid w:val="007B216F"/>
    <w:rsid w:val="007B2499"/>
    <w:rsid w:val="007B2875"/>
    <w:rsid w:val="007B2962"/>
    <w:rsid w:val="007B42B2"/>
    <w:rsid w:val="007B4476"/>
    <w:rsid w:val="007C00DA"/>
    <w:rsid w:val="007C0E16"/>
    <w:rsid w:val="007C110B"/>
    <w:rsid w:val="007C20AE"/>
    <w:rsid w:val="007C21F6"/>
    <w:rsid w:val="007C39B0"/>
    <w:rsid w:val="007C39C7"/>
    <w:rsid w:val="007C4E55"/>
    <w:rsid w:val="007C5BE4"/>
    <w:rsid w:val="007C7488"/>
    <w:rsid w:val="007C7FB5"/>
    <w:rsid w:val="007D197E"/>
    <w:rsid w:val="007D2E23"/>
    <w:rsid w:val="007D3228"/>
    <w:rsid w:val="007D3EEE"/>
    <w:rsid w:val="007D441F"/>
    <w:rsid w:val="007D54ED"/>
    <w:rsid w:val="007D7647"/>
    <w:rsid w:val="007D7C47"/>
    <w:rsid w:val="007D7F53"/>
    <w:rsid w:val="007E12FB"/>
    <w:rsid w:val="007E1A43"/>
    <w:rsid w:val="007E1ABB"/>
    <w:rsid w:val="007E2527"/>
    <w:rsid w:val="007E2A87"/>
    <w:rsid w:val="007E3843"/>
    <w:rsid w:val="007E3C0E"/>
    <w:rsid w:val="007E572E"/>
    <w:rsid w:val="007E6EF7"/>
    <w:rsid w:val="007E718E"/>
    <w:rsid w:val="007E7783"/>
    <w:rsid w:val="007F0F88"/>
    <w:rsid w:val="007F3115"/>
    <w:rsid w:val="00802FDC"/>
    <w:rsid w:val="008030C8"/>
    <w:rsid w:val="008032AE"/>
    <w:rsid w:val="00803C5E"/>
    <w:rsid w:val="0080471C"/>
    <w:rsid w:val="00804ACD"/>
    <w:rsid w:val="008051D4"/>
    <w:rsid w:val="0080771F"/>
    <w:rsid w:val="008115C5"/>
    <w:rsid w:val="00811F03"/>
    <w:rsid w:val="00812C70"/>
    <w:rsid w:val="0081418A"/>
    <w:rsid w:val="008149B0"/>
    <w:rsid w:val="008177D7"/>
    <w:rsid w:val="00820557"/>
    <w:rsid w:val="00822D9F"/>
    <w:rsid w:val="00822DB7"/>
    <w:rsid w:val="00823FDB"/>
    <w:rsid w:val="00825F0D"/>
    <w:rsid w:val="00826203"/>
    <w:rsid w:val="00826C2B"/>
    <w:rsid w:val="008272A5"/>
    <w:rsid w:val="008277A6"/>
    <w:rsid w:val="008303B2"/>
    <w:rsid w:val="008318FC"/>
    <w:rsid w:val="00832598"/>
    <w:rsid w:val="00833183"/>
    <w:rsid w:val="008359AF"/>
    <w:rsid w:val="008365DC"/>
    <w:rsid w:val="00841062"/>
    <w:rsid w:val="008423A3"/>
    <w:rsid w:val="008450F9"/>
    <w:rsid w:val="00845A65"/>
    <w:rsid w:val="00846D9D"/>
    <w:rsid w:val="0084773E"/>
    <w:rsid w:val="00850FAC"/>
    <w:rsid w:val="00851156"/>
    <w:rsid w:val="0085211A"/>
    <w:rsid w:val="008524D8"/>
    <w:rsid w:val="008534F1"/>
    <w:rsid w:val="008538C9"/>
    <w:rsid w:val="0085503A"/>
    <w:rsid w:val="00856C0B"/>
    <w:rsid w:val="00857196"/>
    <w:rsid w:val="00860BAC"/>
    <w:rsid w:val="0086142A"/>
    <w:rsid w:val="00861D88"/>
    <w:rsid w:val="00862742"/>
    <w:rsid w:val="00862D16"/>
    <w:rsid w:val="008639E1"/>
    <w:rsid w:val="0086501B"/>
    <w:rsid w:val="00865F30"/>
    <w:rsid w:val="008669FA"/>
    <w:rsid w:val="0087362B"/>
    <w:rsid w:val="00874BBE"/>
    <w:rsid w:val="00876360"/>
    <w:rsid w:val="00876FA4"/>
    <w:rsid w:val="008772DB"/>
    <w:rsid w:val="00880168"/>
    <w:rsid w:val="00880EBC"/>
    <w:rsid w:val="008819AA"/>
    <w:rsid w:val="008826EA"/>
    <w:rsid w:val="00882D3C"/>
    <w:rsid w:val="00882E96"/>
    <w:rsid w:val="00882F64"/>
    <w:rsid w:val="008847ED"/>
    <w:rsid w:val="0088710B"/>
    <w:rsid w:val="00887D24"/>
    <w:rsid w:val="00887D63"/>
    <w:rsid w:val="008901D1"/>
    <w:rsid w:val="00892D3B"/>
    <w:rsid w:val="00892D76"/>
    <w:rsid w:val="0089431C"/>
    <w:rsid w:val="00895154"/>
    <w:rsid w:val="0089516E"/>
    <w:rsid w:val="00897EDC"/>
    <w:rsid w:val="008A17EB"/>
    <w:rsid w:val="008A1889"/>
    <w:rsid w:val="008A20C6"/>
    <w:rsid w:val="008A2F12"/>
    <w:rsid w:val="008A4D9B"/>
    <w:rsid w:val="008A5134"/>
    <w:rsid w:val="008A7034"/>
    <w:rsid w:val="008A70A0"/>
    <w:rsid w:val="008B0DCF"/>
    <w:rsid w:val="008B2F38"/>
    <w:rsid w:val="008B5CD6"/>
    <w:rsid w:val="008B6CCD"/>
    <w:rsid w:val="008C0FA4"/>
    <w:rsid w:val="008C1351"/>
    <w:rsid w:val="008C241F"/>
    <w:rsid w:val="008C2816"/>
    <w:rsid w:val="008C301A"/>
    <w:rsid w:val="008C33C2"/>
    <w:rsid w:val="008C5774"/>
    <w:rsid w:val="008C579E"/>
    <w:rsid w:val="008C5EE5"/>
    <w:rsid w:val="008D0A24"/>
    <w:rsid w:val="008D0FCF"/>
    <w:rsid w:val="008D1BB7"/>
    <w:rsid w:val="008D1F04"/>
    <w:rsid w:val="008D2158"/>
    <w:rsid w:val="008D3769"/>
    <w:rsid w:val="008D37F6"/>
    <w:rsid w:val="008D3C06"/>
    <w:rsid w:val="008D5B54"/>
    <w:rsid w:val="008D6266"/>
    <w:rsid w:val="008D7983"/>
    <w:rsid w:val="008E04CD"/>
    <w:rsid w:val="008E0B84"/>
    <w:rsid w:val="008E218B"/>
    <w:rsid w:val="008F09A9"/>
    <w:rsid w:val="008F0DA0"/>
    <w:rsid w:val="008F42D3"/>
    <w:rsid w:val="008F71D7"/>
    <w:rsid w:val="008F7D4F"/>
    <w:rsid w:val="00900963"/>
    <w:rsid w:val="0090492C"/>
    <w:rsid w:val="00905325"/>
    <w:rsid w:val="009121FF"/>
    <w:rsid w:val="009129DC"/>
    <w:rsid w:val="00912AD2"/>
    <w:rsid w:val="00913148"/>
    <w:rsid w:val="00913E1C"/>
    <w:rsid w:val="0091697B"/>
    <w:rsid w:val="009208D8"/>
    <w:rsid w:val="00921185"/>
    <w:rsid w:val="00922DBD"/>
    <w:rsid w:val="0092387F"/>
    <w:rsid w:val="00924446"/>
    <w:rsid w:val="009247ED"/>
    <w:rsid w:val="00925F3A"/>
    <w:rsid w:val="00926505"/>
    <w:rsid w:val="009265C0"/>
    <w:rsid w:val="00926C69"/>
    <w:rsid w:val="00926F0E"/>
    <w:rsid w:val="009273B4"/>
    <w:rsid w:val="00927559"/>
    <w:rsid w:val="0092797D"/>
    <w:rsid w:val="009317BB"/>
    <w:rsid w:val="00933391"/>
    <w:rsid w:val="00933D7A"/>
    <w:rsid w:val="00935573"/>
    <w:rsid w:val="009356A2"/>
    <w:rsid w:val="0094107F"/>
    <w:rsid w:val="00941954"/>
    <w:rsid w:val="0094279B"/>
    <w:rsid w:val="00942A75"/>
    <w:rsid w:val="00944047"/>
    <w:rsid w:val="009469BE"/>
    <w:rsid w:val="00946F2F"/>
    <w:rsid w:val="009471BC"/>
    <w:rsid w:val="0094797C"/>
    <w:rsid w:val="00947DC2"/>
    <w:rsid w:val="00947DD9"/>
    <w:rsid w:val="00950B5F"/>
    <w:rsid w:val="00951392"/>
    <w:rsid w:val="00951FDE"/>
    <w:rsid w:val="009521C8"/>
    <w:rsid w:val="00954773"/>
    <w:rsid w:val="00954FC6"/>
    <w:rsid w:val="009554E6"/>
    <w:rsid w:val="00957FBC"/>
    <w:rsid w:val="00960420"/>
    <w:rsid w:val="00960714"/>
    <w:rsid w:val="0096140E"/>
    <w:rsid w:val="0096255F"/>
    <w:rsid w:val="00965F22"/>
    <w:rsid w:val="00967C6A"/>
    <w:rsid w:val="009700D5"/>
    <w:rsid w:val="009704FB"/>
    <w:rsid w:val="00971D48"/>
    <w:rsid w:val="00972925"/>
    <w:rsid w:val="0097303A"/>
    <w:rsid w:val="0097308D"/>
    <w:rsid w:val="00973B95"/>
    <w:rsid w:val="00973F03"/>
    <w:rsid w:val="009748BB"/>
    <w:rsid w:val="0097527E"/>
    <w:rsid w:val="009777D6"/>
    <w:rsid w:val="009803E3"/>
    <w:rsid w:val="009808F7"/>
    <w:rsid w:val="00981C15"/>
    <w:rsid w:val="009832ED"/>
    <w:rsid w:val="00983ED7"/>
    <w:rsid w:val="00984FAF"/>
    <w:rsid w:val="00985FC1"/>
    <w:rsid w:val="0098682C"/>
    <w:rsid w:val="00991785"/>
    <w:rsid w:val="00992DBC"/>
    <w:rsid w:val="00993E9F"/>
    <w:rsid w:val="00994B34"/>
    <w:rsid w:val="00994EF3"/>
    <w:rsid w:val="00997577"/>
    <w:rsid w:val="009A03A4"/>
    <w:rsid w:val="009A13C9"/>
    <w:rsid w:val="009A200B"/>
    <w:rsid w:val="009A29F8"/>
    <w:rsid w:val="009B1FE7"/>
    <w:rsid w:val="009B29AD"/>
    <w:rsid w:val="009B60EF"/>
    <w:rsid w:val="009B6F15"/>
    <w:rsid w:val="009C0D2F"/>
    <w:rsid w:val="009C1303"/>
    <w:rsid w:val="009C1C52"/>
    <w:rsid w:val="009C27EB"/>
    <w:rsid w:val="009C2EA4"/>
    <w:rsid w:val="009C31B5"/>
    <w:rsid w:val="009C426B"/>
    <w:rsid w:val="009C44D8"/>
    <w:rsid w:val="009C4CA6"/>
    <w:rsid w:val="009C4D93"/>
    <w:rsid w:val="009C5036"/>
    <w:rsid w:val="009C7CDB"/>
    <w:rsid w:val="009D1A9A"/>
    <w:rsid w:val="009D1D47"/>
    <w:rsid w:val="009D35B2"/>
    <w:rsid w:val="009D5B96"/>
    <w:rsid w:val="009D7913"/>
    <w:rsid w:val="009D7B56"/>
    <w:rsid w:val="009E1A09"/>
    <w:rsid w:val="009E2E6D"/>
    <w:rsid w:val="009E318C"/>
    <w:rsid w:val="009E39B5"/>
    <w:rsid w:val="009E48CC"/>
    <w:rsid w:val="009E4D2D"/>
    <w:rsid w:val="009E63A4"/>
    <w:rsid w:val="009E7589"/>
    <w:rsid w:val="009E7A81"/>
    <w:rsid w:val="009F0C40"/>
    <w:rsid w:val="009F1E0A"/>
    <w:rsid w:val="009F3391"/>
    <w:rsid w:val="009F3981"/>
    <w:rsid w:val="009F4D45"/>
    <w:rsid w:val="009F4D87"/>
    <w:rsid w:val="009F70E9"/>
    <w:rsid w:val="00A00B4A"/>
    <w:rsid w:val="00A03180"/>
    <w:rsid w:val="00A05196"/>
    <w:rsid w:val="00A066C3"/>
    <w:rsid w:val="00A0777B"/>
    <w:rsid w:val="00A10251"/>
    <w:rsid w:val="00A13063"/>
    <w:rsid w:val="00A13230"/>
    <w:rsid w:val="00A13762"/>
    <w:rsid w:val="00A13BF9"/>
    <w:rsid w:val="00A13C6D"/>
    <w:rsid w:val="00A15419"/>
    <w:rsid w:val="00A16360"/>
    <w:rsid w:val="00A20075"/>
    <w:rsid w:val="00A21BB3"/>
    <w:rsid w:val="00A25D84"/>
    <w:rsid w:val="00A26182"/>
    <w:rsid w:val="00A26777"/>
    <w:rsid w:val="00A318D1"/>
    <w:rsid w:val="00A31D12"/>
    <w:rsid w:val="00A351E4"/>
    <w:rsid w:val="00A404F5"/>
    <w:rsid w:val="00A40C2A"/>
    <w:rsid w:val="00A41D1F"/>
    <w:rsid w:val="00A4337D"/>
    <w:rsid w:val="00A45D4A"/>
    <w:rsid w:val="00A47B2C"/>
    <w:rsid w:val="00A50878"/>
    <w:rsid w:val="00A51787"/>
    <w:rsid w:val="00A51D7A"/>
    <w:rsid w:val="00A536D5"/>
    <w:rsid w:val="00A53A03"/>
    <w:rsid w:val="00A53B34"/>
    <w:rsid w:val="00A569CA"/>
    <w:rsid w:val="00A56ED0"/>
    <w:rsid w:val="00A579D3"/>
    <w:rsid w:val="00A57BBF"/>
    <w:rsid w:val="00A6056D"/>
    <w:rsid w:val="00A61381"/>
    <w:rsid w:val="00A61BED"/>
    <w:rsid w:val="00A64A58"/>
    <w:rsid w:val="00A65D2D"/>
    <w:rsid w:val="00A66894"/>
    <w:rsid w:val="00A67077"/>
    <w:rsid w:val="00A67200"/>
    <w:rsid w:val="00A6798E"/>
    <w:rsid w:val="00A70A63"/>
    <w:rsid w:val="00A75866"/>
    <w:rsid w:val="00A774F6"/>
    <w:rsid w:val="00A809BC"/>
    <w:rsid w:val="00A80EE0"/>
    <w:rsid w:val="00A81AA5"/>
    <w:rsid w:val="00A8221B"/>
    <w:rsid w:val="00A84AF7"/>
    <w:rsid w:val="00A85694"/>
    <w:rsid w:val="00A8701A"/>
    <w:rsid w:val="00A87C53"/>
    <w:rsid w:val="00A93BF0"/>
    <w:rsid w:val="00A94C94"/>
    <w:rsid w:val="00A96295"/>
    <w:rsid w:val="00A968AB"/>
    <w:rsid w:val="00A97DD5"/>
    <w:rsid w:val="00AA004B"/>
    <w:rsid w:val="00AA2988"/>
    <w:rsid w:val="00AA2D94"/>
    <w:rsid w:val="00AA3D60"/>
    <w:rsid w:val="00AA3DC8"/>
    <w:rsid w:val="00AA4146"/>
    <w:rsid w:val="00AA463E"/>
    <w:rsid w:val="00AA5EFE"/>
    <w:rsid w:val="00AA675C"/>
    <w:rsid w:val="00AA69EF"/>
    <w:rsid w:val="00AA6C0E"/>
    <w:rsid w:val="00AA7786"/>
    <w:rsid w:val="00AA7A2B"/>
    <w:rsid w:val="00AB14DE"/>
    <w:rsid w:val="00AB1D5F"/>
    <w:rsid w:val="00AB2DA2"/>
    <w:rsid w:val="00AB3915"/>
    <w:rsid w:val="00AB7C10"/>
    <w:rsid w:val="00AC0309"/>
    <w:rsid w:val="00AC0716"/>
    <w:rsid w:val="00AC0E65"/>
    <w:rsid w:val="00AC223B"/>
    <w:rsid w:val="00AC44E6"/>
    <w:rsid w:val="00AC5BEF"/>
    <w:rsid w:val="00AC68BE"/>
    <w:rsid w:val="00AD0028"/>
    <w:rsid w:val="00AD0C55"/>
    <w:rsid w:val="00AD12FC"/>
    <w:rsid w:val="00AD2260"/>
    <w:rsid w:val="00AD3A7E"/>
    <w:rsid w:val="00AD4768"/>
    <w:rsid w:val="00AD5FF0"/>
    <w:rsid w:val="00AD606D"/>
    <w:rsid w:val="00AD6B9B"/>
    <w:rsid w:val="00AD7333"/>
    <w:rsid w:val="00AE111E"/>
    <w:rsid w:val="00AE184A"/>
    <w:rsid w:val="00AE2501"/>
    <w:rsid w:val="00AE2782"/>
    <w:rsid w:val="00AE2E55"/>
    <w:rsid w:val="00AE4E3F"/>
    <w:rsid w:val="00AE4FA9"/>
    <w:rsid w:val="00AE5F4A"/>
    <w:rsid w:val="00AE7C82"/>
    <w:rsid w:val="00AF07E2"/>
    <w:rsid w:val="00AF15F0"/>
    <w:rsid w:val="00AF1D16"/>
    <w:rsid w:val="00AF206D"/>
    <w:rsid w:val="00AF2D7C"/>
    <w:rsid w:val="00AF3015"/>
    <w:rsid w:val="00AF30A5"/>
    <w:rsid w:val="00AF3186"/>
    <w:rsid w:val="00AF4598"/>
    <w:rsid w:val="00AF52A9"/>
    <w:rsid w:val="00AF5B6E"/>
    <w:rsid w:val="00AF69F0"/>
    <w:rsid w:val="00AF7744"/>
    <w:rsid w:val="00AF7BAC"/>
    <w:rsid w:val="00B01B60"/>
    <w:rsid w:val="00B046C2"/>
    <w:rsid w:val="00B04A89"/>
    <w:rsid w:val="00B057CB"/>
    <w:rsid w:val="00B05993"/>
    <w:rsid w:val="00B05F04"/>
    <w:rsid w:val="00B06165"/>
    <w:rsid w:val="00B0731B"/>
    <w:rsid w:val="00B07968"/>
    <w:rsid w:val="00B10136"/>
    <w:rsid w:val="00B15C07"/>
    <w:rsid w:val="00B20062"/>
    <w:rsid w:val="00B20DFA"/>
    <w:rsid w:val="00B21688"/>
    <w:rsid w:val="00B217E6"/>
    <w:rsid w:val="00B22B48"/>
    <w:rsid w:val="00B23D98"/>
    <w:rsid w:val="00B258D7"/>
    <w:rsid w:val="00B25E4B"/>
    <w:rsid w:val="00B27066"/>
    <w:rsid w:val="00B308CE"/>
    <w:rsid w:val="00B31548"/>
    <w:rsid w:val="00B320DC"/>
    <w:rsid w:val="00B34C7B"/>
    <w:rsid w:val="00B35A46"/>
    <w:rsid w:val="00B35A8E"/>
    <w:rsid w:val="00B3632A"/>
    <w:rsid w:val="00B36EA6"/>
    <w:rsid w:val="00B4014F"/>
    <w:rsid w:val="00B42C72"/>
    <w:rsid w:val="00B45635"/>
    <w:rsid w:val="00B469B9"/>
    <w:rsid w:val="00B46C5E"/>
    <w:rsid w:val="00B46CF0"/>
    <w:rsid w:val="00B46FB6"/>
    <w:rsid w:val="00B47461"/>
    <w:rsid w:val="00B47BEB"/>
    <w:rsid w:val="00B514C9"/>
    <w:rsid w:val="00B514DD"/>
    <w:rsid w:val="00B51E74"/>
    <w:rsid w:val="00B52044"/>
    <w:rsid w:val="00B52063"/>
    <w:rsid w:val="00B52A22"/>
    <w:rsid w:val="00B53898"/>
    <w:rsid w:val="00B539A1"/>
    <w:rsid w:val="00B53A32"/>
    <w:rsid w:val="00B53C15"/>
    <w:rsid w:val="00B53D01"/>
    <w:rsid w:val="00B5646A"/>
    <w:rsid w:val="00B5701B"/>
    <w:rsid w:val="00B577FF"/>
    <w:rsid w:val="00B615CC"/>
    <w:rsid w:val="00B6291B"/>
    <w:rsid w:val="00B673BB"/>
    <w:rsid w:val="00B701D9"/>
    <w:rsid w:val="00B7023F"/>
    <w:rsid w:val="00B708FB"/>
    <w:rsid w:val="00B71A45"/>
    <w:rsid w:val="00B7217C"/>
    <w:rsid w:val="00B7388B"/>
    <w:rsid w:val="00B74519"/>
    <w:rsid w:val="00B7630C"/>
    <w:rsid w:val="00B76600"/>
    <w:rsid w:val="00B77630"/>
    <w:rsid w:val="00B81C73"/>
    <w:rsid w:val="00B81F70"/>
    <w:rsid w:val="00B8273C"/>
    <w:rsid w:val="00B85A18"/>
    <w:rsid w:val="00B85DF4"/>
    <w:rsid w:val="00B8774E"/>
    <w:rsid w:val="00B9175C"/>
    <w:rsid w:val="00B91902"/>
    <w:rsid w:val="00B9451F"/>
    <w:rsid w:val="00B954E0"/>
    <w:rsid w:val="00B95A93"/>
    <w:rsid w:val="00B97025"/>
    <w:rsid w:val="00B97752"/>
    <w:rsid w:val="00BA16AE"/>
    <w:rsid w:val="00BA68B2"/>
    <w:rsid w:val="00BA7283"/>
    <w:rsid w:val="00BB0263"/>
    <w:rsid w:val="00BB32F0"/>
    <w:rsid w:val="00BB3665"/>
    <w:rsid w:val="00BB3DE9"/>
    <w:rsid w:val="00BB45DA"/>
    <w:rsid w:val="00BB473F"/>
    <w:rsid w:val="00BB6648"/>
    <w:rsid w:val="00BC05A6"/>
    <w:rsid w:val="00BC10C2"/>
    <w:rsid w:val="00BC1CFB"/>
    <w:rsid w:val="00BC4823"/>
    <w:rsid w:val="00BC4A73"/>
    <w:rsid w:val="00BC5D78"/>
    <w:rsid w:val="00BC7D05"/>
    <w:rsid w:val="00BD10A6"/>
    <w:rsid w:val="00BD14B1"/>
    <w:rsid w:val="00BD1BA8"/>
    <w:rsid w:val="00BD2399"/>
    <w:rsid w:val="00BD2F99"/>
    <w:rsid w:val="00BD3E31"/>
    <w:rsid w:val="00BD437D"/>
    <w:rsid w:val="00BD47CD"/>
    <w:rsid w:val="00BD78DB"/>
    <w:rsid w:val="00BE1B7B"/>
    <w:rsid w:val="00BE36EA"/>
    <w:rsid w:val="00BE3DA1"/>
    <w:rsid w:val="00BE50AA"/>
    <w:rsid w:val="00BE603D"/>
    <w:rsid w:val="00BE6107"/>
    <w:rsid w:val="00BE7175"/>
    <w:rsid w:val="00BE7316"/>
    <w:rsid w:val="00BE7C55"/>
    <w:rsid w:val="00BE7E85"/>
    <w:rsid w:val="00BF00E3"/>
    <w:rsid w:val="00BF06A4"/>
    <w:rsid w:val="00BF0C5F"/>
    <w:rsid w:val="00BF1449"/>
    <w:rsid w:val="00BF4C03"/>
    <w:rsid w:val="00BF4EEF"/>
    <w:rsid w:val="00BF55A9"/>
    <w:rsid w:val="00BF7FC5"/>
    <w:rsid w:val="00C015BB"/>
    <w:rsid w:val="00C0203A"/>
    <w:rsid w:val="00C02CF5"/>
    <w:rsid w:val="00C0335F"/>
    <w:rsid w:val="00C045E1"/>
    <w:rsid w:val="00C062B2"/>
    <w:rsid w:val="00C06DD9"/>
    <w:rsid w:val="00C0700E"/>
    <w:rsid w:val="00C10827"/>
    <w:rsid w:val="00C11683"/>
    <w:rsid w:val="00C11964"/>
    <w:rsid w:val="00C140A0"/>
    <w:rsid w:val="00C14277"/>
    <w:rsid w:val="00C1484F"/>
    <w:rsid w:val="00C1778E"/>
    <w:rsid w:val="00C202D1"/>
    <w:rsid w:val="00C22B6A"/>
    <w:rsid w:val="00C236F4"/>
    <w:rsid w:val="00C2390E"/>
    <w:rsid w:val="00C23D5D"/>
    <w:rsid w:val="00C25777"/>
    <w:rsid w:val="00C25A16"/>
    <w:rsid w:val="00C27A9D"/>
    <w:rsid w:val="00C27BC3"/>
    <w:rsid w:val="00C30383"/>
    <w:rsid w:val="00C31A20"/>
    <w:rsid w:val="00C3321C"/>
    <w:rsid w:val="00C336B9"/>
    <w:rsid w:val="00C351EA"/>
    <w:rsid w:val="00C356E8"/>
    <w:rsid w:val="00C379E4"/>
    <w:rsid w:val="00C40BF5"/>
    <w:rsid w:val="00C4505A"/>
    <w:rsid w:val="00C4569B"/>
    <w:rsid w:val="00C471ED"/>
    <w:rsid w:val="00C5056D"/>
    <w:rsid w:val="00C50F95"/>
    <w:rsid w:val="00C53146"/>
    <w:rsid w:val="00C535BF"/>
    <w:rsid w:val="00C542CB"/>
    <w:rsid w:val="00C54857"/>
    <w:rsid w:val="00C55B77"/>
    <w:rsid w:val="00C56C8A"/>
    <w:rsid w:val="00C6010C"/>
    <w:rsid w:val="00C607C9"/>
    <w:rsid w:val="00C610F9"/>
    <w:rsid w:val="00C6242C"/>
    <w:rsid w:val="00C625B7"/>
    <w:rsid w:val="00C64B15"/>
    <w:rsid w:val="00C6518F"/>
    <w:rsid w:val="00C65823"/>
    <w:rsid w:val="00C678A7"/>
    <w:rsid w:val="00C67F24"/>
    <w:rsid w:val="00C703C0"/>
    <w:rsid w:val="00C72782"/>
    <w:rsid w:val="00C730A2"/>
    <w:rsid w:val="00C73E6F"/>
    <w:rsid w:val="00C75154"/>
    <w:rsid w:val="00C76D9F"/>
    <w:rsid w:val="00C77D01"/>
    <w:rsid w:val="00C77F0D"/>
    <w:rsid w:val="00C81CBF"/>
    <w:rsid w:val="00C81CE8"/>
    <w:rsid w:val="00C82445"/>
    <w:rsid w:val="00C8353B"/>
    <w:rsid w:val="00C83898"/>
    <w:rsid w:val="00C84527"/>
    <w:rsid w:val="00C84B33"/>
    <w:rsid w:val="00C8574C"/>
    <w:rsid w:val="00C867BC"/>
    <w:rsid w:val="00C917B6"/>
    <w:rsid w:val="00C91E6F"/>
    <w:rsid w:val="00C924ED"/>
    <w:rsid w:val="00C92BF1"/>
    <w:rsid w:val="00C933D2"/>
    <w:rsid w:val="00C94E7B"/>
    <w:rsid w:val="00C94FB3"/>
    <w:rsid w:val="00C954D7"/>
    <w:rsid w:val="00C9597D"/>
    <w:rsid w:val="00C9620F"/>
    <w:rsid w:val="00C97424"/>
    <w:rsid w:val="00CA02C6"/>
    <w:rsid w:val="00CA0EB9"/>
    <w:rsid w:val="00CA136E"/>
    <w:rsid w:val="00CA2C2C"/>
    <w:rsid w:val="00CA4EA1"/>
    <w:rsid w:val="00CA587F"/>
    <w:rsid w:val="00CA6F12"/>
    <w:rsid w:val="00CA75DC"/>
    <w:rsid w:val="00CA7800"/>
    <w:rsid w:val="00CA7B9B"/>
    <w:rsid w:val="00CA7D25"/>
    <w:rsid w:val="00CB2A38"/>
    <w:rsid w:val="00CB41DC"/>
    <w:rsid w:val="00CB5D46"/>
    <w:rsid w:val="00CB5E98"/>
    <w:rsid w:val="00CB6330"/>
    <w:rsid w:val="00CC0523"/>
    <w:rsid w:val="00CC0599"/>
    <w:rsid w:val="00CC0C7A"/>
    <w:rsid w:val="00CC30B0"/>
    <w:rsid w:val="00CC39D2"/>
    <w:rsid w:val="00CC6E56"/>
    <w:rsid w:val="00CD10F5"/>
    <w:rsid w:val="00CD4346"/>
    <w:rsid w:val="00CD4FAC"/>
    <w:rsid w:val="00CD5DD3"/>
    <w:rsid w:val="00CD6332"/>
    <w:rsid w:val="00CD647D"/>
    <w:rsid w:val="00CD67BD"/>
    <w:rsid w:val="00CD70EB"/>
    <w:rsid w:val="00CD719F"/>
    <w:rsid w:val="00CE19AC"/>
    <w:rsid w:val="00CE2184"/>
    <w:rsid w:val="00CE3D33"/>
    <w:rsid w:val="00CE4068"/>
    <w:rsid w:val="00CE4B72"/>
    <w:rsid w:val="00CE5938"/>
    <w:rsid w:val="00CE59DB"/>
    <w:rsid w:val="00CE6A89"/>
    <w:rsid w:val="00CE7C78"/>
    <w:rsid w:val="00CE7F33"/>
    <w:rsid w:val="00CF1347"/>
    <w:rsid w:val="00CF3448"/>
    <w:rsid w:val="00CF3A2B"/>
    <w:rsid w:val="00CF447E"/>
    <w:rsid w:val="00CF549A"/>
    <w:rsid w:val="00CF6325"/>
    <w:rsid w:val="00D007D9"/>
    <w:rsid w:val="00D015C2"/>
    <w:rsid w:val="00D04D31"/>
    <w:rsid w:val="00D06875"/>
    <w:rsid w:val="00D06A87"/>
    <w:rsid w:val="00D077B1"/>
    <w:rsid w:val="00D1064A"/>
    <w:rsid w:val="00D122BE"/>
    <w:rsid w:val="00D12FE4"/>
    <w:rsid w:val="00D15144"/>
    <w:rsid w:val="00D1530C"/>
    <w:rsid w:val="00D15B1E"/>
    <w:rsid w:val="00D15C97"/>
    <w:rsid w:val="00D1613E"/>
    <w:rsid w:val="00D165D2"/>
    <w:rsid w:val="00D20C24"/>
    <w:rsid w:val="00D22CEB"/>
    <w:rsid w:val="00D250CE"/>
    <w:rsid w:val="00D253BF"/>
    <w:rsid w:val="00D261BE"/>
    <w:rsid w:val="00D2628A"/>
    <w:rsid w:val="00D26B4C"/>
    <w:rsid w:val="00D2754F"/>
    <w:rsid w:val="00D27634"/>
    <w:rsid w:val="00D30C77"/>
    <w:rsid w:val="00D31325"/>
    <w:rsid w:val="00D31BC4"/>
    <w:rsid w:val="00D324F3"/>
    <w:rsid w:val="00D3397C"/>
    <w:rsid w:val="00D349D1"/>
    <w:rsid w:val="00D34E70"/>
    <w:rsid w:val="00D35A55"/>
    <w:rsid w:val="00D363E8"/>
    <w:rsid w:val="00D36FC3"/>
    <w:rsid w:val="00D37866"/>
    <w:rsid w:val="00D41486"/>
    <w:rsid w:val="00D4173D"/>
    <w:rsid w:val="00D42CA7"/>
    <w:rsid w:val="00D45022"/>
    <w:rsid w:val="00D4713A"/>
    <w:rsid w:val="00D50089"/>
    <w:rsid w:val="00D5097B"/>
    <w:rsid w:val="00D52344"/>
    <w:rsid w:val="00D525A4"/>
    <w:rsid w:val="00D53566"/>
    <w:rsid w:val="00D53A34"/>
    <w:rsid w:val="00D54568"/>
    <w:rsid w:val="00D55609"/>
    <w:rsid w:val="00D60142"/>
    <w:rsid w:val="00D620D5"/>
    <w:rsid w:val="00D62F95"/>
    <w:rsid w:val="00D635CE"/>
    <w:rsid w:val="00D63605"/>
    <w:rsid w:val="00D658FE"/>
    <w:rsid w:val="00D6750E"/>
    <w:rsid w:val="00D67709"/>
    <w:rsid w:val="00D7092D"/>
    <w:rsid w:val="00D70FA2"/>
    <w:rsid w:val="00D71501"/>
    <w:rsid w:val="00D726B0"/>
    <w:rsid w:val="00D734DB"/>
    <w:rsid w:val="00D73BA0"/>
    <w:rsid w:val="00D74BA7"/>
    <w:rsid w:val="00D74BBD"/>
    <w:rsid w:val="00D74E23"/>
    <w:rsid w:val="00D80A98"/>
    <w:rsid w:val="00D8769C"/>
    <w:rsid w:val="00D87965"/>
    <w:rsid w:val="00D90804"/>
    <w:rsid w:val="00D90F5D"/>
    <w:rsid w:val="00D9119A"/>
    <w:rsid w:val="00D91EE3"/>
    <w:rsid w:val="00D93A95"/>
    <w:rsid w:val="00D96168"/>
    <w:rsid w:val="00D96776"/>
    <w:rsid w:val="00D96ADC"/>
    <w:rsid w:val="00D970D4"/>
    <w:rsid w:val="00DA0B1F"/>
    <w:rsid w:val="00DA0B54"/>
    <w:rsid w:val="00DA0F10"/>
    <w:rsid w:val="00DA1D90"/>
    <w:rsid w:val="00DA1F47"/>
    <w:rsid w:val="00DA39A7"/>
    <w:rsid w:val="00DA3A06"/>
    <w:rsid w:val="00DA423A"/>
    <w:rsid w:val="00DA4D53"/>
    <w:rsid w:val="00DA55DF"/>
    <w:rsid w:val="00DA5F37"/>
    <w:rsid w:val="00DA5F89"/>
    <w:rsid w:val="00DA6586"/>
    <w:rsid w:val="00DA6C89"/>
    <w:rsid w:val="00DA71EA"/>
    <w:rsid w:val="00DB05AE"/>
    <w:rsid w:val="00DB0C7B"/>
    <w:rsid w:val="00DB1865"/>
    <w:rsid w:val="00DB25C4"/>
    <w:rsid w:val="00DB5096"/>
    <w:rsid w:val="00DB51E5"/>
    <w:rsid w:val="00DB7CEB"/>
    <w:rsid w:val="00DC0C92"/>
    <w:rsid w:val="00DC0EDC"/>
    <w:rsid w:val="00DC25CD"/>
    <w:rsid w:val="00DC287B"/>
    <w:rsid w:val="00DC3562"/>
    <w:rsid w:val="00DC3EFC"/>
    <w:rsid w:val="00DC418C"/>
    <w:rsid w:val="00DC4FF1"/>
    <w:rsid w:val="00DC7563"/>
    <w:rsid w:val="00DD052E"/>
    <w:rsid w:val="00DD097D"/>
    <w:rsid w:val="00DD0A4B"/>
    <w:rsid w:val="00DD1685"/>
    <w:rsid w:val="00DD2117"/>
    <w:rsid w:val="00DD269D"/>
    <w:rsid w:val="00DD44B9"/>
    <w:rsid w:val="00DD5540"/>
    <w:rsid w:val="00DD5675"/>
    <w:rsid w:val="00DD7C82"/>
    <w:rsid w:val="00DE1518"/>
    <w:rsid w:val="00DE2088"/>
    <w:rsid w:val="00DE232C"/>
    <w:rsid w:val="00DE2A44"/>
    <w:rsid w:val="00DE537D"/>
    <w:rsid w:val="00DE6A97"/>
    <w:rsid w:val="00DE6CD1"/>
    <w:rsid w:val="00DE74FE"/>
    <w:rsid w:val="00DF07A2"/>
    <w:rsid w:val="00DF1283"/>
    <w:rsid w:val="00DF184E"/>
    <w:rsid w:val="00DF2850"/>
    <w:rsid w:val="00DF6863"/>
    <w:rsid w:val="00DF7D30"/>
    <w:rsid w:val="00E00079"/>
    <w:rsid w:val="00E02F60"/>
    <w:rsid w:val="00E03416"/>
    <w:rsid w:val="00E0396C"/>
    <w:rsid w:val="00E04485"/>
    <w:rsid w:val="00E05F21"/>
    <w:rsid w:val="00E070F1"/>
    <w:rsid w:val="00E072CE"/>
    <w:rsid w:val="00E07BA5"/>
    <w:rsid w:val="00E10A8C"/>
    <w:rsid w:val="00E1102F"/>
    <w:rsid w:val="00E1243B"/>
    <w:rsid w:val="00E12ECB"/>
    <w:rsid w:val="00E15D57"/>
    <w:rsid w:val="00E15EA5"/>
    <w:rsid w:val="00E16A97"/>
    <w:rsid w:val="00E1701D"/>
    <w:rsid w:val="00E205A0"/>
    <w:rsid w:val="00E20E29"/>
    <w:rsid w:val="00E22663"/>
    <w:rsid w:val="00E22D11"/>
    <w:rsid w:val="00E2341F"/>
    <w:rsid w:val="00E23B80"/>
    <w:rsid w:val="00E24BDF"/>
    <w:rsid w:val="00E25EDC"/>
    <w:rsid w:val="00E2671B"/>
    <w:rsid w:val="00E26859"/>
    <w:rsid w:val="00E2789D"/>
    <w:rsid w:val="00E30298"/>
    <w:rsid w:val="00E31227"/>
    <w:rsid w:val="00E31AA6"/>
    <w:rsid w:val="00E31FE4"/>
    <w:rsid w:val="00E34F9A"/>
    <w:rsid w:val="00E3580E"/>
    <w:rsid w:val="00E3757E"/>
    <w:rsid w:val="00E40304"/>
    <w:rsid w:val="00E40FD0"/>
    <w:rsid w:val="00E4135E"/>
    <w:rsid w:val="00E41BB9"/>
    <w:rsid w:val="00E427C6"/>
    <w:rsid w:val="00E430B6"/>
    <w:rsid w:val="00E4348E"/>
    <w:rsid w:val="00E50A06"/>
    <w:rsid w:val="00E510C9"/>
    <w:rsid w:val="00E53368"/>
    <w:rsid w:val="00E5592A"/>
    <w:rsid w:val="00E55C4A"/>
    <w:rsid w:val="00E6055D"/>
    <w:rsid w:val="00E60AB2"/>
    <w:rsid w:val="00E6212D"/>
    <w:rsid w:val="00E63867"/>
    <w:rsid w:val="00E666BF"/>
    <w:rsid w:val="00E67442"/>
    <w:rsid w:val="00E70072"/>
    <w:rsid w:val="00E70BE7"/>
    <w:rsid w:val="00E74111"/>
    <w:rsid w:val="00E74EE5"/>
    <w:rsid w:val="00E75EA5"/>
    <w:rsid w:val="00E81739"/>
    <w:rsid w:val="00E81D4A"/>
    <w:rsid w:val="00E82BDD"/>
    <w:rsid w:val="00E844CC"/>
    <w:rsid w:val="00E855A5"/>
    <w:rsid w:val="00E85EE9"/>
    <w:rsid w:val="00E904F0"/>
    <w:rsid w:val="00E913E3"/>
    <w:rsid w:val="00E91400"/>
    <w:rsid w:val="00E91A77"/>
    <w:rsid w:val="00E94EA2"/>
    <w:rsid w:val="00E970F4"/>
    <w:rsid w:val="00E973F6"/>
    <w:rsid w:val="00E97DB3"/>
    <w:rsid w:val="00EA1437"/>
    <w:rsid w:val="00EA1C2B"/>
    <w:rsid w:val="00EA1D71"/>
    <w:rsid w:val="00EA2475"/>
    <w:rsid w:val="00EA2849"/>
    <w:rsid w:val="00EA361A"/>
    <w:rsid w:val="00EA3F0B"/>
    <w:rsid w:val="00EA4674"/>
    <w:rsid w:val="00EA632D"/>
    <w:rsid w:val="00EA7234"/>
    <w:rsid w:val="00EB0164"/>
    <w:rsid w:val="00EB0CB4"/>
    <w:rsid w:val="00EB1FF2"/>
    <w:rsid w:val="00EB32BB"/>
    <w:rsid w:val="00EB362B"/>
    <w:rsid w:val="00EB589C"/>
    <w:rsid w:val="00EC1132"/>
    <w:rsid w:val="00EC1893"/>
    <w:rsid w:val="00EC1F2B"/>
    <w:rsid w:val="00EC42BF"/>
    <w:rsid w:val="00EC4501"/>
    <w:rsid w:val="00EC470D"/>
    <w:rsid w:val="00EC5068"/>
    <w:rsid w:val="00EC647D"/>
    <w:rsid w:val="00EC7380"/>
    <w:rsid w:val="00EC7CDF"/>
    <w:rsid w:val="00ED0E84"/>
    <w:rsid w:val="00ED2570"/>
    <w:rsid w:val="00ED4721"/>
    <w:rsid w:val="00ED4A41"/>
    <w:rsid w:val="00ED4E22"/>
    <w:rsid w:val="00ED6C9B"/>
    <w:rsid w:val="00ED735D"/>
    <w:rsid w:val="00ED7D4B"/>
    <w:rsid w:val="00EE0E07"/>
    <w:rsid w:val="00EE1190"/>
    <w:rsid w:val="00EE2334"/>
    <w:rsid w:val="00EE2569"/>
    <w:rsid w:val="00EE4519"/>
    <w:rsid w:val="00EE5CD9"/>
    <w:rsid w:val="00EE6482"/>
    <w:rsid w:val="00EE6C3B"/>
    <w:rsid w:val="00EE7A76"/>
    <w:rsid w:val="00EF0793"/>
    <w:rsid w:val="00EF0CE5"/>
    <w:rsid w:val="00EF10B9"/>
    <w:rsid w:val="00EF1B06"/>
    <w:rsid w:val="00EF385D"/>
    <w:rsid w:val="00EF40A4"/>
    <w:rsid w:val="00EF6CC8"/>
    <w:rsid w:val="00EF789C"/>
    <w:rsid w:val="00F00302"/>
    <w:rsid w:val="00F007A0"/>
    <w:rsid w:val="00F0322A"/>
    <w:rsid w:val="00F03919"/>
    <w:rsid w:val="00F1043A"/>
    <w:rsid w:val="00F10E14"/>
    <w:rsid w:val="00F1113C"/>
    <w:rsid w:val="00F1132A"/>
    <w:rsid w:val="00F1175C"/>
    <w:rsid w:val="00F14070"/>
    <w:rsid w:val="00F14A61"/>
    <w:rsid w:val="00F14EC4"/>
    <w:rsid w:val="00F17AE5"/>
    <w:rsid w:val="00F17B9C"/>
    <w:rsid w:val="00F20A95"/>
    <w:rsid w:val="00F20C4C"/>
    <w:rsid w:val="00F20FAB"/>
    <w:rsid w:val="00F212C1"/>
    <w:rsid w:val="00F219F2"/>
    <w:rsid w:val="00F23793"/>
    <w:rsid w:val="00F23F67"/>
    <w:rsid w:val="00F269BC"/>
    <w:rsid w:val="00F26A9A"/>
    <w:rsid w:val="00F27960"/>
    <w:rsid w:val="00F306DA"/>
    <w:rsid w:val="00F30778"/>
    <w:rsid w:val="00F3286F"/>
    <w:rsid w:val="00F32A61"/>
    <w:rsid w:val="00F352CF"/>
    <w:rsid w:val="00F35DBC"/>
    <w:rsid w:val="00F3662E"/>
    <w:rsid w:val="00F42F29"/>
    <w:rsid w:val="00F4356A"/>
    <w:rsid w:val="00F4413D"/>
    <w:rsid w:val="00F450E7"/>
    <w:rsid w:val="00F45F1C"/>
    <w:rsid w:val="00F465DD"/>
    <w:rsid w:val="00F46834"/>
    <w:rsid w:val="00F47F8E"/>
    <w:rsid w:val="00F504AF"/>
    <w:rsid w:val="00F50C02"/>
    <w:rsid w:val="00F50CF1"/>
    <w:rsid w:val="00F511D1"/>
    <w:rsid w:val="00F5129D"/>
    <w:rsid w:val="00F51FCB"/>
    <w:rsid w:val="00F523E4"/>
    <w:rsid w:val="00F527CD"/>
    <w:rsid w:val="00F52C25"/>
    <w:rsid w:val="00F535CA"/>
    <w:rsid w:val="00F5506B"/>
    <w:rsid w:val="00F56EEF"/>
    <w:rsid w:val="00F57A16"/>
    <w:rsid w:val="00F61549"/>
    <w:rsid w:val="00F61A80"/>
    <w:rsid w:val="00F62E4B"/>
    <w:rsid w:val="00F647E6"/>
    <w:rsid w:val="00F67974"/>
    <w:rsid w:val="00F722B7"/>
    <w:rsid w:val="00F726D8"/>
    <w:rsid w:val="00F73223"/>
    <w:rsid w:val="00F73FD6"/>
    <w:rsid w:val="00F751E8"/>
    <w:rsid w:val="00F770DC"/>
    <w:rsid w:val="00F770FD"/>
    <w:rsid w:val="00F77B56"/>
    <w:rsid w:val="00F80207"/>
    <w:rsid w:val="00F80510"/>
    <w:rsid w:val="00F81314"/>
    <w:rsid w:val="00F82149"/>
    <w:rsid w:val="00F841ED"/>
    <w:rsid w:val="00F847DE"/>
    <w:rsid w:val="00F92070"/>
    <w:rsid w:val="00F92657"/>
    <w:rsid w:val="00F92BF2"/>
    <w:rsid w:val="00F92CC4"/>
    <w:rsid w:val="00F93B70"/>
    <w:rsid w:val="00F940B1"/>
    <w:rsid w:val="00F94961"/>
    <w:rsid w:val="00F94F85"/>
    <w:rsid w:val="00F94FDB"/>
    <w:rsid w:val="00F95729"/>
    <w:rsid w:val="00F95CEC"/>
    <w:rsid w:val="00F962B5"/>
    <w:rsid w:val="00F97E30"/>
    <w:rsid w:val="00FA22E9"/>
    <w:rsid w:val="00FA4B61"/>
    <w:rsid w:val="00FA5931"/>
    <w:rsid w:val="00FA5CC1"/>
    <w:rsid w:val="00FA6ACC"/>
    <w:rsid w:val="00FA7677"/>
    <w:rsid w:val="00FA78AE"/>
    <w:rsid w:val="00FA78DF"/>
    <w:rsid w:val="00FB19DF"/>
    <w:rsid w:val="00FB3016"/>
    <w:rsid w:val="00FB3A3F"/>
    <w:rsid w:val="00FB3EBD"/>
    <w:rsid w:val="00FB44B2"/>
    <w:rsid w:val="00FB71C1"/>
    <w:rsid w:val="00FB7AFE"/>
    <w:rsid w:val="00FC1065"/>
    <w:rsid w:val="00FC177F"/>
    <w:rsid w:val="00FC17F0"/>
    <w:rsid w:val="00FC2ED7"/>
    <w:rsid w:val="00FC5692"/>
    <w:rsid w:val="00FC7790"/>
    <w:rsid w:val="00FC7E97"/>
    <w:rsid w:val="00FD00B7"/>
    <w:rsid w:val="00FD0418"/>
    <w:rsid w:val="00FD096E"/>
    <w:rsid w:val="00FD160A"/>
    <w:rsid w:val="00FD29A2"/>
    <w:rsid w:val="00FD2BFB"/>
    <w:rsid w:val="00FD32A2"/>
    <w:rsid w:val="00FD55E1"/>
    <w:rsid w:val="00FD60CA"/>
    <w:rsid w:val="00FE004A"/>
    <w:rsid w:val="00FE05ED"/>
    <w:rsid w:val="00FE152B"/>
    <w:rsid w:val="00FE17FD"/>
    <w:rsid w:val="00FE3169"/>
    <w:rsid w:val="00FE4A41"/>
    <w:rsid w:val="00FE4D4A"/>
    <w:rsid w:val="00FE7398"/>
    <w:rsid w:val="00FF01EC"/>
    <w:rsid w:val="00FF1473"/>
    <w:rsid w:val="00FF1D32"/>
    <w:rsid w:val="00FF252A"/>
    <w:rsid w:val="00FF4844"/>
    <w:rsid w:val="00FF617A"/>
    <w:rsid w:val="00FF67BD"/>
    <w:rsid w:val="00FF7985"/>
    <w:rsid w:val="00FF7C83"/>
    <w:rsid w:val="00FF7C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C4F7FE"/>
  <w15:docId w15:val="{BB9E2664-E885-4619-A132-C8D37A83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57BE"/>
    <w:pPr>
      <w:spacing w:before="120" w:after="120" w:line="300" w:lineRule="atLeast"/>
    </w:pPr>
    <w:rPr>
      <w:rFonts w:ascii="Arial" w:eastAsia="Times New Roman" w:hAnsi="Arial"/>
      <w:szCs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Normal"/>
    <w:link w:val="Heading1Char"/>
    <w:uiPriority w:val="1"/>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C6242C"/>
    <w:pPr>
      <w:numPr>
        <w:ilvl w:val="1"/>
        <w:numId w:val="22"/>
      </w:numPr>
      <w:spacing w:after="0" w:line="360" w:lineRule="auto"/>
      <w:ind w:left="576"/>
      <w:jc w:val="both"/>
      <w:outlineLvl w:val="1"/>
    </w:pPr>
    <w:rPr>
      <w:rFonts w:eastAsia="MS Gothic" w:cstheme="minorHAnsi"/>
      <w:iCs/>
      <w:color w:val="000000" w:themeColor="text1"/>
      <w:szCs w:val="22"/>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uiPriority w:val="9"/>
    <w:qFormat/>
    <w:rsid w:val="00313E9E"/>
    <w:pPr>
      <w:keepNext/>
      <w:keepLines/>
      <w:spacing w:before="200"/>
      <w:outlineLvl w:val="2"/>
    </w:pPr>
    <w:rPr>
      <w:rFonts w:ascii="Calibri" w:eastAsia="MS Gothic" w:hAnsi="Calibri"/>
      <w:b/>
      <w:bCs/>
      <w:color w:val="4F81BD"/>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qFormat/>
    <w:rsid w:val="00A774F6"/>
    <w:pPr>
      <w:spacing w:before="240" w:after="0"/>
      <w:outlineLvl w:val="3"/>
    </w:pPr>
    <w:rPr>
      <w:rFonts w:cs="Arial"/>
      <w:b/>
      <w:bCs/>
      <w:color w:val="008576"/>
      <w:sz w:val="24"/>
      <w:szCs w:val="28"/>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autoRedefine/>
    <w:uiPriority w:val="9"/>
    <w:qFormat/>
    <w:rsid w:val="008C0FA4"/>
    <w:pPr>
      <w:keepLines/>
      <w:outlineLvl w:val="4"/>
    </w:pPr>
    <w:rPr>
      <w:b/>
      <w:i/>
      <w:sz w:val="22"/>
      <w:szCs w:val="28"/>
      <w:u w:val="single"/>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qFormat/>
    <w:rsid w:val="00313E9E"/>
    <w:pPr>
      <w:keepNext/>
      <w:keepLines/>
      <w:spacing w:before="200"/>
      <w:outlineLvl w:val="5"/>
    </w:pPr>
    <w:rPr>
      <w:rFonts w:ascii="Calibri" w:eastAsia="MS Gothic" w:hAnsi="Calibri"/>
      <w:i/>
      <w:iCs/>
      <w:color w:val="24406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qFormat/>
    <w:rsid w:val="00313E9E"/>
    <w:pPr>
      <w:keepNext/>
      <w:keepLines/>
      <w:spacing w:before="200"/>
      <w:outlineLvl w:val="6"/>
    </w:pPr>
    <w:rPr>
      <w:rFonts w:ascii="Calibri" w:eastAsia="MS Gothic" w:hAnsi="Calibri"/>
      <w:i/>
      <w:iCs/>
      <w:color w:val="404040"/>
    </w:rPr>
  </w:style>
  <w:style w:type="paragraph" w:styleId="Heading8">
    <w:name w:val="heading 8"/>
    <w:aliases w:val="level2(a)"/>
    <w:basedOn w:val="Normal"/>
    <w:next w:val="Normal"/>
    <w:link w:val="Heading8Char"/>
    <w:uiPriority w:val="9"/>
    <w:qFormat/>
    <w:rsid w:val="00313E9E"/>
    <w:pPr>
      <w:keepNext/>
      <w:keepLines/>
      <w:spacing w:before="200"/>
      <w:outlineLvl w:val="7"/>
    </w:pPr>
    <w:rPr>
      <w:rFonts w:ascii="Calibri" w:eastAsia="MS Gothic" w:hAnsi="Calibri"/>
      <w:color w:val="363636"/>
      <w:szCs w:val="20"/>
    </w:rPr>
  </w:style>
  <w:style w:type="paragraph" w:styleId="Heading9">
    <w:name w:val="heading 9"/>
    <w:aliases w:val="App Heading,level3(i)"/>
    <w:basedOn w:val="Normal"/>
    <w:next w:val="Normal"/>
    <w:link w:val="Heading9Char"/>
    <w:uiPriority w:val="9"/>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link w:val="Heading01Char"/>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491B33"/>
    <w:pPr>
      <w:tabs>
        <w:tab w:val="center" w:pos="4320"/>
        <w:tab w:val="right" w:pos="8640"/>
      </w:tabs>
      <w:spacing w:line="240" w:lineRule="auto"/>
      <w:ind w:left="113" w:hanging="113"/>
    </w:pPr>
    <w:rPr>
      <w:sz w:val="18"/>
    </w:rPr>
  </w:style>
  <w:style w:type="character" w:customStyle="1" w:styleId="FooterChar">
    <w:name w:val="Footer Char"/>
    <w:basedOn w:val="DefaultParagraphFont"/>
    <w:link w:val="Footer"/>
    <w:rsid w:val="00491B33"/>
    <w:rPr>
      <w:rFonts w:ascii="Arial" w:eastAsia="Times New Roman" w:hAnsi="Arial"/>
      <w:sz w:val="18"/>
      <w:szCs w:val="24"/>
    </w:rPr>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C6242C"/>
    <w:rPr>
      <w:rFonts w:ascii="Arial" w:eastAsia="MS Gothic" w:hAnsi="Arial" w:cstheme="minorHAnsi"/>
      <w:iCs/>
      <w:color w:val="000000" w:themeColor="text1"/>
      <w:szCs w:val="22"/>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link w:val="Heading4"/>
    <w:uiPriority w:val="9"/>
    <w:rsid w:val="00A774F6"/>
    <w:rPr>
      <w:rFonts w:ascii="Arial" w:eastAsia="Times New Roman" w:hAnsi="Arial" w:cs="Arial"/>
      <w:b/>
      <w:bCs/>
      <w:color w:val="008576"/>
      <w:sz w:val="24"/>
      <w:szCs w:val="28"/>
    </w:rPr>
  </w:style>
  <w:style w:type="character" w:customStyle="1" w:styleId="Heading8Char">
    <w:name w:val="Heading 8 Char"/>
    <w:aliases w:val="level2(a)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link w:val="Heading5"/>
    <w:rsid w:val="008C0FA4"/>
    <w:rPr>
      <w:rFonts w:ascii="Arial" w:eastAsia="Times New Roman" w:hAnsi="Arial"/>
      <w:b/>
      <w:i/>
      <w:sz w:val="22"/>
      <w:szCs w:val="28"/>
      <w:u w:val="single"/>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link w:val="Heading6"/>
    <w:rsid w:val="00313E9E"/>
    <w:rPr>
      <w:rFonts w:ascii="Calibri" w:eastAsia="MS Gothic" w:hAnsi="Calibri"/>
      <w:i/>
      <w:iCs/>
      <w:color w:val="244061"/>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link w:val="Heading7"/>
    <w:rsid w:val="00313E9E"/>
    <w:rPr>
      <w:rFonts w:ascii="Calibri" w:eastAsia="MS Gothic" w:hAnsi="Calibri"/>
      <w:i/>
      <w:iCs/>
      <w:color w:val="404040"/>
      <w:szCs w:val="24"/>
    </w:rPr>
  </w:style>
  <w:style w:type="character" w:customStyle="1" w:styleId="Heading9Char">
    <w:name w:val="Heading 9 Char"/>
    <w:aliases w:val="App Heading Char,level3(i)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672C1E"/>
    <w:pPr>
      <w:framePr w:wrap="around"/>
      <w:tabs>
        <w:tab w:val="clear" w:pos="7655"/>
        <w:tab w:val="right" w:pos="5954"/>
      </w:tabs>
      <w:ind w:right="397"/>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766A3F"/>
    <w:rPr>
      <w:rFonts w:cs="Arial"/>
      <w:i/>
      <w:color w:val="00B274"/>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uiPriority w:val="22"/>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2A3F8F"/>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link w:val="Heading02Char"/>
    <w:autoRedefine/>
    <w:qFormat/>
    <w:rsid w:val="00D734DB"/>
    <w:pPr>
      <w:keepNext w:val="0"/>
      <w:pBdr>
        <w:top w:val="single" w:sz="48" w:space="1" w:color="0096D7"/>
        <w:left w:val="single" w:sz="48" w:space="4" w:color="0096D7"/>
        <w:bottom w:val="single" w:sz="48" w:space="1" w:color="0096D7"/>
        <w:right w:val="single" w:sz="48" w:space="4" w:color="0096D7"/>
      </w:pBdr>
      <w:shd w:val="clear" w:color="auto" w:fill="0096D7"/>
      <w:spacing w:before="120"/>
      <w:ind w:left="431" w:hanging="431"/>
    </w:pPr>
  </w:style>
  <w:style w:type="paragraph" w:customStyle="1" w:styleId="Heading03">
    <w:name w:val="Heading 03"/>
    <w:basedOn w:val="Heading01"/>
    <w:next w:val="Normal"/>
    <w:qFormat/>
    <w:rsid w:val="004726B8"/>
    <w:pPr>
      <w:numPr>
        <w:numId w:val="14"/>
      </w:numPr>
      <w:pBdr>
        <w:top w:val="single" w:sz="48" w:space="1" w:color="9A4D9E"/>
        <w:left w:val="single" w:sz="48" w:space="4" w:color="9A4D9E"/>
        <w:bottom w:val="single" w:sz="48" w:space="1" w:color="9A4D9E"/>
        <w:right w:val="single" w:sz="48" w:space="4" w:color="9A4D9E"/>
      </w:pBdr>
      <w:shd w:val="clear" w:color="auto" w:fill="9A4D9E"/>
      <w:spacing w:before="240"/>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UnresolvedMention1">
    <w:name w:val="Unresolved Mention1"/>
    <w:uiPriority w:val="99"/>
    <w:semiHidden/>
    <w:unhideWhenUsed/>
    <w:rsid w:val="00FA5931"/>
    <w:rPr>
      <w:color w:val="605E5C"/>
      <w:shd w:val="clear" w:color="auto" w:fill="E1DFDD"/>
    </w:rPr>
  </w:style>
  <w:style w:type="paragraph" w:styleId="ListParagraph">
    <w:name w:val="List Paragraph"/>
    <w:basedOn w:val="Normal"/>
    <w:link w:val="ListParagraphChar"/>
    <w:uiPriority w:val="1"/>
    <w:qFormat/>
    <w:rsid w:val="002A3F8F"/>
    <w:pPr>
      <w:ind w:left="720"/>
    </w:pPr>
  </w:style>
  <w:style w:type="character" w:customStyle="1" w:styleId="ListParagraphChar">
    <w:name w:val="List Paragraph Char"/>
    <w:link w:val="ListParagraph"/>
    <w:uiPriority w:val="1"/>
    <w:rsid w:val="002A3F8F"/>
    <w:rPr>
      <w:rFonts w:ascii="Arial" w:eastAsia="Times New Roman" w:hAnsi="Arial"/>
      <w:szCs w:val="24"/>
    </w:rPr>
  </w:style>
  <w:style w:type="paragraph" w:styleId="Revision">
    <w:name w:val="Revision"/>
    <w:hidden/>
    <w:rsid w:val="00882F64"/>
    <w:rPr>
      <w:rFonts w:ascii="Arial" w:eastAsia="Times New Roman" w:hAnsi="Arial"/>
      <w:szCs w:val="24"/>
    </w:rPr>
  </w:style>
  <w:style w:type="paragraph" w:styleId="FootnoteText">
    <w:name w:val="footnote text"/>
    <w:basedOn w:val="Normal"/>
    <w:link w:val="FootnoteTextChar"/>
    <w:uiPriority w:val="99"/>
    <w:rsid w:val="00905325"/>
    <w:pPr>
      <w:spacing w:before="0" w:after="0" w:line="240" w:lineRule="auto"/>
    </w:pPr>
    <w:rPr>
      <w:szCs w:val="20"/>
    </w:rPr>
  </w:style>
  <w:style w:type="character" w:customStyle="1" w:styleId="FootnoteTextChar">
    <w:name w:val="Footnote Text Char"/>
    <w:basedOn w:val="DefaultParagraphFont"/>
    <w:link w:val="FootnoteText"/>
    <w:uiPriority w:val="99"/>
    <w:rsid w:val="00905325"/>
    <w:rPr>
      <w:rFonts w:ascii="Arial" w:eastAsia="Times New Roman" w:hAnsi="Arial"/>
    </w:rPr>
  </w:style>
  <w:style w:type="character" w:styleId="FootnoteReference">
    <w:name w:val="footnote reference"/>
    <w:uiPriority w:val="99"/>
    <w:rsid w:val="00905325"/>
    <w:rPr>
      <w:vertAlign w:val="superscript"/>
    </w:rPr>
  </w:style>
  <w:style w:type="paragraph" w:styleId="ListNumber4">
    <w:name w:val="List Number 4"/>
    <w:basedOn w:val="Normal"/>
    <w:rsid w:val="00FC2ED7"/>
    <w:pPr>
      <w:numPr>
        <w:numId w:val="15"/>
      </w:numPr>
      <w:contextualSpacing/>
    </w:pPr>
  </w:style>
  <w:style w:type="paragraph" w:styleId="NoSpacing">
    <w:name w:val="No Spacing"/>
    <w:qFormat/>
    <w:rsid w:val="009A29F8"/>
    <w:rPr>
      <w:rFonts w:ascii="Arial" w:eastAsia="Times New Roman" w:hAnsi="Arial"/>
      <w:szCs w:val="24"/>
    </w:rPr>
  </w:style>
  <w:style w:type="paragraph" w:styleId="Title">
    <w:name w:val="Title"/>
    <w:basedOn w:val="Normal"/>
    <w:next w:val="Normal"/>
    <w:link w:val="TitleChar"/>
    <w:qFormat/>
    <w:rsid w:val="000F66D8"/>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F66D8"/>
    <w:rPr>
      <w:rFonts w:asciiTheme="majorHAnsi" w:eastAsiaTheme="majorEastAsia" w:hAnsiTheme="majorHAnsi" w:cstheme="majorBidi"/>
      <w:spacing w:val="-10"/>
      <w:kern w:val="28"/>
      <w:sz w:val="56"/>
      <w:szCs w:val="56"/>
    </w:rPr>
  </w:style>
  <w:style w:type="paragraph" w:styleId="Quote">
    <w:name w:val="Quote"/>
    <w:basedOn w:val="Normal"/>
    <w:next w:val="Normal"/>
    <w:link w:val="QuoteChar"/>
    <w:qFormat/>
    <w:rsid w:val="00374E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374E4B"/>
    <w:rPr>
      <w:rFonts w:ascii="Arial" w:eastAsia="Times New Roman" w:hAnsi="Arial"/>
      <w:i/>
      <w:iCs/>
      <w:color w:val="404040" w:themeColor="text1" w:themeTint="BF"/>
      <w:szCs w:val="24"/>
    </w:rPr>
  </w:style>
  <w:style w:type="paragraph" w:styleId="EndnoteText">
    <w:name w:val="endnote text"/>
    <w:basedOn w:val="Normal"/>
    <w:link w:val="EndnoteTextChar"/>
    <w:uiPriority w:val="99"/>
    <w:semiHidden/>
    <w:unhideWhenUsed/>
    <w:rsid w:val="005572B1"/>
    <w:pPr>
      <w:spacing w:before="0" w:after="0" w:line="240" w:lineRule="auto"/>
    </w:pPr>
    <w:rPr>
      <w:szCs w:val="20"/>
    </w:rPr>
  </w:style>
  <w:style w:type="character" w:customStyle="1" w:styleId="EndnoteTextChar">
    <w:name w:val="Endnote Text Char"/>
    <w:basedOn w:val="DefaultParagraphFont"/>
    <w:link w:val="EndnoteText"/>
    <w:uiPriority w:val="99"/>
    <w:semiHidden/>
    <w:rsid w:val="005572B1"/>
    <w:rPr>
      <w:rFonts w:ascii="Arial" w:eastAsia="Times New Roman" w:hAnsi="Arial"/>
    </w:rPr>
  </w:style>
  <w:style w:type="character" w:styleId="EndnoteReference">
    <w:name w:val="endnote reference"/>
    <w:basedOn w:val="DefaultParagraphFont"/>
    <w:uiPriority w:val="99"/>
    <w:semiHidden/>
    <w:unhideWhenUsed/>
    <w:rsid w:val="005572B1"/>
    <w:rPr>
      <w:vertAlign w:val="superscript"/>
    </w:rPr>
  </w:style>
  <w:style w:type="paragraph" w:customStyle="1" w:styleId="GSTblText1">
    <w:name w:val="GS Tbl Text 1"/>
    <w:basedOn w:val="Normal"/>
    <w:autoRedefine/>
    <w:qFormat/>
    <w:rsid w:val="0094107F"/>
    <w:pPr>
      <w:spacing w:before="60" w:line="240" w:lineRule="auto"/>
      <w:jc w:val="both"/>
    </w:pPr>
    <w:rPr>
      <w:rFonts w:ascii="Calibri" w:eastAsiaTheme="minorHAnsi" w:hAnsi="Calibri" w:cstheme="minorBidi"/>
      <w:sz w:val="22"/>
      <w:szCs w:val="22"/>
      <w:lang w:eastAsia="en-US"/>
    </w:rPr>
  </w:style>
  <w:style w:type="character" w:customStyle="1" w:styleId="NEW">
    <w:name w:val="NEW"/>
    <w:basedOn w:val="DefaultParagraphFont"/>
    <w:uiPriority w:val="1"/>
    <w:rsid w:val="0094107F"/>
    <w:rPr>
      <w:rFonts w:ascii="Calibri" w:hAnsi="Calibri"/>
      <w:color w:val="auto"/>
      <w:sz w:val="22"/>
    </w:rPr>
  </w:style>
  <w:style w:type="paragraph" w:customStyle="1" w:styleId="DCUSATableTexta">
    <w:name w:val="DCUSA Table Text a)"/>
    <w:basedOn w:val="Normal"/>
    <w:qFormat/>
    <w:rsid w:val="00131C1E"/>
    <w:pPr>
      <w:numPr>
        <w:numId w:val="17"/>
      </w:numPr>
      <w:spacing w:before="0" w:line="240" w:lineRule="auto"/>
    </w:pPr>
    <w:rPr>
      <w:rFonts w:ascii="Times New Roman" w:eastAsiaTheme="minorHAnsi" w:hAnsi="Times New Roman" w:cstheme="minorBidi"/>
      <w:sz w:val="24"/>
      <w:szCs w:val="22"/>
      <w:lang w:eastAsia="en-US"/>
    </w:rPr>
  </w:style>
  <w:style w:type="paragraph" w:customStyle="1" w:styleId="DCUSATableTextbulletpt">
    <w:name w:val="DCUSA Table Text bullet pt"/>
    <w:basedOn w:val="Normal"/>
    <w:qFormat/>
    <w:rsid w:val="00131C1E"/>
    <w:pPr>
      <w:numPr>
        <w:ilvl w:val="1"/>
        <w:numId w:val="17"/>
      </w:numPr>
      <w:spacing w:line="360" w:lineRule="auto"/>
    </w:pPr>
    <w:rPr>
      <w:rFonts w:ascii="Times New Roman" w:eastAsiaTheme="minorHAnsi" w:hAnsi="Times New Roman" w:cstheme="minorBidi"/>
      <w:sz w:val="24"/>
      <w:szCs w:val="22"/>
      <w:lang w:eastAsia="en-US"/>
    </w:rPr>
  </w:style>
  <w:style w:type="character" w:customStyle="1" w:styleId="UnresolvedMention2">
    <w:name w:val="Unresolved Mention2"/>
    <w:basedOn w:val="DefaultParagraphFont"/>
    <w:uiPriority w:val="99"/>
    <w:semiHidden/>
    <w:unhideWhenUsed/>
    <w:rsid w:val="0068791F"/>
    <w:rPr>
      <w:color w:val="605E5C"/>
      <w:shd w:val="clear" w:color="auto" w:fill="E1DFDD"/>
    </w:rPr>
  </w:style>
  <w:style w:type="paragraph" w:customStyle="1" w:styleId="legp1paratext">
    <w:name w:val="legp1paratext"/>
    <w:basedOn w:val="Normal"/>
    <w:rsid w:val="002C2D5C"/>
    <w:pPr>
      <w:spacing w:before="100" w:beforeAutospacing="1" w:after="100" w:afterAutospacing="1" w:line="240" w:lineRule="auto"/>
    </w:pPr>
    <w:rPr>
      <w:rFonts w:ascii="Times New Roman" w:hAnsi="Times New Roman"/>
      <w:sz w:val="24"/>
    </w:rPr>
  </w:style>
  <w:style w:type="character" w:customStyle="1" w:styleId="legp1no">
    <w:name w:val="legp1no"/>
    <w:basedOn w:val="DefaultParagraphFont"/>
    <w:rsid w:val="002C2D5C"/>
  </w:style>
  <w:style w:type="paragraph" w:customStyle="1" w:styleId="legclearfix">
    <w:name w:val="legclearfix"/>
    <w:basedOn w:val="Normal"/>
    <w:rsid w:val="002C2D5C"/>
    <w:pPr>
      <w:spacing w:before="100" w:beforeAutospacing="1" w:after="100" w:afterAutospacing="1" w:line="240" w:lineRule="auto"/>
    </w:pPr>
    <w:rPr>
      <w:rFonts w:ascii="Times New Roman" w:hAnsi="Times New Roman"/>
      <w:sz w:val="24"/>
    </w:rPr>
  </w:style>
  <w:style w:type="character" w:customStyle="1" w:styleId="legds">
    <w:name w:val="legds"/>
    <w:basedOn w:val="DefaultParagraphFont"/>
    <w:rsid w:val="002C2D5C"/>
  </w:style>
  <w:style w:type="paragraph" w:customStyle="1" w:styleId="legp2paratext">
    <w:name w:val="legp2paratext"/>
    <w:basedOn w:val="Normal"/>
    <w:rsid w:val="002C2D5C"/>
    <w:pPr>
      <w:spacing w:before="100" w:beforeAutospacing="1" w:after="100" w:afterAutospacing="1" w:line="240" w:lineRule="auto"/>
    </w:pPr>
    <w:rPr>
      <w:rFonts w:ascii="Times New Roman" w:hAnsi="Times New Roman"/>
      <w:sz w:val="24"/>
    </w:rPr>
  </w:style>
  <w:style w:type="paragraph" w:customStyle="1" w:styleId="leglisttextstandard">
    <w:name w:val="leglisttextstandard"/>
    <w:basedOn w:val="Normal"/>
    <w:rsid w:val="002C2D5C"/>
    <w:pPr>
      <w:spacing w:before="100" w:beforeAutospacing="1" w:after="100" w:afterAutospacing="1" w:line="240" w:lineRule="auto"/>
    </w:pPr>
    <w:rPr>
      <w:rFonts w:ascii="Times New Roman" w:hAnsi="Times New Roman"/>
      <w:sz w:val="24"/>
    </w:rPr>
  </w:style>
  <w:style w:type="paragraph" w:customStyle="1" w:styleId="legp2text">
    <w:name w:val="legp2text"/>
    <w:basedOn w:val="Normal"/>
    <w:rsid w:val="002C2D5C"/>
    <w:pPr>
      <w:spacing w:before="100" w:beforeAutospacing="1" w:after="100" w:afterAutospacing="1" w:line="240" w:lineRule="auto"/>
    </w:pPr>
    <w:rPr>
      <w:rFonts w:ascii="Times New Roman" w:hAnsi="Times New Roman"/>
      <w:sz w:val="24"/>
    </w:rPr>
  </w:style>
  <w:style w:type="paragraph" w:customStyle="1" w:styleId="GSBodyParawithnumb">
    <w:name w:val="GS Body Para with numb"/>
    <w:basedOn w:val="Normal"/>
    <w:link w:val="GSBodyParawithnumbChar"/>
    <w:qFormat/>
    <w:rsid w:val="00651C42"/>
    <w:pPr>
      <w:numPr>
        <w:ilvl w:val="1"/>
        <w:numId w:val="18"/>
      </w:numPr>
      <w:spacing w:line="276" w:lineRule="auto"/>
      <w:jc w:val="both"/>
      <w:outlineLvl w:val="1"/>
    </w:pPr>
    <w:rPr>
      <w:rFonts w:ascii="Calibri" w:eastAsiaTheme="minorHAnsi" w:hAnsi="Calibri" w:cs="Arial"/>
      <w:color w:val="4D4D4D"/>
      <w:sz w:val="22"/>
      <w:szCs w:val="22"/>
      <w:lang w:eastAsia="en-US"/>
    </w:rPr>
  </w:style>
  <w:style w:type="character" w:customStyle="1" w:styleId="GSBodyParawithnumbChar">
    <w:name w:val="GS Body Para with numb Char"/>
    <w:basedOn w:val="DefaultParagraphFont"/>
    <w:link w:val="GSBodyParawithnumb"/>
    <w:rsid w:val="00651C42"/>
    <w:rPr>
      <w:rFonts w:ascii="Calibri" w:eastAsiaTheme="minorHAnsi" w:hAnsi="Calibri" w:cs="Arial"/>
      <w:color w:val="4D4D4D"/>
      <w:sz w:val="22"/>
      <w:szCs w:val="22"/>
      <w:lang w:eastAsia="en-US"/>
    </w:rPr>
  </w:style>
  <w:style w:type="paragraph" w:customStyle="1" w:styleId="GSHeading1withnumb">
    <w:name w:val="GS Heading 1 with numb"/>
    <w:basedOn w:val="Subtitle"/>
    <w:link w:val="GSHeading1withnumbChar"/>
    <w:qFormat/>
    <w:rsid w:val="00651C42"/>
    <w:pPr>
      <w:numPr>
        <w:ilvl w:val="0"/>
        <w:numId w:val="18"/>
      </w:numPr>
      <w:pBdr>
        <w:bottom w:val="single" w:sz="2" w:space="5" w:color="CEE0CC"/>
      </w:pBdr>
      <w:tabs>
        <w:tab w:val="clear" w:pos="567"/>
        <w:tab w:val="num" w:pos="1440"/>
      </w:tabs>
      <w:spacing w:after="120" w:line="300" w:lineRule="exact"/>
      <w:ind w:left="0" w:firstLine="0"/>
      <w:outlineLvl w:val="1"/>
    </w:pPr>
    <w:rPr>
      <w:rFonts w:ascii="Calibri" w:hAnsi="Calibri" w:cs="Arial"/>
      <w:color w:val="3B9164"/>
      <w:sz w:val="28"/>
      <w:szCs w:val="40"/>
    </w:rPr>
  </w:style>
  <w:style w:type="paragraph" w:styleId="Subtitle">
    <w:name w:val="Subtitle"/>
    <w:basedOn w:val="Normal"/>
    <w:next w:val="Normal"/>
    <w:link w:val="SubtitleChar"/>
    <w:qFormat/>
    <w:rsid w:val="00651C4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51C42"/>
    <w:rPr>
      <w:rFonts w:asciiTheme="minorHAnsi" w:eastAsiaTheme="minorEastAsia" w:hAnsiTheme="minorHAnsi" w:cstheme="minorBidi"/>
      <w:color w:val="5A5A5A" w:themeColor="text1" w:themeTint="A5"/>
      <w:spacing w:val="15"/>
      <w:sz w:val="22"/>
      <w:szCs w:val="22"/>
    </w:rPr>
  </w:style>
  <w:style w:type="paragraph" w:customStyle="1" w:styleId="GSHeading1">
    <w:name w:val="GS Heading 1"/>
    <w:basedOn w:val="GSHeading1withnumb"/>
    <w:link w:val="GSHeading1Char"/>
    <w:qFormat/>
    <w:rsid w:val="00103AD0"/>
    <w:pPr>
      <w:numPr>
        <w:numId w:val="0"/>
      </w:numPr>
      <w:outlineLvl w:val="9"/>
    </w:pPr>
    <w:rPr>
      <w:rFonts w:cs="Calibri"/>
    </w:rPr>
  </w:style>
  <w:style w:type="character" w:customStyle="1" w:styleId="GSHeading1Char">
    <w:name w:val="GS Heading 1 Char"/>
    <w:basedOn w:val="DefaultParagraphFont"/>
    <w:link w:val="GSHeading1"/>
    <w:rsid w:val="00103AD0"/>
    <w:rPr>
      <w:rFonts w:ascii="Calibri" w:eastAsiaTheme="minorEastAsia" w:hAnsi="Calibri" w:cs="Calibri"/>
      <w:color w:val="3B9164"/>
      <w:spacing w:val="15"/>
      <w:sz w:val="28"/>
      <w:szCs w:val="40"/>
    </w:rPr>
  </w:style>
  <w:style w:type="paragraph" w:customStyle="1" w:styleId="GSBodyPara">
    <w:name w:val="GS Body Para"/>
    <w:basedOn w:val="Normal"/>
    <w:link w:val="GSBodyParaChar"/>
    <w:qFormat/>
    <w:rsid w:val="00103AD0"/>
    <w:pPr>
      <w:spacing w:before="60" w:after="0" w:line="260" w:lineRule="exact"/>
    </w:pPr>
    <w:rPr>
      <w:rFonts w:ascii="Calibri" w:eastAsiaTheme="minorHAnsi" w:hAnsi="Calibri" w:cs="Calibri"/>
      <w:sz w:val="22"/>
      <w:szCs w:val="22"/>
      <w:lang w:eastAsia="en-US"/>
    </w:rPr>
  </w:style>
  <w:style w:type="character" w:customStyle="1" w:styleId="GSBodyParaChar">
    <w:name w:val="GS Body Para Char"/>
    <w:basedOn w:val="DefaultParagraphFont"/>
    <w:link w:val="GSBodyPara"/>
    <w:rsid w:val="00103AD0"/>
    <w:rPr>
      <w:rFonts w:ascii="Calibri" w:eastAsiaTheme="minorHAnsi" w:hAnsi="Calibri" w:cs="Calibri"/>
      <w:sz w:val="22"/>
      <w:szCs w:val="22"/>
      <w:lang w:eastAsia="en-US"/>
    </w:rPr>
  </w:style>
  <w:style w:type="paragraph" w:customStyle="1" w:styleId="Default">
    <w:name w:val="Default"/>
    <w:rsid w:val="00113CA8"/>
    <w:pPr>
      <w:autoSpaceDE w:val="0"/>
      <w:autoSpaceDN w:val="0"/>
      <w:adjustRightInd w:val="0"/>
    </w:pPr>
    <w:rPr>
      <w:rFonts w:ascii="Verdana" w:hAnsi="Verdana" w:cs="Verdana"/>
      <w:color w:val="000000"/>
      <w:sz w:val="24"/>
      <w:szCs w:val="24"/>
    </w:rPr>
  </w:style>
  <w:style w:type="character" w:customStyle="1" w:styleId="DCUSATableTextChar">
    <w:name w:val="DCUSA Table Text Char"/>
    <w:basedOn w:val="DefaultParagraphFont"/>
    <w:link w:val="DCUSATableText"/>
    <w:locked/>
    <w:rsid w:val="0089431C"/>
  </w:style>
  <w:style w:type="paragraph" w:customStyle="1" w:styleId="DCUSATableText">
    <w:name w:val="DCUSA Table Text"/>
    <w:basedOn w:val="Normal"/>
    <w:link w:val="DCUSATableTextChar"/>
    <w:qFormat/>
    <w:rsid w:val="0089431C"/>
    <w:pPr>
      <w:spacing w:line="264" w:lineRule="auto"/>
      <w:ind w:left="720"/>
    </w:pPr>
    <w:rPr>
      <w:rFonts w:ascii="Cambria" w:eastAsia="Cambria" w:hAnsi="Cambria"/>
      <w:szCs w:val="20"/>
    </w:rPr>
  </w:style>
  <w:style w:type="character" w:customStyle="1" w:styleId="DCUSATabletextnumbersChar">
    <w:name w:val="DCUSA Table text numbers Char"/>
    <w:basedOn w:val="DefaultParagraphFont"/>
    <w:link w:val="DCUSATabletextnumbers"/>
    <w:locked/>
    <w:rsid w:val="00AA675C"/>
    <w:rPr>
      <w:b/>
      <w:bCs/>
    </w:rPr>
  </w:style>
  <w:style w:type="paragraph" w:customStyle="1" w:styleId="DCUSATabletextnumbers">
    <w:name w:val="DCUSA Table text numbers"/>
    <w:basedOn w:val="Normal"/>
    <w:link w:val="DCUSATabletextnumbersChar"/>
    <w:rsid w:val="00AA675C"/>
    <w:pPr>
      <w:spacing w:line="240" w:lineRule="auto"/>
      <w:ind w:left="720"/>
    </w:pPr>
    <w:rPr>
      <w:rFonts w:ascii="Cambria" w:eastAsia="Cambria" w:hAnsi="Cambria"/>
      <w:b/>
      <w:bCs/>
      <w:szCs w:val="20"/>
    </w:rPr>
  </w:style>
  <w:style w:type="character" w:customStyle="1" w:styleId="UnresolvedMention3">
    <w:name w:val="Unresolved Mention3"/>
    <w:basedOn w:val="DefaultParagraphFont"/>
    <w:uiPriority w:val="99"/>
    <w:semiHidden/>
    <w:unhideWhenUsed/>
    <w:rsid w:val="00013DA5"/>
    <w:rPr>
      <w:color w:val="605E5C"/>
      <w:shd w:val="clear" w:color="auto" w:fill="E1DFDD"/>
    </w:rPr>
  </w:style>
  <w:style w:type="character" w:customStyle="1" w:styleId="UnresolvedMention4">
    <w:name w:val="Unresolved Mention4"/>
    <w:basedOn w:val="DefaultParagraphFont"/>
    <w:uiPriority w:val="99"/>
    <w:semiHidden/>
    <w:unhideWhenUsed/>
    <w:rsid w:val="00166FA6"/>
    <w:rPr>
      <w:color w:val="605E5C"/>
      <w:shd w:val="clear" w:color="auto" w:fill="E1DFDD"/>
    </w:rPr>
  </w:style>
  <w:style w:type="character" w:styleId="BookTitle">
    <w:name w:val="Book Title"/>
    <w:basedOn w:val="DefaultParagraphFont"/>
    <w:qFormat/>
    <w:rsid w:val="009E48CC"/>
    <w:rPr>
      <w:b/>
      <w:bCs/>
      <w:i/>
      <w:iCs/>
      <w:spacing w:val="5"/>
    </w:rPr>
  </w:style>
  <w:style w:type="character" w:styleId="SubtleEmphasis">
    <w:name w:val="Subtle Emphasis"/>
    <w:basedOn w:val="DefaultParagraphFont"/>
    <w:uiPriority w:val="19"/>
    <w:qFormat/>
    <w:rsid w:val="00567D53"/>
    <w:rPr>
      <w:i/>
      <w:iCs/>
      <w:color w:val="808080" w:themeColor="text1" w:themeTint="7F"/>
    </w:rPr>
  </w:style>
  <w:style w:type="table" w:customStyle="1" w:styleId="GridTable1Light1">
    <w:name w:val="Grid Table 1 Light1"/>
    <w:basedOn w:val="TableNormal"/>
    <w:uiPriority w:val="46"/>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4-Accent21">
    <w:name w:val="Grid Table 4 - Accent 21"/>
    <w:basedOn w:val="TableNormal"/>
    <w:uiPriority w:val="49"/>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PlainTable11">
    <w:name w:val="Plain Table 11"/>
    <w:basedOn w:val="TableNormal"/>
    <w:uiPriority w:val="41"/>
    <w:rsid w:val="005E6E51"/>
    <w:rPr>
      <w:rFonts w:asciiTheme="minorHAnsi" w:eastAsiaTheme="minorEastAsia"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IntenseEmphasis">
    <w:name w:val="Intense Emphasis"/>
    <w:basedOn w:val="DefaultParagraphFont"/>
    <w:qFormat/>
    <w:rsid w:val="00C6518F"/>
    <w:rPr>
      <w:i/>
      <w:iCs/>
      <w:color w:val="4472C4" w:themeColor="accent1"/>
    </w:rPr>
  </w:style>
  <w:style w:type="character" w:styleId="IntenseReference">
    <w:name w:val="Intense Reference"/>
    <w:basedOn w:val="DefaultParagraphFont"/>
    <w:qFormat/>
    <w:rsid w:val="005C260C"/>
    <w:rPr>
      <w:b/>
      <w:bCs/>
      <w:smallCaps/>
      <w:color w:val="4472C4" w:themeColor="accent1"/>
      <w:spacing w:val="5"/>
    </w:rPr>
  </w:style>
  <w:style w:type="table" w:customStyle="1" w:styleId="GridTable5Dark-Accent61">
    <w:name w:val="Grid Table 5 Dark - Accent 6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31">
    <w:name w:val="Grid Table 5 Dark - Accent 3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UnresolvedMention5">
    <w:name w:val="Unresolved Mention5"/>
    <w:basedOn w:val="DefaultParagraphFont"/>
    <w:uiPriority w:val="99"/>
    <w:semiHidden/>
    <w:unhideWhenUsed/>
    <w:rsid w:val="00EA1437"/>
    <w:rPr>
      <w:color w:val="605E5C"/>
      <w:shd w:val="clear" w:color="auto" w:fill="E1DFDD"/>
    </w:rPr>
  </w:style>
  <w:style w:type="character" w:styleId="UnresolvedMention">
    <w:name w:val="Unresolved Mention"/>
    <w:basedOn w:val="DefaultParagraphFont"/>
    <w:uiPriority w:val="99"/>
    <w:semiHidden/>
    <w:unhideWhenUsed/>
    <w:rsid w:val="00D91EE3"/>
    <w:rPr>
      <w:color w:val="605E5C"/>
      <w:shd w:val="clear" w:color="auto" w:fill="E1DFDD"/>
    </w:rPr>
  </w:style>
  <w:style w:type="table" w:styleId="GridTable5Dark-Accent3">
    <w:name w:val="Grid Table 5 Dark Accent 3"/>
    <w:basedOn w:val="TableNormal"/>
    <w:uiPriority w:val="50"/>
    <w:rsid w:val="00A569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xmsonormal">
    <w:name w:val="x_msonormal"/>
    <w:basedOn w:val="Normal"/>
    <w:rsid w:val="003A5B7D"/>
    <w:pPr>
      <w:spacing w:before="0" w:after="0" w:line="240" w:lineRule="auto"/>
    </w:pPr>
    <w:rPr>
      <w:rFonts w:ascii="Calibri" w:eastAsiaTheme="minorHAnsi" w:hAnsi="Calibri" w:cs="Calibri"/>
      <w:sz w:val="22"/>
      <w:szCs w:val="22"/>
    </w:rPr>
  </w:style>
  <w:style w:type="paragraph" w:styleId="TOCHeading">
    <w:name w:val="TOC Heading"/>
    <w:basedOn w:val="Heading1"/>
    <w:next w:val="Normal"/>
    <w:uiPriority w:val="39"/>
    <w:unhideWhenUsed/>
    <w:qFormat/>
    <w:rsid w:val="00DE537D"/>
    <w:pPr>
      <w:keepLines/>
      <w:pBdr>
        <w:top w:val="none" w:sz="0" w:space="0" w:color="auto"/>
        <w:left w:val="none" w:sz="0" w:space="0" w:color="auto"/>
        <w:bottom w:val="none" w:sz="0" w:space="0" w:color="auto"/>
        <w:right w:val="none" w:sz="0" w:space="0" w:color="auto"/>
      </w:pBdr>
      <w:shd w:val="clear" w:color="auto" w:fill="auto"/>
      <w:spacing w:before="240" w:after="0" w:line="259" w:lineRule="auto"/>
      <w:ind w:right="0"/>
      <w:outlineLvl w:val="9"/>
    </w:pPr>
    <w:rPr>
      <w:rFonts w:asciiTheme="majorHAnsi" w:eastAsiaTheme="majorEastAsia" w:hAnsiTheme="majorHAnsi" w:cstheme="majorBidi"/>
      <w:b w:val="0"/>
      <w:bCs w:val="0"/>
      <w:iCs w:val="0"/>
      <w:color w:val="2F5496" w:themeColor="accent1" w:themeShade="BF"/>
      <w:kern w:val="0"/>
      <w:sz w:val="32"/>
      <w:lang w:val="en-US" w:eastAsia="en-US"/>
    </w:rPr>
  </w:style>
  <w:style w:type="paragraph" w:customStyle="1" w:styleId="BodyTextNoSpacing">
    <w:name w:val="Body Text No Spacing"/>
    <w:basedOn w:val="BodyText"/>
    <w:qFormat/>
    <w:rsid w:val="00686A11"/>
    <w:pPr>
      <w:spacing w:before="0" w:after="0" w:line="240" w:lineRule="atLeast"/>
    </w:pPr>
    <w:rPr>
      <w:rFonts w:ascii="Verdana" w:eastAsiaTheme="minorHAnsi" w:hAnsi="Verdana" w:cstheme="minorBidi"/>
      <w:lang w:eastAsia="en-US"/>
    </w:rPr>
  </w:style>
  <w:style w:type="table" w:customStyle="1" w:styleId="TableGrid10">
    <w:name w:val="Table Grid1"/>
    <w:basedOn w:val="TableNormal"/>
    <w:next w:val="TableGrid"/>
    <w:rsid w:val="00B514C9"/>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7388B"/>
    <w:pPr>
      <w:spacing w:before="100" w:beforeAutospacing="1" w:after="100" w:afterAutospacing="1" w:line="240" w:lineRule="auto"/>
    </w:pPr>
    <w:rPr>
      <w:rFonts w:cs="Arial"/>
      <w:sz w:val="24"/>
    </w:rPr>
  </w:style>
  <w:style w:type="character" w:customStyle="1" w:styleId="normaltextrun">
    <w:name w:val="normaltextrun"/>
    <w:basedOn w:val="DefaultParagraphFont"/>
    <w:rsid w:val="00B7388B"/>
  </w:style>
  <w:style w:type="character" w:customStyle="1" w:styleId="eop">
    <w:name w:val="eop"/>
    <w:basedOn w:val="DefaultParagraphFont"/>
    <w:rsid w:val="00B7388B"/>
  </w:style>
  <w:style w:type="character" w:customStyle="1" w:styleId="tabchar">
    <w:name w:val="tabchar"/>
    <w:basedOn w:val="DefaultParagraphFont"/>
    <w:rsid w:val="00B7388B"/>
  </w:style>
  <w:style w:type="character" w:customStyle="1" w:styleId="Style1">
    <w:name w:val="Style1"/>
    <w:basedOn w:val="DefaultParagraphFont"/>
    <w:uiPriority w:val="1"/>
    <w:rsid w:val="0076065B"/>
    <w:rPr>
      <w:rFonts w:ascii="Arial" w:hAnsi="Arial"/>
      <w:color w:val="auto"/>
      <w:sz w:val="24"/>
    </w:rPr>
  </w:style>
  <w:style w:type="paragraph" w:customStyle="1" w:styleId="GSBodyParawithsubnumb">
    <w:name w:val="GS Body Para with sub numb"/>
    <w:basedOn w:val="GSBodyParawithnumb"/>
    <w:qFormat/>
    <w:rsid w:val="00424ED1"/>
    <w:pPr>
      <w:numPr>
        <w:ilvl w:val="0"/>
        <w:numId w:val="0"/>
      </w:numPr>
      <w:ind w:left="1287" w:hanging="720"/>
    </w:pPr>
    <w:rPr>
      <w:rFonts w:eastAsia="Calibri"/>
      <w:color w:val="0070C0"/>
      <w:lang w:eastAsia="en-GB"/>
    </w:rPr>
  </w:style>
  <w:style w:type="paragraph" w:customStyle="1" w:styleId="GSBodyParaBullet">
    <w:name w:val="GS Body Para Bullet"/>
    <w:basedOn w:val="Normal"/>
    <w:autoRedefine/>
    <w:qFormat/>
    <w:rsid w:val="00424ED1"/>
    <w:pPr>
      <w:numPr>
        <w:ilvl w:val="3"/>
        <w:numId w:val="19"/>
      </w:numPr>
      <w:tabs>
        <w:tab w:val="clear" w:pos="2880"/>
        <w:tab w:val="num" w:pos="851"/>
      </w:tabs>
      <w:spacing w:before="60" w:line="320" w:lineRule="exact"/>
      <w:contextualSpacing/>
      <w:outlineLvl w:val="1"/>
    </w:pPr>
    <w:rPr>
      <w:rFonts w:asciiTheme="minorHAnsi" w:eastAsiaTheme="minorHAnsi" w:hAnsiTheme="minorHAnsi" w:cs="Arial"/>
      <w:color w:val="4D4D4D"/>
      <w:sz w:val="22"/>
      <w:szCs w:val="22"/>
      <w:lang w:eastAsia="en-US"/>
    </w:rPr>
  </w:style>
  <w:style w:type="character" w:customStyle="1" w:styleId="GSHeading1withnumbChar">
    <w:name w:val="GS Heading 1 with numb Char"/>
    <w:basedOn w:val="DefaultParagraphFont"/>
    <w:link w:val="GSHeading1withnumb"/>
    <w:rsid w:val="00424ED1"/>
    <w:rPr>
      <w:rFonts w:ascii="Calibri" w:eastAsiaTheme="minorEastAsia" w:hAnsi="Calibri" w:cs="Arial"/>
      <w:color w:val="3B9164"/>
      <w:spacing w:val="15"/>
      <w:sz w:val="28"/>
      <w:szCs w:val="40"/>
    </w:rPr>
  </w:style>
  <w:style w:type="character" w:styleId="PlaceholderText">
    <w:name w:val="Placeholder Text"/>
    <w:basedOn w:val="DefaultParagraphFont"/>
    <w:rsid w:val="00424ED1"/>
    <w:rPr>
      <w:color w:val="808080"/>
    </w:rPr>
  </w:style>
  <w:style w:type="paragraph" w:customStyle="1" w:styleId="TableHeaderWhite">
    <w:name w:val="Table Header White"/>
    <w:basedOn w:val="Normal"/>
    <w:qFormat/>
    <w:rsid w:val="00424ED1"/>
    <w:pPr>
      <w:spacing w:before="20" w:after="40" w:line="240" w:lineRule="auto"/>
      <w:contextualSpacing/>
      <w:outlineLvl w:val="1"/>
    </w:pPr>
    <w:rPr>
      <w:rFonts w:asciiTheme="minorHAnsi" w:hAnsiTheme="minorHAnsi" w:cs="Arial"/>
      <w:b/>
      <w:color w:val="FFC000"/>
      <w:szCs w:val="20"/>
      <w:lang w:val="en-US" w:eastAsia="en-US"/>
    </w:rPr>
  </w:style>
  <w:style w:type="numbering" w:customStyle="1" w:styleId="GSNumList">
    <w:name w:val="GS NumList"/>
    <w:uiPriority w:val="99"/>
    <w:rsid w:val="00424ED1"/>
    <w:pPr>
      <w:numPr>
        <w:numId w:val="20"/>
      </w:numPr>
    </w:pPr>
  </w:style>
  <w:style w:type="table" w:customStyle="1" w:styleId="GSTable">
    <w:name w:val="GS Table"/>
    <w:basedOn w:val="TableNormal"/>
    <w:uiPriority w:val="99"/>
    <w:rsid w:val="00424ED1"/>
    <w:pPr>
      <w:spacing w:before="60" w:after="120"/>
    </w:pPr>
    <w:rPr>
      <w:rFonts w:ascii="Calibri" w:eastAsiaTheme="minorHAnsi" w:hAnsi="Calibri" w:cstheme="minorBidi"/>
      <w:sz w:val="24"/>
      <w:szCs w:val="22"/>
      <w:lang w:eastAsia="en-US"/>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table" w:styleId="ListTable4-Accent6">
    <w:name w:val="List Table 4 Accent 6"/>
    <w:basedOn w:val="TableNormal"/>
    <w:uiPriority w:val="49"/>
    <w:rsid w:val="00424E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NormalTextBold">
    <w:name w:val="Normal Text Bold"/>
    <w:basedOn w:val="Normal"/>
    <w:rsid w:val="00424ED1"/>
    <w:pPr>
      <w:numPr>
        <w:numId w:val="21"/>
      </w:numPr>
    </w:pPr>
  </w:style>
  <w:style w:type="character" w:customStyle="1" w:styleId="cf01">
    <w:name w:val="cf01"/>
    <w:basedOn w:val="DefaultParagraphFont"/>
    <w:rsid w:val="00424ED1"/>
    <w:rPr>
      <w:rFonts w:ascii="Segoe UI" w:hAnsi="Segoe UI" w:cs="Segoe UI" w:hint="default"/>
      <w:sz w:val="18"/>
      <w:szCs w:val="18"/>
    </w:rPr>
  </w:style>
  <w:style w:type="paragraph" w:customStyle="1" w:styleId="pf0">
    <w:name w:val="pf0"/>
    <w:basedOn w:val="Normal"/>
    <w:rsid w:val="00424ED1"/>
    <w:pPr>
      <w:spacing w:before="100" w:beforeAutospacing="1" w:after="100" w:afterAutospacing="1" w:line="240" w:lineRule="auto"/>
    </w:pPr>
    <w:rPr>
      <w:rFonts w:ascii="Times New Roman" w:hAnsi="Times New Roman"/>
      <w:sz w:val="24"/>
    </w:rPr>
  </w:style>
  <w:style w:type="character" w:customStyle="1" w:styleId="Heading01Char">
    <w:name w:val="Heading 01 Char"/>
    <w:basedOn w:val="Heading1Char"/>
    <w:link w:val="Heading01"/>
    <w:rsid w:val="00424ED1"/>
    <w:rPr>
      <w:rFonts w:ascii="Arial" w:eastAsia="Times New Roman" w:hAnsi="Arial" w:cs="Arial"/>
      <w:b/>
      <w:bCs/>
      <w:iCs/>
      <w:color w:val="FFFFFF"/>
      <w:kern w:val="32"/>
      <w:sz w:val="28"/>
      <w:szCs w:val="32"/>
      <w:shd w:val="clear" w:color="auto" w:fill="00B274"/>
    </w:rPr>
  </w:style>
  <w:style w:type="character" w:customStyle="1" w:styleId="Heading02Char">
    <w:name w:val="Heading 02 Char"/>
    <w:basedOn w:val="Heading01Char"/>
    <w:link w:val="Heading02"/>
    <w:rsid w:val="00424ED1"/>
    <w:rPr>
      <w:rFonts w:ascii="Arial" w:eastAsia="Times New Roman" w:hAnsi="Arial" w:cs="Arial"/>
      <w:b/>
      <w:bCs/>
      <w:iCs/>
      <w:color w:val="FFFFFF"/>
      <w:kern w:val="32"/>
      <w:sz w:val="28"/>
      <w:szCs w:val="32"/>
      <w:shd w:val="clear" w:color="auto" w:fill="0096D7"/>
    </w:rPr>
  </w:style>
  <w:style w:type="character" w:customStyle="1" w:styleId="Style1Char">
    <w:name w:val="Style1 Char"/>
    <w:basedOn w:val="Heading02Char"/>
    <w:rsid w:val="00424ED1"/>
    <w:rPr>
      <w:rFonts w:ascii="Arial" w:eastAsia="Times New Roman" w:hAnsi="Arial" w:cs="Arial"/>
      <w:b/>
      <w:bCs/>
      <w:iCs/>
      <w:color w:val="FFFFFF"/>
      <w:kern w:val="32"/>
      <w:sz w:val="28"/>
      <w:szCs w:val="32"/>
      <w:shd w:val="clear" w:color="auto" w:fill="0096D7"/>
    </w:rPr>
  </w:style>
  <w:style w:type="table" w:customStyle="1" w:styleId="TableGrid20">
    <w:name w:val="Table Grid2"/>
    <w:basedOn w:val="TableNormal"/>
    <w:next w:val="TableGrid"/>
    <w:rsid w:val="00440CC1"/>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920">
      <w:bodyDiv w:val="1"/>
      <w:marLeft w:val="0"/>
      <w:marRight w:val="0"/>
      <w:marTop w:val="0"/>
      <w:marBottom w:val="0"/>
      <w:divBdr>
        <w:top w:val="none" w:sz="0" w:space="0" w:color="auto"/>
        <w:left w:val="none" w:sz="0" w:space="0" w:color="auto"/>
        <w:bottom w:val="none" w:sz="0" w:space="0" w:color="auto"/>
        <w:right w:val="none" w:sz="0" w:space="0" w:color="auto"/>
      </w:divBdr>
    </w:div>
    <w:div w:id="42219436">
      <w:bodyDiv w:val="1"/>
      <w:marLeft w:val="0"/>
      <w:marRight w:val="0"/>
      <w:marTop w:val="0"/>
      <w:marBottom w:val="0"/>
      <w:divBdr>
        <w:top w:val="none" w:sz="0" w:space="0" w:color="auto"/>
        <w:left w:val="none" w:sz="0" w:space="0" w:color="auto"/>
        <w:bottom w:val="none" w:sz="0" w:space="0" w:color="auto"/>
        <w:right w:val="none" w:sz="0" w:space="0" w:color="auto"/>
      </w:divBdr>
    </w:div>
    <w:div w:id="44766817">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156388142">
      <w:bodyDiv w:val="1"/>
      <w:marLeft w:val="0"/>
      <w:marRight w:val="0"/>
      <w:marTop w:val="0"/>
      <w:marBottom w:val="0"/>
      <w:divBdr>
        <w:top w:val="none" w:sz="0" w:space="0" w:color="auto"/>
        <w:left w:val="none" w:sz="0" w:space="0" w:color="auto"/>
        <w:bottom w:val="none" w:sz="0" w:space="0" w:color="auto"/>
        <w:right w:val="none" w:sz="0" w:space="0" w:color="auto"/>
      </w:divBdr>
    </w:div>
    <w:div w:id="211423311">
      <w:bodyDiv w:val="1"/>
      <w:marLeft w:val="0"/>
      <w:marRight w:val="0"/>
      <w:marTop w:val="0"/>
      <w:marBottom w:val="0"/>
      <w:divBdr>
        <w:top w:val="none" w:sz="0" w:space="0" w:color="auto"/>
        <w:left w:val="none" w:sz="0" w:space="0" w:color="auto"/>
        <w:bottom w:val="none" w:sz="0" w:space="0" w:color="auto"/>
        <w:right w:val="none" w:sz="0" w:space="0" w:color="auto"/>
      </w:divBdr>
    </w:div>
    <w:div w:id="230047217">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279267872">
      <w:bodyDiv w:val="1"/>
      <w:marLeft w:val="0"/>
      <w:marRight w:val="0"/>
      <w:marTop w:val="0"/>
      <w:marBottom w:val="0"/>
      <w:divBdr>
        <w:top w:val="none" w:sz="0" w:space="0" w:color="auto"/>
        <w:left w:val="none" w:sz="0" w:space="0" w:color="auto"/>
        <w:bottom w:val="none" w:sz="0" w:space="0" w:color="auto"/>
        <w:right w:val="none" w:sz="0" w:space="0" w:color="auto"/>
      </w:divBdr>
    </w:div>
    <w:div w:id="354424818">
      <w:bodyDiv w:val="1"/>
      <w:marLeft w:val="0"/>
      <w:marRight w:val="0"/>
      <w:marTop w:val="0"/>
      <w:marBottom w:val="0"/>
      <w:divBdr>
        <w:top w:val="none" w:sz="0" w:space="0" w:color="auto"/>
        <w:left w:val="none" w:sz="0" w:space="0" w:color="auto"/>
        <w:bottom w:val="none" w:sz="0" w:space="0" w:color="auto"/>
        <w:right w:val="none" w:sz="0" w:space="0" w:color="auto"/>
      </w:divBdr>
    </w:div>
    <w:div w:id="381907345">
      <w:bodyDiv w:val="1"/>
      <w:marLeft w:val="0"/>
      <w:marRight w:val="0"/>
      <w:marTop w:val="0"/>
      <w:marBottom w:val="0"/>
      <w:divBdr>
        <w:top w:val="none" w:sz="0" w:space="0" w:color="auto"/>
        <w:left w:val="none" w:sz="0" w:space="0" w:color="auto"/>
        <w:bottom w:val="none" w:sz="0" w:space="0" w:color="auto"/>
        <w:right w:val="none" w:sz="0" w:space="0" w:color="auto"/>
      </w:divBdr>
    </w:div>
    <w:div w:id="394016599">
      <w:bodyDiv w:val="1"/>
      <w:marLeft w:val="0"/>
      <w:marRight w:val="0"/>
      <w:marTop w:val="0"/>
      <w:marBottom w:val="0"/>
      <w:divBdr>
        <w:top w:val="none" w:sz="0" w:space="0" w:color="auto"/>
        <w:left w:val="none" w:sz="0" w:space="0" w:color="auto"/>
        <w:bottom w:val="none" w:sz="0" w:space="0" w:color="auto"/>
        <w:right w:val="none" w:sz="0" w:space="0" w:color="auto"/>
      </w:divBdr>
    </w:div>
    <w:div w:id="427432465">
      <w:bodyDiv w:val="1"/>
      <w:marLeft w:val="0"/>
      <w:marRight w:val="0"/>
      <w:marTop w:val="0"/>
      <w:marBottom w:val="0"/>
      <w:divBdr>
        <w:top w:val="none" w:sz="0" w:space="0" w:color="auto"/>
        <w:left w:val="none" w:sz="0" w:space="0" w:color="auto"/>
        <w:bottom w:val="none" w:sz="0" w:space="0" w:color="auto"/>
        <w:right w:val="none" w:sz="0" w:space="0" w:color="auto"/>
      </w:divBdr>
    </w:div>
    <w:div w:id="516508330">
      <w:bodyDiv w:val="1"/>
      <w:marLeft w:val="0"/>
      <w:marRight w:val="0"/>
      <w:marTop w:val="0"/>
      <w:marBottom w:val="0"/>
      <w:divBdr>
        <w:top w:val="none" w:sz="0" w:space="0" w:color="auto"/>
        <w:left w:val="none" w:sz="0" w:space="0" w:color="auto"/>
        <w:bottom w:val="none" w:sz="0" w:space="0" w:color="auto"/>
        <w:right w:val="none" w:sz="0" w:space="0" w:color="auto"/>
      </w:divBdr>
    </w:div>
    <w:div w:id="525800395">
      <w:bodyDiv w:val="1"/>
      <w:marLeft w:val="0"/>
      <w:marRight w:val="0"/>
      <w:marTop w:val="0"/>
      <w:marBottom w:val="0"/>
      <w:divBdr>
        <w:top w:val="none" w:sz="0" w:space="0" w:color="auto"/>
        <w:left w:val="none" w:sz="0" w:space="0" w:color="auto"/>
        <w:bottom w:val="none" w:sz="0" w:space="0" w:color="auto"/>
        <w:right w:val="none" w:sz="0" w:space="0" w:color="auto"/>
      </w:divBdr>
      <w:divsChild>
        <w:div w:id="499932539">
          <w:marLeft w:val="0"/>
          <w:marRight w:val="0"/>
          <w:marTop w:val="0"/>
          <w:marBottom w:val="0"/>
          <w:divBdr>
            <w:top w:val="none" w:sz="0" w:space="0" w:color="auto"/>
            <w:left w:val="none" w:sz="0" w:space="0" w:color="auto"/>
            <w:bottom w:val="none" w:sz="0" w:space="0" w:color="auto"/>
            <w:right w:val="none" w:sz="0" w:space="0" w:color="auto"/>
          </w:divBdr>
        </w:div>
        <w:div w:id="1193375371">
          <w:marLeft w:val="0"/>
          <w:marRight w:val="0"/>
          <w:marTop w:val="0"/>
          <w:marBottom w:val="0"/>
          <w:divBdr>
            <w:top w:val="none" w:sz="0" w:space="0" w:color="auto"/>
            <w:left w:val="none" w:sz="0" w:space="0" w:color="auto"/>
            <w:bottom w:val="none" w:sz="0" w:space="0" w:color="auto"/>
            <w:right w:val="none" w:sz="0" w:space="0" w:color="auto"/>
          </w:divBdr>
        </w:div>
        <w:div w:id="1509059020">
          <w:marLeft w:val="0"/>
          <w:marRight w:val="0"/>
          <w:marTop w:val="0"/>
          <w:marBottom w:val="0"/>
          <w:divBdr>
            <w:top w:val="none" w:sz="0" w:space="0" w:color="auto"/>
            <w:left w:val="none" w:sz="0" w:space="0" w:color="auto"/>
            <w:bottom w:val="none" w:sz="0" w:space="0" w:color="auto"/>
            <w:right w:val="none" w:sz="0" w:space="0" w:color="auto"/>
          </w:divBdr>
        </w:div>
        <w:div w:id="1555853740">
          <w:marLeft w:val="0"/>
          <w:marRight w:val="0"/>
          <w:marTop w:val="0"/>
          <w:marBottom w:val="0"/>
          <w:divBdr>
            <w:top w:val="none" w:sz="0" w:space="0" w:color="auto"/>
            <w:left w:val="none" w:sz="0" w:space="0" w:color="auto"/>
            <w:bottom w:val="none" w:sz="0" w:space="0" w:color="auto"/>
            <w:right w:val="none" w:sz="0" w:space="0" w:color="auto"/>
          </w:divBdr>
        </w:div>
        <w:div w:id="1799446073">
          <w:marLeft w:val="0"/>
          <w:marRight w:val="0"/>
          <w:marTop w:val="0"/>
          <w:marBottom w:val="0"/>
          <w:divBdr>
            <w:top w:val="none" w:sz="0" w:space="0" w:color="auto"/>
            <w:left w:val="none" w:sz="0" w:space="0" w:color="auto"/>
            <w:bottom w:val="none" w:sz="0" w:space="0" w:color="auto"/>
            <w:right w:val="none" w:sz="0" w:space="0" w:color="auto"/>
          </w:divBdr>
        </w:div>
        <w:div w:id="1167860571">
          <w:marLeft w:val="0"/>
          <w:marRight w:val="0"/>
          <w:marTop w:val="0"/>
          <w:marBottom w:val="0"/>
          <w:divBdr>
            <w:top w:val="none" w:sz="0" w:space="0" w:color="auto"/>
            <w:left w:val="none" w:sz="0" w:space="0" w:color="auto"/>
            <w:bottom w:val="none" w:sz="0" w:space="0" w:color="auto"/>
            <w:right w:val="none" w:sz="0" w:space="0" w:color="auto"/>
          </w:divBdr>
        </w:div>
        <w:div w:id="357318965">
          <w:marLeft w:val="0"/>
          <w:marRight w:val="0"/>
          <w:marTop w:val="0"/>
          <w:marBottom w:val="0"/>
          <w:divBdr>
            <w:top w:val="none" w:sz="0" w:space="0" w:color="auto"/>
            <w:left w:val="none" w:sz="0" w:space="0" w:color="auto"/>
            <w:bottom w:val="none" w:sz="0" w:space="0" w:color="auto"/>
            <w:right w:val="none" w:sz="0" w:space="0" w:color="auto"/>
          </w:divBdr>
        </w:div>
        <w:div w:id="633406820">
          <w:marLeft w:val="0"/>
          <w:marRight w:val="0"/>
          <w:marTop w:val="0"/>
          <w:marBottom w:val="0"/>
          <w:divBdr>
            <w:top w:val="none" w:sz="0" w:space="0" w:color="auto"/>
            <w:left w:val="none" w:sz="0" w:space="0" w:color="auto"/>
            <w:bottom w:val="none" w:sz="0" w:space="0" w:color="auto"/>
            <w:right w:val="none" w:sz="0" w:space="0" w:color="auto"/>
          </w:divBdr>
        </w:div>
        <w:div w:id="361590459">
          <w:marLeft w:val="0"/>
          <w:marRight w:val="0"/>
          <w:marTop w:val="0"/>
          <w:marBottom w:val="0"/>
          <w:divBdr>
            <w:top w:val="none" w:sz="0" w:space="0" w:color="auto"/>
            <w:left w:val="none" w:sz="0" w:space="0" w:color="auto"/>
            <w:bottom w:val="none" w:sz="0" w:space="0" w:color="auto"/>
            <w:right w:val="none" w:sz="0" w:space="0" w:color="auto"/>
          </w:divBdr>
        </w:div>
        <w:div w:id="782459413">
          <w:marLeft w:val="0"/>
          <w:marRight w:val="0"/>
          <w:marTop w:val="0"/>
          <w:marBottom w:val="0"/>
          <w:divBdr>
            <w:top w:val="none" w:sz="0" w:space="0" w:color="auto"/>
            <w:left w:val="none" w:sz="0" w:space="0" w:color="auto"/>
            <w:bottom w:val="none" w:sz="0" w:space="0" w:color="auto"/>
            <w:right w:val="none" w:sz="0" w:space="0" w:color="auto"/>
          </w:divBdr>
        </w:div>
        <w:div w:id="1718092285">
          <w:marLeft w:val="0"/>
          <w:marRight w:val="0"/>
          <w:marTop w:val="0"/>
          <w:marBottom w:val="0"/>
          <w:divBdr>
            <w:top w:val="none" w:sz="0" w:space="0" w:color="auto"/>
            <w:left w:val="none" w:sz="0" w:space="0" w:color="auto"/>
            <w:bottom w:val="none" w:sz="0" w:space="0" w:color="auto"/>
            <w:right w:val="none" w:sz="0" w:space="0" w:color="auto"/>
          </w:divBdr>
        </w:div>
        <w:div w:id="1600717557">
          <w:marLeft w:val="0"/>
          <w:marRight w:val="0"/>
          <w:marTop w:val="0"/>
          <w:marBottom w:val="0"/>
          <w:divBdr>
            <w:top w:val="none" w:sz="0" w:space="0" w:color="auto"/>
            <w:left w:val="none" w:sz="0" w:space="0" w:color="auto"/>
            <w:bottom w:val="none" w:sz="0" w:space="0" w:color="auto"/>
            <w:right w:val="none" w:sz="0" w:space="0" w:color="auto"/>
          </w:divBdr>
        </w:div>
        <w:div w:id="1866794092">
          <w:marLeft w:val="0"/>
          <w:marRight w:val="0"/>
          <w:marTop w:val="0"/>
          <w:marBottom w:val="0"/>
          <w:divBdr>
            <w:top w:val="none" w:sz="0" w:space="0" w:color="auto"/>
            <w:left w:val="none" w:sz="0" w:space="0" w:color="auto"/>
            <w:bottom w:val="none" w:sz="0" w:space="0" w:color="auto"/>
            <w:right w:val="none" w:sz="0" w:space="0" w:color="auto"/>
          </w:divBdr>
        </w:div>
      </w:divsChild>
    </w:div>
    <w:div w:id="649289667">
      <w:bodyDiv w:val="1"/>
      <w:marLeft w:val="0"/>
      <w:marRight w:val="0"/>
      <w:marTop w:val="0"/>
      <w:marBottom w:val="0"/>
      <w:divBdr>
        <w:top w:val="none" w:sz="0" w:space="0" w:color="auto"/>
        <w:left w:val="none" w:sz="0" w:space="0" w:color="auto"/>
        <w:bottom w:val="none" w:sz="0" w:space="0" w:color="auto"/>
        <w:right w:val="none" w:sz="0" w:space="0" w:color="auto"/>
      </w:divBdr>
    </w:div>
    <w:div w:id="656299577">
      <w:bodyDiv w:val="1"/>
      <w:marLeft w:val="0"/>
      <w:marRight w:val="0"/>
      <w:marTop w:val="0"/>
      <w:marBottom w:val="0"/>
      <w:divBdr>
        <w:top w:val="none" w:sz="0" w:space="0" w:color="auto"/>
        <w:left w:val="none" w:sz="0" w:space="0" w:color="auto"/>
        <w:bottom w:val="none" w:sz="0" w:space="0" w:color="auto"/>
        <w:right w:val="none" w:sz="0" w:space="0" w:color="auto"/>
      </w:divBdr>
    </w:div>
    <w:div w:id="660547566">
      <w:bodyDiv w:val="1"/>
      <w:marLeft w:val="0"/>
      <w:marRight w:val="0"/>
      <w:marTop w:val="0"/>
      <w:marBottom w:val="0"/>
      <w:divBdr>
        <w:top w:val="none" w:sz="0" w:space="0" w:color="auto"/>
        <w:left w:val="none" w:sz="0" w:space="0" w:color="auto"/>
        <w:bottom w:val="none" w:sz="0" w:space="0" w:color="auto"/>
        <w:right w:val="none" w:sz="0" w:space="0" w:color="auto"/>
      </w:divBdr>
    </w:div>
    <w:div w:id="67943068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9182680">
      <w:bodyDiv w:val="1"/>
      <w:marLeft w:val="0"/>
      <w:marRight w:val="0"/>
      <w:marTop w:val="0"/>
      <w:marBottom w:val="0"/>
      <w:divBdr>
        <w:top w:val="none" w:sz="0" w:space="0" w:color="auto"/>
        <w:left w:val="none" w:sz="0" w:space="0" w:color="auto"/>
        <w:bottom w:val="none" w:sz="0" w:space="0" w:color="auto"/>
        <w:right w:val="none" w:sz="0" w:space="0" w:color="auto"/>
      </w:divBdr>
    </w:div>
    <w:div w:id="825708739">
      <w:bodyDiv w:val="1"/>
      <w:marLeft w:val="0"/>
      <w:marRight w:val="0"/>
      <w:marTop w:val="0"/>
      <w:marBottom w:val="0"/>
      <w:divBdr>
        <w:top w:val="none" w:sz="0" w:space="0" w:color="auto"/>
        <w:left w:val="none" w:sz="0" w:space="0" w:color="auto"/>
        <w:bottom w:val="none" w:sz="0" w:space="0" w:color="auto"/>
        <w:right w:val="none" w:sz="0" w:space="0" w:color="auto"/>
      </w:divBdr>
    </w:div>
    <w:div w:id="855851313">
      <w:bodyDiv w:val="1"/>
      <w:marLeft w:val="0"/>
      <w:marRight w:val="0"/>
      <w:marTop w:val="0"/>
      <w:marBottom w:val="0"/>
      <w:divBdr>
        <w:top w:val="none" w:sz="0" w:space="0" w:color="auto"/>
        <w:left w:val="none" w:sz="0" w:space="0" w:color="auto"/>
        <w:bottom w:val="none" w:sz="0" w:space="0" w:color="auto"/>
        <w:right w:val="none" w:sz="0" w:space="0" w:color="auto"/>
      </w:divBdr>
    </w:div>
    <w:div w:id="892884882">
      <w:bodyDiv w:val="1"/>
      <w:marLeft w:val="0"/>
      <w:marRight w:val="0"/>
      <w:marTop w:val="0"/>
      <w:marBottom w:val="0"/>
      <w:divBdr>
        <w:top w:val="none" w:sz="0" w:space="0" w:color="auto"/>
        <w:left w:val="none" w:sz="0" w:space="0" w:color="auto"/>
        <w:bottom w:val="none" w:sz="0" w:space="0" w:color="auto"/>
        <w:right w:val="none" w:sz="0" w:space="0" w:color="auto"/>
      </w:divBdr>
    </w:div>
    <w:div w:id="913585155">
      <w:bodyDiv w:val="1"/>
      <w:marLeft w:val="0"/>
      <w:marRight w:val="0"/>
      <w:marTop w:val="0"/>
      <w:marBottom w:val="0"/>
      <w:divBdr>
        <w:top w:val="none" w:sz="0" w:space="0" w:color="auto"/>
        <w:left w:val="none" w:sz="0" w:space="0" w:color="auto"/>
        <w:bottom w:val="none" w:sz="0" w:space="0" w:color="auto"/>
        <w:right w:val="none" w:sz="0" w:space="0" w:color="auto"/>
      </w:divBdr>
    </w:div>
    <w:div w:id="1009136349">
      <w:bodyDiv w:val="1"/>
      <w:marLeft w:val="0"/>
      <w:marRight w:val="0"/>
      <w:marTop w:val="0"/>
      <w:marBottom w:val="0"/>
      <w:divBdr>
        <w:top w:val="none" w:sz="0" w:space="0" w:color="auto"/>
        <w:left w:val="none" w:sz="0" w:space="0" w:color="auto"/>
        <w:bottom w:val="none" w:sz="0" w:space="0" w:color="auto"/>
        <w:right w:val="none" w:sz="0" w:space="0" w:color="auto"/>
      </w:divBdr>
    </w:div>
    <w:div w:id="1011108001">
      <w:bodyDiv w:val="1"/>
      <w:marLeft w:val="0"/>
      <w:marRight w:val="0"/>
      <w:marTop w:val="0"/>
      <w:marBottom w:val="0"/>
      <w:divBdr>
        <w:top w:val="none" w:sz="0" w:space="0" w:color="auto"/>
        <w:left w:val="none" w:sz="0" w:space="0" w:color="auto"/>
        <w:bottom w:val="none" w:sz="0" w:space="0" w:color="auto"/>
        <w:right w:val="none" w:sz="0" w:space="0" w:color="auto"/>
      </w:divBdr>
    </w:div>
    <w:div w:id="1087461886">
      <w:bodyDiv w:val="1"/>
      <w:marLeft w:val="0"/>
      <w:marRight w:val="0"/>
      <w:marTop w:val="0"/>
      <w:marBottom w:val="0"/>
      <w:divBdr>
        <w:top w:val="none" w:sz="0" w:space="0" w:color="auto"/>
        <w:left w:val="none" w:sz="0" w:space="0" w:color="auto"/>
        <w:bottom w:val="none" w:sz="0" w:space="0" w:color="auto"/>
        <w:right w:val="none" w:sz="0" w:space="0" w:color="auto"/>
      </w:divBdr>
    </w:div>
    <w:div w:id="1165900219">
      <w:bodyDiv w:val="1"/>
      <w:marLeft w:val="0"/>
      <w:marRight w:val="0"/>
      <w:marTop w:val="0"/>
      <w:marBottom w:val="0"/>
      <w:divBdr>
        <w:top w:val="none" w:sz="0" w:space="0" w:color="auto"/>
        <w:left w:val="none" w:sz="0" w:space="0" w:color="auto"/>
        <w:bottom w:val="none" w:sz="0" w:space="0" w:color="auto"/>
        <w:right w:val="none" w:sz="0" w:space="0" w:color="auto"/>
      </w:divBdr>
    </w:div>
    <w:div w:id="1217666692">
      <w:bodyDiv w:val="1"/>
      <w:marLeft w:val="0"/>
      <w:marRight w:val="0"/>
      <w:marTop w:val="0"/>
      <w:marBottom w:val="0"/>
      <w:divBdr>
        <w:top w:val="none" w:sz="0" w:space="0" w:color="auto"/>
        <w:left w:val="none" w:sz="0" w:space="0" w:color="auto"/>
        <w:bottom w:val="none" w:sz="0" w:space="0" w:color="auto"/>
        <w:right w:val="none" w:sz="0" w:space="0" w:color="auto"/>
      </w:divBdr>
    </w:div>
    <w:div w:id="1219247318">
      <w:bodyDiv w:val="1"/>
      <w:marLeft w:val="0"/>
      <w:marRight w:val="0"/>
      <w:marTop w:val="0"/>
      <w:marBottom w:val="0"/>
      <w:divBdr>
        <w:top w:val="none" w:sz="0" w:space="0" w:color="auto"/>
        <w:left w:val="none" w:sz="0" w:space="0" w:color="auto"/>
        <w:bottom w:val="none" w:sz="0" w:space="0" w:color="auto"/>
        <w:right w:val="none" w:sz="0" w:space="0" w:color="auto"/>
      </w:divBdr>
    </w:div>
    <w:div w:id="1221598456">
      <w:bodyDiv w:val="1"/>
      <w:marLeft w:val="0"/>
      <w:marRight w:val="0"/>
      <w:marTop w:val="0"/>
      <w:marBottom w:val="0"/>
      <w:divBdr>
        <w:top w:val="none" w:sz="0" w:space="0" w:color="auto"/>
        <w:left w:val="none" w:sz="0" w:space="0" w:color="auto"/>
        <w:bottom w:val="none" w:sz="0" w:space="0" w:color="auto"/>
        <w:right w:val="none" w:sz="0" w:space="0" w:color="auto"/>
      </w:divBdr>
      <w:divsChild>
        <w:div w:id="1183204582">
          <w:marLeft w:val="0"/>
          <w:marRight w:val="0"/>
          <w:marTop w:val="150"/>
          <w:marBottom w:val="0"/>
          <w:divBdr>
            <w:top w:val="none" w:sz="0" w:space="0" w:color="auto"/>
            <w:left w:val="none" w:sz="0" w:space="0" w:color="auto"/>
            <w:bottom w:val="none" w:sz="0" w:space="0" w:color="auto"/>
            <w:right w:val="none" w:sz="0" w:space="0" w:color="auto"/>
          </w:divBdr>
        </w:div>
        <w:div w:id="1237009379">
          <w:marLeft w:val="0"/>
          <w:marRight w:val="0"/>
          <w:marTop w:val="0"/>
          <w:marBottom w:val="0"/>
          <w:divBdr>
            <w:top w:val="none" w:sz="0" w:space="0" w:color="auto"/>
            <w:left w:val="single" w:sz="6" w:space="0" w:color="FFFFFF"/>
            <w:bottom w:val="single" w:sz="6" w:space="0" w:color="FFFFFF"/>
            <w:right w:val="single" w:sz="6" w:space="0" w:color="FFFFFF"/>
          </w:divBdr>
          <w:divsChild>
            <w:div w:id="494033471">
              <w:marLeft w:val="0"/>
              <w:marRight w:val="0"/>
              <w:marTop w:val="0"/>
              <w:marBottom w:val="0"/>
              <w:divBdr>
                <w:top w:val="single" w:sz="6" w:space="1" w:color="D3D3D3"/>
                <w:left w:val="none" w:sz="0" w:space="0" w:color="auto"/>
                <w:bottom w:val="none" w:sz="0" w:space="0" w:color="auto"/>
                <w:right w:val="none" w:sz="0" w:space="0" w:color="auto"/>
              </w:divBdr>
              <w:divsChild>
                <w:div w:id="585462750">
                  <w:marLeft w:val="0"/>
                  <w:marRight w:val="0"/>
                  <w:marTop w:val="0"/>
                  <w:marBottom w:val="0"/>
                  <w:divBdr>
                    <w:top w:val="none" w:sz="0" w:space="0" w:color="auto"/>
                    <w:left w:val="none" w:sz="0" w:space="0" w:color="auto"/>
                    <w:bottom w:val="none" w:sz="0" w:space="0" w:color="auto"/>
                    <w:right w:val="none" w:sz="0" w:space="0" w:color="auto"/>
                  </w:divBdr>
                </w:div>
                <w:div w:id="806358695">
                  <w:marLeft w:val="0"/>
                  <w:marRight w:val="0"/>
                  <w:marTop w:val="0"/>
                  <w:marBottom w:val="0"/>
                  <w:divBdr>
                    <w:top w:val="none" w:sz="0" w:space="0" w:color="auto"/>
                    <w:left w:val="none" w:sz="0" w:space="0" w:color="auto"/>
                    <w:bottom w:val="none" w:sz="0" w:space="0" w:color="auto"/>
                    <w:right w:val="none" w:sz="0" w:space="0" w:color="auto"/>
                  </w:divBdr>
                  <w:divsChild>
                    <w:div w:id="91974538">
                      <w:marLeft w:val="0"/>
                      <w:marRight w:val="0"/>
                      <w:marTop w:val="0"/>
                      <w:marBottom w:val="0"/>
                      <w:divBdr>
                        <w:top w:val="single" w:sz="6" w:space="8" w:color="CFCFCF"/>
                        <w:left w:val="single" w:sz="6" w:space="0" w:color="CFCFCF"/>
                        <w:bottom w:val="single" w:sz="6" w:space="8" w:color="CFCFCF"/>
                        <w:right w:val="single" w:sz="6" w:space="0" w:color="CFCFCF"/>
                      </w:divBdr>
                      <w:divsChild>
                        <w:div w:id="7755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501072">
      <w:bodyDiv w:val="1"/>
      <w:marLeft w:val="0"/>
      <w:marRight w:val="0"/>
      <w:marTop w:val="0"/>
      <w:marBottom w:val="0"/>
      <w:divBdr>
        <w:top w:val="none" w:sz="0" w:space="0" w:color="auto"/>
        <w:left w:val="none" w:sz="0" w:space="0" w:color="auto"/>
        <w:bottom w:val="none" w:sz="0" w:space="0" w:color="auto"/>
        <w:right w:val="none" w:sz="0" w:space="0" w:color="auto"/>
      </w:divBdr>
    </w:div>
    <w:div w:id="1347707692">
      <w:bodyDiv w:val="1"/>
      <w:marLeft w:val="0"/>
      <w:marRight w:val="0"/>
      <w:marTop w:val="0"/>
      <w:marBottom w:val="0"/>
      <w:divBdr>
        <w:top w:val="none" w:sz="0" w:space="0" w:color="auto"/>
        <w:left w:val="none" w:sz="0" w:space="0" w:color="auto"/>
        <w:bottom w:val="none" w:sz="0" w:space="0" w:color="auto"/>
        <w:right w:val="none" w:sz="0" w:space="0" w:color="auto"/>
      </w:divBdr>
    </w:div>
    <w:div w:id="1359695445">
      <w:bodyDiv w:val="1"/>
      <w:marLeft w:val="0"/>
      <w:marRight w:val="0"/>
      <w:marTop w:val="0"/>
      <w:marBottom w:val="0"/>
      <w:divBdr>
        <w:top w:val="none" w:sz="0" w:space="0" w:color="auto"/>
        <w:left w:val="none" w:sz="0" w:space="0" w:color="auto"/>
        <w:bottom w:val="none" w:sz="0" w:space="0" w:color="auto"/>
        <w:right w:val="none" w:sz="0" w:space="0" w:color="auto"/>
      </w:divBdr>
    </w:div>
    <w:div w:id="1395466058">
      <w:bodyDiv w:val="1"/>
      <w:marLeft w:val="0"/>
      <w:marRight w:val="0"/>
      <w:marTop w:val="0"/>
      <w:marBottom w:val="0"/>
      <w:divBdr>
        <w:top w:val="none" w:sz="0" w:space="0" w:color="auto"/>
        <w:left w:val="none" w:sz="0" w:space="0" w:color="auto"/>
        <w:bottom w:val="none" w:sz="0" w:space="0" w:color="auto"/>
        <w:right w:val="none" w:sz="0" w:space="0" w:color="auto"/>
      </w:divBdr>
    </w:div>
    <w:div w:id="1428235132">
      <w:bodyDiv w:val="1"/>
      <w:marLeft w:val="0"/>
      <w:marRight w:val="0"/>
      <w:marTop w:val="0"/>
      <w:marBottom w:val="0"/>
      <w:divBdr>
        <w:top w:val="none" w:sz="0" w:space="0" w:color="auto"/>
        <w:left w:val="none" w:sz="0" w:space="0" w:color="auto"/>
        <w:bottom w:val="none" w:sz="0" w:space="0" w:color="auto"/>
        <w:right w:val="none" w:sz="0" w:space="0" w:color="auto"/>
      </w:divBdr>
      <w:divsChild>
        <w:div w:id="542865995">
          <w:marLeft w:val="0"/>
          <w:marRight w:val="0"/>
          <w:marTop w:val="0"/>
          <w:marBottom w:val="0"/>
          <w:divBdr>
            <w:top w:val="none" w:sz="0" w:space="0" w:color="auto"/>
            <w:left w:val="none" w:sz="0" w:space="0" w:color="auto"/>
            <w:bottom w:val="none" w:sz="0" w:space="0" w:color="auto"/>
            <w:right w:val="none" w:sz="0" w:space="0" w:color="auto"/>
          </w:divBdr>
          <w:divsChild>
            <w:div w:id="19423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5016">
      <w:bodyDiv w:val="1"/>
      <w:marLeft w:val="0"/>
      <w:marRight w:val="0"/>
      <w:marTop w:val="0"/>
      <w:marBottom w:val="0"/>
      <w:divBdr>
        <w:top w:val="none" w:sz="0" w:space="0" w:color="auto"/>
        <w:left w:val="none" w:sz="0" w:space="0" w:color="auto"/>
        <w:bottom w:val="none" w:sz="0" w:space="0" w:color="auto"/>
        <w:right w:val="none" w:sz="0" w:space="0" w:color="auto"/>
      </w:divBdr>
    </w:div>
    <w:div w:id="1501122922">
      <w:bodyDiv w:val="1"/>
      <w:marLeft w:val="0"/>
      <w:marRight w:val="0"/>
      <w:marTop w:val="0"/>
      <w:marBottom w:val="0"/>
      <w:divBdr>
        <w:top w:val="none" w:sz="0" w:space="0" w:color="auto"/>
        <w:left w:val="none" w:sz="0" w:space="0" w:color="auto"/>
        <w:bottom w:val="none" w:sz="0" w:space="0" w:color="auto"/>
        <w:right w:val="none" w:sz="0" w:space="0" w:color="auto"/>
      </w:divBdr>
      <w:divsChild>
        <w:div w:id="832840238">
          <w:marLeft w:val="0"/>
          <w:marRight w:val="0"/>
          <w:marTop w:val="0"/>
          <w:marBottom w:val="0"/>
          <w:divBdr>
            <w:top w:val="none" w:sz="0" w:space="0" w:color="auto"/>
            <w:left w:val="none" w:sz="0" w:space="0" w:color="auto"/>
            <w:bottom w:val="none" w:sz="0" w:space="0" w:color="auto"/>
            <w:right w:val="none" w:sz="0" w:space="0" w:color="auto"/>
          </w:divBdr>
          <w:divsChild>
            <w:div w:id="1478110412">
              <w:marLeft w:val="0"/>
              <w:marRight w:val="0"/>
              <w:marTop w:val="0"/>
              <w:marBottom w:val="0"/>
              <w:divBdr>
                <w:top w:val="none" w:sz="0" w:space="0" w:color="auto"/>
                <w:left w:val="none" w:sz="0" w:space="0" w:color="auto"/>
                <w:bottom w:val="none" w:sz="0" w:space="0" w:color="auto"/>
                <w:right w:val="none" w:sz="0" w:space="0" w:color="auto"/>
              </w:divBdr>
              <w:divsChild>
                <w:div w:id="339285379">
                  <w:marLeft w:val="0"/>
                  <w:marRight w:val="0"/>
                  <w:marTop w:val="0"/>
                  <w:marBottom w:val="0"/>
                  <w:divBdr>
                    <w:top w:val="none" w:sz="0" w:space="0" w:color="auto"/>
                    <w:left w:val="none" w:sz="0" w:space="0" w:color="auto"/>
                    <w:bottom w:val="none" w:sz="0" w:space="0" w:color="auto"/>
                    <w:right w:val="none" w:sz="0" w:space="0" w:color="auto"/>
                  </w:divBdr>
                </w:div>
                <w:div w:id="12221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169302">
      <w:bodyDiv w:val="1"/>
      <w:marLeft w:val="0"/>
      <w:marRight w:val="0"/>
      <w:marTop w:val="0"/>
      <w:marBottom w:val="0"/>
      <w:divBdr>
        <w:top w:val="none" w:sz="0" w:space="0" w:color="auto"/>
        <w:left w:val="none" w:sz="0" w:space="0" w:color="auto"/>
        <w:bottom w:val="none" w:sz="0" w:space="0" w:color="auto"/>
        <w:right w:val="none" w:sz="0" w:space="0" w:color="auto"/>
      </w:divBdr>
    </w:div>
    <w:div w:id="1508862372">
      <w:bodyDiv w:val="1"/>
      <w:marLeft w:val="0"/>
      <w:marRight w:val="0"/>
      <w:marTop w:val="0"/>
      <w:marBottom w:val="0"/>
      <w:divBdr>
        <w:top w:val="none" w:sz="0" w:space="0" w:color="auto"/>
        <w:left w:val="none" w:sz="0" w:space="0" w:color="auto"/>
        <w:bottom w:val="none" w:sz="0" w:space="0" w:color="auto"/>
        <w:right w:val="none" w:sz="0" w:space="0" w:color="auto"/>
      </w:divBdr>
    </w:div>
    <w:div w:id="1508863532">
      <w:bodyDiv w:val="1"/>
      <w:marLeft w:val="0"/>
      <w:marRight w:val="0"/>
      <w:marTop w:val="0"/>
      <w:marBottom w:val="0"/>
      <w:divBdr>
        <w:top w:val="none" w:sz="0" w:space="0" w:color="auto"/>
        <w:left w:val="none" w:sz="0" w:space="0" w:color="auto"/>
        <w:bottom w:val="none" w:sz="0" w:space="0" w:color="auto"/>
        <w:right w:val="none" w:sz="0" w:space="0" w:color="auto"/>
      </w:divBdr>
    </w:div>
    <w:div w:id="1525559705">
      <w:bodyDiv w:val="1"/>
      <w:marLeft w:val="0"/>
      <w:marRight w:val="0"/>
      <w:marTop w:val="0"/>
      <w:marBottom w:val="0"/>
      <w:divBdr>
        <w:top w:val="none" w:sz="0" w:space="0" w:color="auto"/>
        <w:left w:val="none" w:sz="0" w:space="0" w:color="auto"/>
        <w:bottom w:val="none" w:sz="0" w:space="0" w:color="auto"/>
        <w:right w:val="none" w:sz="0" w:space="0" w:color="auto"/>
      </w:divBdr>
    </w:div>
    <w:div w:id="1625231204">
      <w:bodyDiv w:val="1"/>
      <w:marLeft w:val="0"/>
      <w:marRight w:val="0"/>
      <w:marTop w:val="0"/>
      <w:marBottom w:val="0"/>
      <w:divBdr>
        <w:top w:val="none" w:sz="0" w:space="0" w:color="auto"/>
        <w:left w:val="none" w:sz="0" w:space="0" w:color="auto"/>
        <w:bottom w:val="none" w:sz="0" w:space="0" w:color="auto"/>
        <w:right w:val="none" w:sz="0" w:space="0" w:color="auto"/>
      </w:divBdr>
    </w:div>
    <w:div w:id="1630014635">
      <w:bodyDiv w:val="1"/>
      <w:marLeft w:val="0"/>
      <w:marRight w:val="0"/>
      <w:marTop w:val="0"/>
      <w:marBottom w:val="0"/>
      <w:divBdr>
        <w:top w:val="none" w:sz="0" w:space="0" w:color="auto"/>
        <w:left w:val="none" w:sz="0" w:space="0" w:color="auto"/>
        <w:bottom w:val="none" w:sz="0" w:space="0" w:color="auto"/>
        <w:right w:val="none" w:sz="0" w:space="0" w:color="auto"/>
      </w:divBdr>
    </w:div>
    <w:div w:id="1639261743">
      <w:bodyDiv w:val="1"/>
      <w:marLeft w:val="0"/>
      <w:marRight w:val="0"/>
      <w:marTop w:val="0"/>
      <w:marBottom w:val="0"/>
      <w:divBdr>
        <w:top w:val="none" w:sz="0" w:space="0" w:color="auto"/>
        <w:left w:val="none" w:sz="0" w:space="0" w:color="auto"/>
        <w:bottom w:val="none" w:sz="0" w:space="0" w:color="auto"/>
        <w:right w:val="none" w:sz="0" w:space="0" w:color="auto"/>
      </w:divBdr>
    </w:div>
    <w:div w:id="1657224695">
      <w:bodyDiv w:val="1"/>
      <w:marLeft w:val="0"/>
      <w:marRight w:val="0"/>
      <w:marTop w:val="0"/>
      <w:marBottom w:val="0"/>
      <w:divBdr>
        <w:top w:val="none" w:sz="0" w:space="0" w:color="auto"/>
        <w:left w:val="none" w:sz="0" w:space="0" w:color="auto"/>
        <w:bottom w:val="none" w:sz="0" w:space="0" w:color="auto"/>
        <w:right w:val="none" w:sz="0" w:space="0" w:color="auto"/>
      </w:divBdr>
    </w:div>
    <w:div w:id="1668559161">
      <w:bodyDiv w:val="1"/>
      <w:marLeft w:val="0"/>
      <w:marRight w:val="0"/>
      <w:marTop w:val="0"/>
      <w:marBottom w:val="0"/>
      <w:divBdr>
        <w:top w:val="none" w:sz="0" w:space="0" w:color="auto"/>
        <w:left w:val="none" w:sz="0" w:space="0" w:color="auto"/>
        <w:bottom w:val="none" w:sz="0" w:space="0" w:color="auto"/>
        <w:right w:val="none" w:sz="0" w:space="0" w:color="auto"/>
      </w:divBdr>
    </w:div>
    <w:div w:id="1679118576">
      <w:bodyDiv w:val="1"/>
      <w:marLeft w:val="0"/>
      <w:marRight w:val="0"/>
      <w:marTop w:val="0"/>
      <w:marBottom w:val="0"/>
      <w:divBdr>
        <w:top w:val="none" w:sz="0" w:space="0" w:color="auto"/>
        <w:left w:val="none" w:sz="0" w:space="0" w:color="auto"/>
        <w:bottom w:val="none" w:sz="0" w:space="0" w:color="auto"/>
        <w:right w:val="none" w:sz="0" w:space="0" w:color="auto"/>
      </w:divBdr>
    </w:div>
    <w:div w:id="1722903203">
      <w:bodyDiv w:val="1"/>
      <w:marLeft w:val="0"/>
      <w:marRight w:val="0"/>
      <w:marTop w:val="0"/>
      <w:marBottom w:val="0"/>
      <w:divBdr>
        <w:top w:val="none" w:sz="0" w:space="0" w:color="auto"/>
        <w:left w:val="none" w:sz="0" w:space="0" w:color="auto"/>
        <w:bottom w:val="none" w:sz="0" w:space="0" w:color="auto"/>
        <w:right w:val="none" w:sz="0" w:space="0" w:color="auto"/>
      </w:divBdr>
    </w:div>
    <w:div w:id="1803887619">
      <w:bodyDiv w:val="1"/>
      <w:marLeft w:val="0"/>
      <w:marRight w:val="0"/>
      <w:marTop w:val="0"/>
      <w:marBottom w:val="0"/>
      <w:divBdr>
        <w:top w:val="none" w:sz="0" w:space="0" w:color="auto"/>
        <w:left w:val="none" w:sz="0" w:space="0" w:color="auto"/>
        <w:bottom w:val="none" w:sz="0" w:space="0" w:color="auto"/>
        <w:right w:val="none" w:sz="0" w:space="0" w:color="auto"/>
      </w:divBdr>
      <w:divsChild>
        <w:div w:id="727538901">
          <w:marLeft w:val="0"/>
          <w:marRight w:val="0"/>
          <w:marTop w:val="150"/>
          <w:marBottom w:val="0"/>
          <w:divBdr>
            <w:top w:val="none" w:sz="0" w:space="0" w:color="auto"/>
            <w:left w:val="none" w:sz="0" w:space="0" w:color="auto"/>
            <w:bottom w:val="none" w:sz="0" w:space="0" w:color="auto"/>
            <w:right w:val="none" w:sz="0" w:space="0" w:color="auto"/>
          </w:divBdr>
        </w:div>
        <w:div w:id="1653680883">
          <w:marLeft w:val="0"/>
          <w:marRight w:val="0"/>
          <w:marTop w:val="0"/>
          <w:marBottom w:val="0"/>
          <w:divBdr>
            <w:top w:val="none" w:sz="0" w:space="0" w:color="auto"/>
            <w:left w:val="single" w:sz="6" w:space="0" w:color="FFFFFF"/>
            <w:bottom w:val="single" w:sz="6" w:space="0" w:color="FFFFFF"/>
            <w:right w:val="single" w:sz="6" w:space="0" w:color="FFFFFF"/>
          </w:divBdr>
          <w:divsChild>
            <w:div w:id="349914623">
              <w:marLeft w:val="0"/>
              <w:marRight w:val="0"/>
              <w:marTop w:val="0"/>
              <w:marBottom w:val="0"/>
              <w:divBdr>
                <w:top w:val="single" w:sz="6" w:space="1" w:color="D3D3D3"/>
                <w:left w:val="none" w:sz="0" w:space="0" w:color="auto"/>
                <w:bottom w:val="none" w:sz="0" w:space="0" w:color="auto"/>
                <w:right w:val="none" w:sz="0" w:space="0" w:color="auto"/>
              </w:divBdr>
              <w:divsChild>
                <w:div w:id="783882582">
                  <w:marLeft w:val="0"/>
                  <w:marRight w:val="0"/>
                  <w:marTop w:val="0"/>
                  <w:marBottom w:val="0"/>
                  <w:divBdr>
                    <w:top w:val="none" w:sz="0" w:space="0" w:color="auto"/>
                    <w:left w:val="none" w:sz="0" w:space="0" w:color="auto"/>
                    <w:bottom w:val="none" w:sz="0" w:space="0" w:color="auto"/>
                    <w:right w:val="none" w:sz="0" w:space="0" w:color="auto"/>
                  </w:divBdr>
                </w:div>
                <w:div w:id="978655501">
                  <w:marLeft w:val="0"/>
                  <w:marRight w:val="0"/>
                  <w:marTop w:val="0"/>
                  <w:marBottom w:val="0"/>
                  <w:divBdr>
                    <w:top w:val="none" w:sz="0" w:space="0" w:color="auto"/>
                    <w:left w:val="none" w:sz="0" w:space="0" w:color="auto"/>
                    <w:bottom w:val="none" w:sz="0" w:space="0" w:color="auto"/>
                    <w:right w:val="none" w:sz="0" w:space="0" w:color="auto"/>
                  </w:divBdr>
                  <w:divsChild>
                    <w:div w:id="1207526895">
                      <w:marLeft w:val="0"/>
                      <w:marRight w:val="0"/>
                      <w:marTop w:val="0"/>
                      <w:marBottom w:val="0"/>
                      <w:divBdr>
                        <w:top w:val="single" w:sz="6" w:space="8" w:color="CFCFCF"/>
                        <w:left w:val="single" w:sz="6" w:space="0" w:color="CFCFCF"/>
                        <w:bottom w:val="single" w:sz="6" w:space="8" w:color="CFCFCF"/>
                        <w:right w:val="single" w:sz="6" w:space="0" w:color="CFCFCF"/>
                      </w:divBdr>
                      <w:divsChild>
                        <w:div w:id="18626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447981">
      <w:bodyDiv w:val="1"/>
      <w:marLeft w:val="0"/>
      <w:marRight w:val="0"/>
      <w:marTop w:val="0"/>
      <w:marBottom w:val="0"/>
      <w:divBdr>
        <w:top w:val="none" w:sz="0" w:space="0" w:color="auto"/>
        <w:left w:val="none" w:sz="0" w:space="0" w:color="auto"/>
        <w:bottom w:val="none" w:sz="0" w:space="0" w:color="auto"/>
        <w:right w:val="none" w:sz="0" w:space="0" w:color="auto"/>
      </w:divBdr>
    </w:div>
    <w:div w:id="1893928491">
      <w:bodyDiv w:val="1"/>
      <w:marLeft w:val="0"/>
      <w:marRight w:val="0"/>
      <w:marTop w:val="0"/>
      <w:marBottom w:val="0"/>
      <w:divBdr>
        <w:top w:val="none" w:sz="0" w:space="0" w:color="auto"/>
        <w:left w:val="none" w:sz="0" w:space="0" w:color="auto"/>
        <w:bottom w:val="none" w:sz="0" w:space="0" w:color="auto"/>
        <w:right w:val="none" w:sz="0" w:space="0" w:color="auto"/>
      </w:divBdr>
    </w:div>
    <w:div w:id="1929269780">
      <w:bodyDiv w:val="1"/>
      <w:marLeft w:val="0"/>
      <w:marRight w:val="0"/>
      <w:marTop w:val="0"/>
      <w:marBottom w:val="0"/>
      <w:divBdr>
        <w:top w:val="none" w:sz="0" w:space="0" w:color="auto"/>
        <w:left w:val="none" w:sz="0" w:space="0" w:color="auto"/>
        <w:bottom w:val="none" w:sz="0" w:space="0" w:color="auto"/>
        <w:right w:val="none" w:sz="0" w:space="0" w:color="auto"/>
      </w:divBdr>
    </w:div>
    <w:div w:id="1968390067">
      <w:bodyDiv w:val="1"/>
      <w:marLeft w:val="0"/>
      <w:marRight w:val="0"/>
      <w:marTop w:val="0"/>
      <w:marBottom w:val="0"/>
      <w:divBdr>
        <w:top w:val="none" w:sz="0" w:space="0" w:color="auto"/>
        <w:left w:val="none" w:sz="0" w:space="0" w:color="auto"/>
        <w:bottom w:val="none" w:sz="0" w:space="0" w:color="auto"/>
        <w:right w:val="none" w:sz="0" w:space="0" w:color="auto"/>
      </w:divBdr>
    </w:div>
    <w:div w:id="1998269259">
      <w:bodyDiv w:val="1"/>
      <w:marLeft w:val="0"/>
      <w:marRight w:val="0"/>
      <w:marTop w:val="0"/>
      <w:marBottom w:val="0"/>
      <w:divBdr>
        <w:top w:val="none" w:sz="0" w:space="0" w:color="auto"/>
        <w:left w:val="none" w:sz="0" w:space="0" w:color="auto"/>
        <w:bottom w:val="none" w:sz="0" w:space="0" w:color="auto"/>
        <w:right w:val="none" w:sz="0" w:space="0" w:color="auto"/>
      </w:divBdr>
    </w:div>
    <w:div w:id="2010402017">
      <w:bodyDiv w:val="1"/>
      <w:marLeft w:val="0"/>
      <w:marRight w:val="0"/>
      <w:marTop w:val="0"/>
      <w:marBottom w:val="0"/>
      <w:divBdr>
        <w:top w:val="none" w:sz="0" w:space="0" w:color="auto"/>
        <w:left w:val="none" w:sz="0" w:space="0" w:color="auto"/>
        <w:bottom w:val="none" w:sz="0" w:space="0" w:color="auto"/>
        <w:right w:val="none" w:sz="0" w:space="0" w:color="auto"/>
      </w:divBdr>
    </w:div>
    <w:div w:id="2031955888">
      <w:bodyDiv w:val="1"/>
      <w:marLeft w:val="0"/>
      <w:marRight w:val="0"/>
      <w:marTop w:val="0"/>
      <w:marBottom w:val="0"/>
      <w:divBdr>
        <w:top w:val="none" w:sz="0" w:space="0" w:color="auto"/>
        <w:left w:val="none" w:sz="0" w:space="0" w:color="auto"/>
        <w:bottom w:val="none" w:sz="0" w:space="0" w:color="auto"/>
        <w:right w:val="none" w:sz="0" w:space="0" w:color="auto"/>
      </w:divBdr>
    </w:div>
    <w:div w:id="2062361592">
      <w:bodyDiv w:val="1"/>
      <w:marLeft w:val="0"/>
      <w:marRight w:val="0"/>
      <w:marTop w:val="0"/>
      <w:marBottom w:val="0"/>
      <w:divBdr>
        <w:top w:val="none" w:sz="0" w:space="0" w:color="auto"/>
        <w:left w:val="none" w:sz="0" w:space="0" w:color="auto"/>
        <w:bottom w:val="none" w:sz="0" w:space="0" w:color="auto"/>
        <w:right w:val="none" w:sz="0" w:space="0" w:color="auto"/>
      </w:divBdr>
    </w:div>
    <w:div w:id="2131436797">
      <w:bodyDiv w:val="1"/>
      <w:marLeft w:val="0"/>
      <w:marRight w:val="0"/>
      <w:marTop w:val="0"/>
      <w:marBottom w:val="0"/>
      <w:divBdr>
        <w:top w:val="none" w:sz="0" w:space="0" w:color="auto"/>
        <w:left w:val="none" w:sz="0" w:space="0" w:color="auto"/>
        <w:bottom w:val="none" w:sz="0" w:space="0" w:color="auto"/>
        <w:right w:val="none" w:sz="0" w:space="0" w:color="auto"/>
      </w:divBdr>
    </w:div>
    <w:div w:id="2131775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dcusa.co.uk"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ofgem.gov.uk/publications/access-and-forward-looking-charges-significant-code-review-decision-and-direction" TargetMode="External"/><Relationship Id="rId7" Type="http://schemas.openxmlformats.org/officeDocument/2006/relationships/settings" Target="settings.xml"/><Relationship Id="rId12" Type="http://schemas.openxmlformats.org/officeDocument/2006/relationships/hyperlink" Target="mailto:dcusa@electralink.co.uk" TargetMode="External"/><Relationship Id="rId17" Type="http://schemas.openxmlformats.org/officeDocument/2006/relationships/hyperlink" Target="https://www.ofgem.gov.uk/publications/access-and-forward-looking-charges-significant-code-review-decision-and-directio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bsria.com/u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dcusa.co.uk/change/access-scr-changes-to-cccm/"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s://www.dcusa.co.uk/change/access-scr-managing-curtailable-connections-between-licensed-distribution-networks/"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cibs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s://www.dcusa.co.uk/change/access-scr-changes-to-terms-of-connection-for-curtailable-customer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F78917E2C3406DAC661AD279CDBBD4"/>
        <w:category>
          <w:name w:val="General"/>
          <w:gallery w:val="placeholder"/>
        </w:category>
        <w:types>
          <w:type w:val="bbPlcHdr"/>
        </w:types>
        <w:behaviors>
          <w:behavior w:val="content"/>
        </w:behaviors>
        <w:guid w:val="{7FB44C0E-BEE9-4FB5-B71A-EA35E3B5724C}"/>
      </w:docPartPr>
      <w:docPartBody>
        <w:p w:rsidR="00CD4D2A" w:rsidRDefault="00292403" w:rsidP="00292403">
          <w:pPr>
            <w:pStyle w:val="48F78917E2C3406DAC661AD279CDBBD4"/>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8912DFFC84BC42FA973C89E6B76EB99B"/>
        <w:category>
          <w:name w:val="General"/>
          <w:gallery w:val="placeholder"/>
        </w:category>
        <w:types>
          <w:type w:val="bbPlcHdr"/>
        </w:types>
        <w:behaviors>
          <w:behavior w:val="content"/>
        </w:behaviors>
        <w:guid w:val="{D1E6422F-0651-428C-944C-EBB4D090E47F}"/>
      </w:docPartPr>
      <w:docPartBody>
        <w:p w:rsidR="00241975" w:rsidRDefault="00CD4D2A" w:rsidP="00CD4D2A">
          <w:pPr>
            <w:pStyle w:val="8912DFFC84BC42FA973C89E6B76EB99B"/>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403"/>
    <w:rsid w:val="00241975"/>
    <w:rsid w:val="00292403"/>
    <w:rsid w:val="007C3EEA"/>
    <w:rsid w:val="00C9580F"/>
    <w:rsid w:val="00CD4D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CD4D2A"/>
    <w:rPr>
      <w:rFonts w:ascii="Arial" w:eastAsia="Times New Roman" w:hAnsi="Arial" w:cs="Arial"/>
      <w:i/>
      <w:iCs/>
      <w:color w:val="00B274"/>
      <w:sz w:val="20"/>
      <w:szCs w:val="28"/>
    </w:rPr>
  </w:style>
  <w:style w:type="character" w:styleId="Emphasis">
    <w:name w:val="Emphasis"/>
    <w:basedOn w:val="DefaultParagraphFont"/>
    <w:uiPriority w:val="20"/>
    <w:qFormat/>
    <w:rsid w:val="00292403"/>
    <w:rPr>
      <w:i/>
      <w:iCs/>
    </w:rPr>
  </w:style>
  <w:style w:type="paragraph" w:customStyle="1" w:styleId="48F78917E2C3406DAC661AD279CDBBD4">
    <w:name w:val="48F78917E2C3406DAC661AD279CDBBD4"/>
    <w:rsid w:val="00292403"/>
  </w:style>
  <w:style w:type="paragraph" w:customStyle="1" w:styleId="8912DFFC84BC42FA973C89E6B76EB99B">
    <w:name w:val="8912DFFC84BC42FA973C89E6B76EB99B"/>
    <w:rsid w:val="00CD4D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D90DD446C8934ABD144EA3ACE8BEAB" ma:contentTypeVersion="13" ma:contentTypeDescription="Create a new document." ma:contentTypeScope="" ma:versionID="c67ea2058ac3b50b5aabcaacad9ce765">
  <xsd:schema xmlns:xsd="http://www.w3.org/2001/XMLSchema" xmlns:xs="http://www.w3.org/2001/XMLSchema" xmlns:p="http://schemas.microsoft.com/office/2006/metadata/properties" xmlns:ns3="cf1e9dd4-3224-4696-9763-bf46eab9bb9d" xmlns:ns4="3951b0f9-ad73-4930-b622-db6d5f00fde8" targetNamespace="http://schemas.microsoft.com/office/2006/metadata/properties" ma:root="true" ma:fieldsID="643fee9ee88e1d8122a2f374f935ac9e" ns3:_="" ns4:_="">
    <xsd:import namespace="cf1e9dd4-3224-4696-9763-bf46eab9bb9d"/>
    <xsd:import namespace="3951b0f9-ad73-4930-b622-db6d5f00fde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1e9dd4-3224-4696-9763-bf46eab9bb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b0f9-ad73-4930-b622-db6d5f00fde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134F1-5A6F-4A78-A69E-1511C289F29F}">
  <ds:schemaRefs>
    <ds:schemaRef ds:uri="http://schemas.microsoft.com/sharepoint/v3/contenttype/forms"/>
  </ds:schemaRefs>
</ds:datastoreItem>
</file>

<file path=customXml/itemProps2.xml><?xml version="1.0" encoding="utf-8"?>
<ds:datastoreItem xmlns:ds="http://schemas.openxmlformats.org/officeDocument/2006/customXml" ds:itemID="{D5C84B94-6F47-4A73-AAAD-97E4B7C7CF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AEA44C-AED7-46F3-92E4-B6D49C0C7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1e9dd4-3224-4696-9763-bf46eab9bb9d"/>
    <ds:schemaRef ds:uri="3951b0f9-ad73-4930-b622-db6d5f00fd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9F8732-0073-4BCF-8164-5922AAE1D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22</Pages>
  <Words>8207</Words>
  <Characters>46783</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DCP 387 Consultation</vt:lpstr>
    </vt:vector>
  </TitlesOfParts>
  <Company>Joint Office of Gas Transporters</Company>
  <LinksUpToDate>false</LinksUpToDate>
  <CharactersWithSpaces>54881</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DCP 387 Consultation</dc:title>
  <dc:subject/>
  <dc:creator>DCP 387 Working Group</dc:creator>
  <cp:keywords/>
  <dc:description/>
  <cp:lastModifiedBy>Melissa Kendal</cp:lastModifiedBy>
  <cp:revision>194</cp:revision>
  <cp:lastPrinted>2022-03-09T17:35:00Z</cp:lastPrinted>
  <dcterms:created xsi:type="dcterms:W3CDTF">2022-08-19T20:47:00Z</dcterms:created>
  <dcterms:modified xsi:type="dcterms:W3CDTF">2022-08-23T13:12:00Z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1555573762</vt:lpwstr>
  </property>
  <property fmtid="{D5CDD505-2E9C-101B-9397-08002B2CF9AE}" pid="5" name="DLPManualFileClassificationVersion">
    <vt:lpwstr>11.0.400.15</vt:lpwstr>
  </property>
  <property fmtid="{D5CDD505-2E9C-101B-9397-08002B2CF9AE}" pid="6" name="ContentTypeId">
    <vt:lpwstr>0x010100D3D90DD446C8934ABD144EA3ACE8BEAB</vt:lpwstr>
  </property>
  <property fmtid="{D5CDD505-2E9C-101B-9397-08002B2CF9AE}" pid="7" name="_NewReviewCycle">
    <vt:lpwstr/>
  </property>
</Properties>
</file>