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555A880A" w14:textId="77777777" w:rsidTr="00B23506">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9A4D9E"/>
          </w:tcPr>
          <w:p w14:paraId="63766975" w14:textId="77777777" w:rsidR="006F19E3" w:rsidRPr="00370EB1" w:rsidRDefault="007F41DB" w:rsidP="0045172D">
            <w:pPr>
              <w:tabs>
                <w:tab w:val="left" w:pos="2901"/>
              </w:tabs>
              <w:spacing w:before="240" w:after="240"/>
              <w:ind w:left="113"/>
              <w:rPr>
                <w:rFonts w:cs="Arial"/>
                <w:b/>
                <w:color w:val="FFFFFF"/>
                <w:sz w:val="40"/>
                <w:szCs w:val="40"/>
              </w:rPr>
            </w:pPr>
            <w:r w:rsidRPr="00370EB1">
              <w:rPr>
                <w:rFonts w:cs="Arial"/>
                <w:b/>
                <w:color w:val="FFFFFF"/>
                <w:sz w:val="40"/>
                <w:szCs w:val="40"/>
              </w:rPr>
              <w:t>DCUSA</w:t>
            </w:r>
            <w:r w:rsidR="00B23506" w:rsidRPr="00370EB1">
              <w:rPr>
                <w:rFonts w:cs="Arial"/>
                <w:b/>
                <w:color w:val="FFFFFF"/>
                <w:sz w:val="40"/>
                <w:szCs w:val="40"/>
              </w:rPr>
              <w:t xml:space="preserve"> </w:t>
            </w:r>
            <w:r w:rsidR="00277121" w:rsidRPr="00370EB1">
              <w:rPr>
                <w:rFonts w:cs="Arial"/>
                <w:b/>
                <w:color w:val="FFFFFF"/>
                <w:sz w:val="40"/>
                <w:szCs w:val="40"/>
              </w:rPr>
              <w:t xml:space="preserve">Change </w:t>
            </w:r>
            <w:r w:rsidR="00B23506" w:rsidRPr="00370EB1">
              <w:rPr>
                <w:rFonts w:cs="Arial"/>
                <w:b/>
                <w:color w:val="FFFFFF"/>
                <w:sz w:val="40"/>
                <w:szCs w:val="40"/>
              </w:rPr>
              <w:t>Report</w:t>
            </w:r>
            <w:r w:rsidR="006F19E3" w:rsidRPr="00370EB1">
              <w:rPr>
                <w:rFonts w:cs="Arial"/>
                <w:b/>
                <w:color w:val="FFFFFF"/>
                <w:sz w:val="40"/>
                <w:szCs w:val="40"/>
              </w:rPr>
              <w:tab/>
            </w:r>
          </w:p>
        </w:tc>
        <w:tc>
          <w:tcPr>
            <w:tcW w:w="2161" w:type="dxa"/>
            <w:tcBorders>
              <w:top w:val="single" w:sz="4" w:space="0" w:color="4A8958"/>
              <w:left w:val="single" w:sz="4" w:space="0" w:color="4A8958"/>
              <w:bottom w:val="single" w:sz="4" w:space="0" w:color="4A8958"/>
              <w:right w:val="single" w:sz="4" w:space="0" w:color="4A8958"/>
            </w:tcBorders>
            <w:shd w:val="clear" w:color="auto" w:fill="9A4D9E"/>
          </w:tcPr>
          <w:p w14:paraId="50B89C8C"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0BC494D0"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0D21D807" w14:textId="699FEBD9" w:rsidR="00A77FCF" w:rsidRPr="009456EB" w:rsidRDefault="00A77FCF" w:rsidP="00A77FCF">
            <w:pPr>
              <w:ind w:left="113" w:right="113"/>
              <w:rPr>
                <w:rFonts w:cs="Arial"/>
                <w:b/>
                <w:i/>
                <w:color w:val="00B274"/>
                <w:sz w:val="24"/>
              </w:rPr>
            </w:pPr>
            <w:r w:rsidRPr="009456EB">
              <w:rPr>
                <w:rFonts w:cs="Arial"/>
                <w:b/>
                <w:color w:val="008576"/>
                <w:sz w:val="80"/>
                <w:szCs w:val="80"/>
              </w:rPr>
              <w:t xml:space="preserve">DCP </w:t>
            </w:r>
            <w:r w:rsidR="006E7CA8">
              <w:rPr>
                <w:rFonts w:cs="Arial"/>
                <w:b/>
                <w:color w:val="008576"/>
                <w:sz w:val="80"/>
                <w:szCs w:val="80"/>
              </w:rPr>
              <w:t>40</w:t>
            </w:r>
            <w:r w:rsidR="00195160">
              <w:rPr>
                <w:rFonts w:cs="Arial"/>
                <w:b/>
                <w:color w:val="008576"/>
                <w:sz w:val="80"/>
                <w:szCs w:val="80"/>
              </w:rPr>
              <w:t>3</w:t>
            </w:r>
          </w:p>
          <w:p w14:paraId="10C619AE" w14:textId="15DBB1D5" w:rsidR="004525C1" w:rsidRPr="004525C1" w:rsidRDefault="00A77FCF" w:rsidP="004525C1">
            <w:pPr>
              <w:ind w:left="113" w:right="113"/>
              <w:rPr>
                <w:rFonts w:cs="Arial"/>
                <w:b/>
                <w:color w:val="008000"/>
                <w:sz w:val="48"/>
                <w:szCs w:val="48"/>
              </w:rPr>
            </w:pPr>
            <w:r w:rsidRPr="009456EB">
              <w:rPr>
                <w:rFonts w:cs="Arial"/>
                <w:b/>
                <w:color w:val="008000"/>
                <w:sz w:val="48"/>
                <w:szCs w:val="48"/>
              </w:rPr>
              <w:t xml:space="preserve">DCP </w:t>
            </w:r>
            <w:r w:rsidR="004525C1">
              <w:rPr>
                <w:rFonts w:cs="Arial"/>
                <w:b/>
                <w:color w:val="008000"/>
                <w:sz w:val="48"/>
                <w:szCs w:val="48"/>
              </w:rPr>
              <w:t xml:space="preserve">403 </w:t>
            </w:r>
            <w:r w:rsidRPr="009456EB">
              <w:rPr>
                <w:rFonts w:cs="Arial"/>
                <w:b/>
                <w:color w:val="008000"/>
                <w:sz w:val="48"/>
                <w:szCs w:val="48"/>
              </w:rPr>
              <w:t>Title</w:t>
            </w:r>
            <w:r w:rsidR="001B6C3E" w:rsidRPr="009456EB">
              <w:rPr>
                <w:rFonts w:cs="Arial"/>
                <w:b/>
                <w:color w:val="008000"/>
                <w:sz w:val="48"/>
                <w:szCs w:val="48"/>
              </w:rPr>
              <w:t>:</w:t>
            </w:r>
            <w:bookmarkStart w:id="0" w:name="_Hlk26361710"/>
            <w:r w:rsidR="006F2150">
              <w:rPr>
                <w:rFonts w:cs="Arial"/>
                <w:b/>
                <w:color w:val="008000"/>
                <w:sz w:val="48"/>
                <w:szCs w:val="48"/>
              </w:rPr>
              <w:t xml:space="preserve"> </w:t>
            </w:r>
            <w:r w:rsidR="004525C1" w:rsidRPr="004525C1">
              <w:rPr>
                <w:rFonts w:cs="Arial"/>
                <w:b/>
                <w:color w:val="008000"/>
                <w:sz w:val="48"/>
                <w:szCs w:val="48"/>
              </w:rPr>
              <w:t xml:space="preserve">Clarify the application of the </w:t>
            </w:r>
          </w:p>
          <w:p w14:paraId="666949B3" w14:textId="4DB4286A" w:rsidR="00D853AA" w:rsidRPr="00D853AA" w:rsidRDefault="004525C1" w:rsidP="004525C1">
            <w:pPr>
              <w:ind w:left="113" w:right="113"/>
              <w:rPr>
                <w:rFonts w:cs="Arial"/>
                <w:b/>
                <w:i/>
                <w:color w:val="008000"/>
                <w:sz w:val="48"/>
                <w:szCs w:val="48"/>
              </w:rPr>
            </w:pPr>
            <w:r w:rsidRPr="004525C1">
              <w:rPr>
                <w:rFonts w:cs="Arial"/>
                <w:b/>
                <w:color w:val="008000"/>
                <w:sz w:val="48"/>
                <w:szCs w:val="48"/>
              </w:rPr>
              <w:t>TCR fixed charge</w:t>
            </w:r>
            <w:r w:rsidR="006F2150">
              <w:rPr>
                <w:rFonts w:cs="Arial"/>
                <w:b/>
                <w:color w:val="008000"/>
                <w:sz w:val="48"/>
                <w:szCs w:val="48"/>
              </w:rPr>
              <w:t>.</w:t>
            </w:r>
          </w:p>
          <w:bookmarkEnd w:id="0"/>
          <w:p w14:paraId="703D4AF7" w14:textId="77777777" w:rsidR="00D853AA" w:rsidRDefault="00D853AA" w:rsidP="009456EB">
            <w:pPr>
              <w:ind w:left="113" w:right="113"/>
              <w:rPr>
                <w:rFonts w:cs="Arial"/>
                <w:i/>
                <w:color w:val="00B274"/>
                <w:sz w:val="24"/>
              </w:rPr>
            </w:pPr>
          </w:p>
          <w:p w14:paraId="7A71D7FE" w14:textId="2C596541" w:rsidR="006F19E3" w:rsidRPr="008667CC" w:rsidRDefault="00D853AA" w:rsidP="009456EB">
            <w:pPr>
              <w:ind w:left="113" w:right="113"/>
              <w:rPr>
                <w:rFonts w:cs="Arial"/>
                <w:i/>
                <w:color w:val="00B274"/>
                <w:sz w:val="24"/>
              </w:rPr>
            </w:pPr>
            <w:r w:rsidRPr="004155E5">
              <w:rPr>
                <w:rFonts w:cs="Arial"/>
                <w:i/>
                <w:color w:val="00B274"/>
                <w:sz w:val="24"/>
              </w:rPr>
              <w:t xml:space="preserve">Raised on the </w:t>
            </w:r>
            <w:r w:rsidR="00411E73">
              <w:rPr>
                <w:rFonts w:cs="Arial"/>
                <w:i/>
                <w:color w:val="00B274"/>
                <w:sz w:val="24"/>
              </w:rPr>
              <w:t>1</w:t>
            </w:r>
            <w:r w:rsidR="006F2150">
              <w:rPr>
                <w:rFonts w:cs="Arial"/>
                <w:i/>
                <w:color w:val="00B274"/>
                <w:sz w:val="24"/>
              </w:rPr>
              <w:t>4</w:t>
            </w:r>
            <w:r w:rsidRPr="004155E5">
              <w:rPr>
                <w:rFonts w:cs="Arial"/>
                <w:i/>
                <w:color w:val="00B274"/>
                <w:sz w:val="24"/>
              </w:rPr>
              <w:t xml:space="preserve"> </w:t>
            </w:r>
            <w:r w:rsidR="006F2150">
              <w:rPr>
                <w:rFonts w:cs="Arial"/>
                <w:i/>
                <w:color w:val="00B274"/>
                <w:sz w:val="24"/>
              </w:rPr>
              <w:t>April</w:t>
            </w:r>
            <w:r w:rsidRPr="004155E5">
              <w:rPr>
                <w:rFonts w:cs="Arial"/>
                <w:i/>
                <w:color w:val="00B274"/>
                <w:sz w:val="24"/>
              </w:rPr>
              <w:t xml:space="preserve"> 202</w:t>
            </w:r>
            <w:r w:rsidR="006E7CA8">
              <w:rPr>
                <w:rFonts w:cs="Arial"/>
                <w:i/>
                <w:color w:val="00B274"/>
                <w:sz w:val="24"/>
              </w:rPr>
              <w:t>2</w:t>
            </w:r>
            <w:r w:rsidRPr="004155E5">
              <w:rPr>
                <w:rFonts w:cs="Arial"/>
                <w:i/>
                <w:color w:val="00B274"/>
                <w:sz w:val="24"/>
              </w:rPr>
              <w:t xml:space="preserve"> as a</w:t>
            </w:r>
            <w:r w:rsidR="00A4044E">
              <w:rPr>
                <w:rFonts w:cs="Arial"/>
                <w:i/>
                <w:color w:val="00B274"/>
                <w:sz w:val="24"/>
              </w:rPr>
              <w:t xml:space="preserve">n Urgent </w:t>
            </w:r>
            <w:r w:rsidRPr="004155E5">
              <w:rPr>
                <w:rFonts w:cs="Arial"/>
                <w:i/>
                <w:color w:val="00B274"/>
                <w:sz w:val="24"/>
              </w:rPr>
              <w:t>Change</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0E1892" w:rsidRPr="00881D23" w14:paraId="292E78CF" w14:textId="77777777" w:rsidTr="000E1892">
              <w:trPr>
                <w:trHeight w:val="820"/>
              </w:trPr>
              <w:tc>
                <w:tcPr>
                  <w:tcW w:w="2075" w:type="dxa"/>
                  <w:shd w:val="clear" w:color="auto" w:fill="auto"/>
                  <w:vAlign w:val="center"/>
                </w:tcPr>
                <w:p w14:paraId="7C782B9F" w14:textId="77777777" w:rsidR="000E1892" w:rsidRPr="000E1892" w:rsidRDefault="000E1892" w:rsidP="002078E2">
                  <w:pPr>
                    <w:framePr w:hSpace="180" w:wrap="around" w:vAnchor="page" w:hAnchor="page" w:x="775" w:y="1474"/>
                    <w:spacing w:line="240" w:lineRule="auto"/>
                    <w:ind w:right="28"/>
                    <w:rPr>
                      <w:rFonts w:cs="Arial"/>
                      <w:b/>
                      <w:color w:val="00B274"/>
                      <w:szCs w:val="20"/>
                    </w:rPr>
                  </w:pPr>
                  <w:r w:rsidRPr="000E1892">
                    <w:rPr>
                      <w:rFonts w:cs="Arial"/>
                      <w:b/>
                      <w:color w:val="00B274"/>
                      <w:szCs w:val="20"/>
                    </w:rPr>
                    <w:t>01 – Change Proposal</w:t>
                  </w:r>
                </w:p>
              </w:tc>
            </w:tr>
            <w:tr w:rsidR="000E1892" w:rsidRPr="00881D23" w14:paraId="28ED4F27" w14:textId="77777777" w:rsidTr="001A1612">
              <w:trPr>
                <w:trHeight w:val="802"/>
              </w:trPr>
              <w:tc>
                <w:tcPr>
                  <w:tcW w:w="2075" w:type="dxa"/>
                  <w:shd w:val="clear" w:color="auto" w:fill="FFFFFF"/>
                  <w:vAlign w:val="center"/>
                </w:tcPr>
                <w:p w14:paraId="76DD7563" w14:textId="77777777" w:rsidR="000E1892" w:rsidRPr="00881D23" w:rsidRDefault="000E1892" w:rsidP="002078E2">
                  <w:pPr>
                    <w:framePr w:hSpace="180" w:wrap="around" w:vAnchor="page" w:hAnchor="page" w:x="775" w:y="1474"/>
                    <w:spacing w:line="240" w:lineRule="auto"/>
                    <w:ind w:right="28"/>
                    <w:rPr>
                      <w:rFonts w:cs="Arial"/>
                      <w:b/>
                      <w:color w:val="0096D7"/>
                      <w:szCs w:val="20"/>
                    </w:rPr>
                  </w:pPr>
                  <w:r w:rsidRPr="00881D23">
                    <w:rPr>
                      <w:rFonts w:cs="Arial"/>
                      <w:b/>
                      <w:color w:val="0096D7"/>
                      <w:szCs w:val="20"/>
                    </w:rPr>
                    <w:t xml:space="preserve">02 – </w:t>
                  </w:r>
                  <w:r>
                    <w:rPr>
                      <w:rFonts w:cs="Arial"/>
                      <w:b/>
                      <w:color w:val="0096D7"/>
                      <w:szCs w:val="20"/>
                    </w:rPr>
                    <w:t>Consultation</w:t>
                  </w:r>
                  <w:r w:rsidRPr="00881D23">
                    <w:rPr>
                      <w:rFonts w:cs="Arial"/>
                      <w:b/>
                      <w:color w:val="0096D7"/>
                      <w:szCs w:val="20"/>
                    </w:rPr>
                    <w:t xml:space="preserve"> </w:t>
                  </w:r>
                </w:p>
              </w:tc>
            </w:tr>
            <w:tr w:rsidR="000E1892" w:rsidRPr="00881D23" w14:paraId="7A2F7A55" w14:textId="77777777" w:rsidTr="000E1892">
              <w:trPr>
                <w:trHeight w:val="800"/>
              </w:trPr>
              <w:tc>
                <w:tcPr>
                  <w:tcW w:w="2075" w:type="dxa"/>
                  <w:shd w:val="clear" w:color="auto" w:fill="9A4D9E"/>
                  <w:vAlign w:val="center"/>
                </w:tcPr>
                <w:p w14:paraId="33024C22" w14:textId="77777777" w:rsidR="000E1892" w:rsidRPr="001A1612" w:rsidRDefault="000E1892" w:rsidP="002078E2">
                  <w:pPr>
                    <w:framePr w:hSpace="180" w:wrap="around" w:vAnchor="page" w:hAnchor="page" w:x="775" w:y="1474"/>
                    <w:spacing w:line="240" w:lineRule="auto"/>
                    <w:ind w:right="28"/>
                    <w:rPr>
                      <w:rFonts w:cs="Arial"/>
                      <w:b/>
                      <w:color w:val="FFFFFF"/>
                      <w:szCs w:val="20"/>
                    </w:rPr>
                  </w:pPr>
                  <w:r w:rsidRPr="001A1612">
                    <w:rPr>
                      <w:rFonts w:cs="Arial"/>
                      <w:b/>
                      <w:color w:val="FFFFFF"/>
                      <w:szCs w:val="20"/>
                    </w:rPr>
                    <w:t>03 –</w:t>
                  </w:r>
                  <w:r w:rsidR="00163588">
                    <w:rPr>
                      <w:rFonts w:cs="Arial"/>
                      <w:b/>
                      <w:color w:val="FFFFFF"/>
                      <w:szCs w:val="20"/>
                    </w:rPr>
                    <w:t xml:space="preserve"> </w:t>
                  </w:r>
                  <w:r w:rsidRPr="001A1612">
                    <w:rPr>
                      <w:rFonts w:cs="Arial"/>
                      <w:b/>
                      <w:color w:val="FFFFFF"/>
                      <w:szCs w:val="20"/>
                    </w:rPr>
                    <w:t>Change Report</w:t>
                  </w:r>
                </w:p>
              </w:tc>
            </w:tr>
            <w:tr w:rsidR="000E1892" w:rsidRPr="00881D23" w14:paraId="45D0C165" w14:textId="77777777" w:rsidTr="001A1612">
              <w:trPr>
                <w:trHeight w:val="795"/>
              </w:trPr>
              <w:tc>
                <w:tcPr>
                  <w:tcW w:w="2075" w:type="dxa"/>
                  <w:shd w:val="clear" w:color="auto" w:fill="FFFFFF"/>
                  <w:vAlign w:val="center"/>
                </w:tcPr>
                <w:p w14:paraId="0A7501BF" w14:textId="77777777" w:rsidR="000E1892" w:rsidRPr="00881D23" w:rsidRDefault="000E1892" w:rsidP="002078E2">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3A0F21">
                    <w:rPr>
                      <w:rFonts w:cs="Arial"/>
                      <w:b/>
                      <w:color w:val="F59114"/>
                      <w:szCs w:val="20"/>
                    </w:rPr>
                    <w:t>Change Declaration</w:t>
                  </w:r>
                  <w:r w:rsidR="00163588">
                    <w:rPr>
                      <w:rFonts w:cs="Arial"/>
                      <w:b/>
                      <w:color w:val="F59114"/>
                      <w:szCs w:val="20"/>
                    </w:rPr>
                    <w:t xml:space="preserve"> </w:t>
                  </w:r>
                </w:p>
              </w:tc>
            </w:tr>
          </w:tbl>
          <w:p w14:paraId="749824B1" w14:textId="77777777" w:rsidR="006F19E3" w:rsidRPr="00EB32BB" w:rsidRDefault="006F19E3" w:rsidP="00FE4A41">
            <w:pPr>
              <w:spacing w:line="240" w:lineRule="auto"/>
              <w:ind w:left="28" w:right="28"/>
              <w:rPr>
                <w:rFonts w:cs="Arial"/>
                <w:color w:val="008576"/>
                <w:szCs w:val="20"/>
              </w:rPr>
            </w:pPr>
          </w:p>
        </w:tc>
      </w:tr>
      <w:tr w:rsidR="006F19E3" w:rsidRPr="00EB32BB" w14:paraId="01AAA29B"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0F8DA271" w14:textId="77777777" w:rsidR="006F19E3" w:rsidRPr="007044BE" w:rsidRDefault="006F19E3" w:rsidP="006F19E3">
            <w:pPr>
              <w:pStyle w:val="BodyText2"/>
              <w:ind w:left="113" w:right="113"/>
              <w:rPr>
                <w:rFonts w:cs="Arial"/>
                <w:b/>
                <w:i/>
                <w:color w:val="00B274"/>
                <w:sz w:val="24"/>
              </w:rPr>
            </w:pPr>
            <w:r w:rsidRPr="007044BE">
              <w:rPr>
                <w:rFonts w:cs="Arial"/>
                <w:b/>
                <w:sz w:val="24"/>
              </w:rPr>
              <w:t xml:space="preserve">Purpose of </w:t>
            </w:r>
            <w:r w:rsidR="00A77FCF">
              <w:rPr>
                <w:rFonts w:cs="Arial"/>
                <w:b/>
                <w:sz w:val="24"/>
              </w:rPr>
              <w:t>Change Proposal</w:t>
            </w:r>
            <w:r w:rsidRPr="007044BE">
              <w:rPr>
                <w:rFonts w:cs="Arial"/>
                <w:b/>
                <w:sz w:val="24"/>
              </w:rPr>
              <w:t>:</w:t>
            </w:r>
            <w:r w:rsidRPr="007044BE">
              <w:rPr>
                <w:rFonts w:cs="Arial"/>
                <w:b/>
                <w:i/>
                <w:color w:val="00B274"/>
                <w:sz w:val="24"/>
              </w:rPr>
              <w:t xml:space="preserve"> </w:t>
            </w:r>
          </w:p>
          <w:p w14:paraId="479D8957" w14:textId="28903E12" w:rsidR="00502763" w:rsidRPr="0091742E" w:rsidRDefault="0091742E" w:rsidP="001021F6">
            <w:pPr>
              <w:ind w:left="113" w:right="113"/>
              <w:jc w:val="both"/>
              <w:rPr>
                <w:rFonts w:cs="Arial"/>
                <w:sz w:val="24"/>
              </w:rPr>
            </w:pPr>
            <w:r w:rsidRPr="0091742E">
              <w:rPr>
                <w:rFonts w:cs="Arial"/>
                <w:sz w:val="24"/>
              </w:rPr>
              <w:t>The intent of this change proposal is to ensure back</w:t>
            </w:r>
            <w:r w:rsidR="003C1B1D">
              <w:rPr>
                <w:rFonts w:cs="Arial"/>
                <w:sz w:val="24"/>
              </w:rPr>
              <w:t>-</w:t>
            </w:r>
            <w:r w:rsidRPr="0091742E">
              <w:rPr>
                <w:rFonts w:cs="Arial"/>
                <w:sz w:val="24"/>
              </w:rPr>
              <w:t xml:space="preserve">up connections do not pay the </w:t>
            </w:r>
            <w:proofErr w:type="spellStart"/>
            <w:r w:rsidRPr="0091742E">
              <w:rPr>
                <w:rFonts w:cs="Arial"/>
                <w:sz w:val="24"/>
              </w:rPr>
              <w:t>DUoS</w:t>
            </w:r>
            <w:proofErr w:type="spellEnd"/>
            <w:r w:rsidRPr="0091742E">
              <w:rPr>
                <w:rFonts w:cs="Arial"/>
                <w:sz w:val="24"/>
              </w:rPr>
              <w:t xml:space="preserve"> residual charge when it is already being paid for on another connection that relates to the same capacity.</w:t>
            </w:r>
          </w:p>
        </w:tc>
      </w:tr>
      <w:tr w:rsidR="006F19E3" w:rsidRPr="00EB32BB" w14:paraId="4D0B36F5" w14:textId="77777777" w:rsidTr="00927651">
        <w:trPr>
          <w:trHeight w:val="287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A2CB92D" w14:textId="71CE3B27" w:rsidR="006F19E3" w:rsidRPr="00EB32BB" w:rsidRDefault="008B547E" w:rsidP="006F19E3">
            <w:pPr>
              <w:ind w:firstLine="9"/>
              <w:jc w:val="center"/>
              <w:rPr>
                <w:rFonts w:cs="Arial"/>
              </w:rPr>
            </w:pPr>
            <w:r w:rsidRPr="00AF30A5">
              <w:rPr>
                <w:rFonts w:cs="Arial"/>
                <w:noProof/>
                <w:lang w:val="en-US" w:eastAsia="en-US"/>
              </w:rPr>
              <w:drawing>
                <wp:inline distT="0" distB="0" distL="0" distR="0" wp14:anchorId="2AB107B1" wp14:editId="41D3B4DC">
                  <wp:extent cx="468630" cy="468630"/>
                  <wp:effectExtent l="0" t="0" r="0" b="0"/>
                  <wp:docPr id="1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6863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70C8B4E9" w14:textId="2E8CEA67" w:rsidR="007A794B" w:rsidRPr="00AD36DF" w:rsidRDefault="007F41DB" w:rsidP="00B369AE">
            <w:pPr>
              <w:ind w:left="113" w:right="170"/>
              <w:jc w:val="both"/>
              <w:rPr>
                <w:sz w:val="24"/>
              </w:rPr>
            </w:pPr>
            <w:r w:rsidRPr="00AD36DF">
              <w:rPr>
                <w:sz w:val="24"/>
              </w:rPr>
              <w:t xml:space="preserve">This document is issued in accordance with Clause 11.20 of the DCUSA, and details </w:t>
            </w:r>
            <w:r w:rsidR="00845FD4" w:rsidRPr="00AD36DF">
              <w:rPr>
                <w:sz w:val="24"/>
              </w:rPr>
              <w:t xml:space="preserve">DCP </w:t>
            </w:r>
            <w:r w:rsidR="006E7CA8" w:rsidRPr="00AD36DF">
              <w:rPr>
                <w:sz w:val="24"/>
              </w:rPr>
              <w:t>40</w:t>
            </w:r>
            <w:r w:rsidR="00A4044E" w:rsidRPr="00AD36DF">
              <w:rPr>
                <w:sz w:val="24"/>
              </w:rPr>
              <w:t>3</w:t>
            </w:r>
            <w:r w:rsidR="00845FD4" w:rsidRPr="00AD36DF">
              <w:rPr>
                <w:sz w:val="24"/>
              </w:rPr>
              <w:t xml:space="preserve"> ‘</w:t>
            </w:r>
            <w:r w:rsidR="00B369AE" w:rsidRPr="00AD36DF">
              <w:rPr>
                <w:sz w:val="24"/>
              </w:rPr>
              <w:t xml:space="preserve"> Clarify the application of the TCR fixed charge</w:t>
            </w:r>
            <w:r w:rsidR="00845FD4" w:rsidRPr="00AD36DF">
              <w:rPr>
                <w:sz w:val="24"/>
              </w:rPr>
              <w:t xml:space="preserve">’ </w:t>
            </w:r>
            <w:r w:rsidR="007A794B" w:rsidRPr="00AD36DF">
              <w:rPr>
                <w:sz w:val="24"/>
              </w:rPr>
              <w:t xml:space="preserve">Parties are invited to consider the proposed amendment </w:t>
            </w:r>
            <w:r w:rsidR="007A794B" w:rsidRPr="00AD36DF">
              <w:rPr>
                <w:b/>
                <w:bCs/>
                <w:sz w:val="24"/>
              </w:rPr>
              <w:t>(</w:t>
            </w:r>
            <w:r w:rsidR="00AD36DF" w:rsidRPr="00AD36DF">
              <w:rPr>
                <w:b/>
                <w:bCs/>
                <w:sz w:val="24"/>
              </w:rPr>
              <w:t>a</w:t>
            </w:r>
            <w:r w:rsidR="007A794B" w:rsidRPr="00AD36DF">
              <w:rPr>
                <w:b/>
                <w:bCs/>
                <w:sz w:val="24"/>
              </w:rPr>
              <w:t>ttachment 1)</w:t>
            </w:r>
            <w:r w:rsidR="007A794B" w:rsidRPr="00AD36DF">
              <w:rPr>
                <w:sz w:val="24"/>
              </w:rPr>
              <w:t xml:space="preserve"> and submit their votes using the Voting form </w:t>
            </w:r>
            <w:r w:rsidR="007A794B" w:rsidRPr="00AD36DF">
              <w:rPr>
                <w:b/>
                <w:bCs/>
                <w:sz w:val="24"/>
              </w:rPr>
              <w:t>(</w:t>
            </w:r>
            <w:r w:rsidR="00AD36DF" w:rsidRPr="00AD36DF">
              <w:rPr>
                <w:b/>
                <w:bCs/>
                <w:sz w:val="24"/>
              </w:rPr>
              <w:t>a</w:t>
            </w:r>
            <w:r w:rsidR="007A794B" w:rsidRPr="00AD36DF">
              <w:rPr>
                <w:b/>
                <w:bCs/>
                <w:sz w:val="24"/>
              </w:rPr>
              <w:t>ttachment 2)</w:t>
            </w:r>
            <w:r w:rsidR="007A794B" w:rsidRPr="00AD36DF">
              <w:rPr>
                <w:sz w:val="24"/>
              </w:rPr>
              <w:t xml:space="preserve"> to </w:t>
            </w:r>
            <w:hyperlink r:id="rId9" w:history="1">
              <w:r w:rsidR="007A794B" w:rsidRPr="00AD36DF">
                <w:rPr>
                  <w:rStyle w:val="Hyperlink"/>
                  <w:sz w:val="24"/>
                </w:rPr>
                <w:t>dcusa@electralink.co.uk</w:t>
              </w:r>
            </w:hyperlink>
            <w:r w:rsidR="007A794B" w:rsidRPr="00AD36DF">
              <w:rPr>
                <w:sz w:val="24"/>
              </w:rPr>
              <w:t xml:space="preserve"> by </w:t>
            </w:r>
            <w:r w:rsidR="008B3F8D" w:rsidRPr="00AD36DF">
              <w:rPr>
                <w:sz w:val="24"/>
              </w:rPr>
              <w:t xml:space="preserve">09 </w:t>
            </w:r>
            <w:r w:rsidR="003002B2" w:rsidRPr="00AD36DF">
              <w:rPr>
                <w:sz w:val="24"/>
              </w:rPr>
              <w:t>December</w:t>
            </w:r>
            <w:r w:rsidR="00415742" w:rsidRPr="00AD36DF">
              <w:rPr>
                <w:sz w:val="24"/>
              </w:rPr>
              <w:t xml:space="preserve"> 2022. </w:t>
            </w:r>
          </w:p>
          <w:p w14:paraId="5ED13D01" w14:textId="77777777" w:rsidR="007A794B" w:rsidRPr="00AD36DF" w:rsidRDefault="007F41DB" w:rsidP="001021F6">
            <w:pPr>
              <w:ind w:left="113" w:right="170"/>
              <w:jc w:val="both"/>
              <w:rPr>
                <w:sz w:val="24"/>
              </w:rPr>
            </w:pPr>
            <w:r w:rsidRPr="00AD36DF">
              <w:rPr>
                <w:sz w:val="24"/>
              </w:rPr>
              <w:t>The voting process for the proposed variation and the timetable of the progression of the Change Proposal (CP) through the DCUSA Change Control Process is set out in this document.</w:t>
            </w:r>
            <w:r w:rsidR="007A794B" w:rsidRPr="00AD36DF">
              <w:rPr>
                <w:sz w:val="24"/>
              </w:rPr>
              <w:t xml:space="preserve"> </w:t>
            </w:r>
          </w:p>
          <w:p w14:paraId="1C1E2F59" w14:textId="77777777" w:rsidR="00D519A7" w:rsidRPr="008667CC" w:rsidRDefault="007A794B" w:rsidP="001021F6">
            <w:pPr>
              <w:ind w:left="113" w:right="170"/>
              <w:jc w:val="both"/>
              <w:rPr>
                <w:sz w:val="24"/>
              </w:rPr>
            </w:pPr>
            <w:r w:rsidRPr="00AD36DF">
              <w:rPr>
                <w:sz w:val="24"/>
              </w:rPr>
              <w:t xml:space="preserve">If you have any questions about this paper or the DCUSA Change </w:t>
            </w:r>
            <w:r w:rsidR="00597E76" w:rsidRPr="00AD36DF">
              <w:rPr>
                <w:sz w:val="24"/>
              </w:rPr>
              <w:t>Process,</w:t>
            </w:r>
            <w:r w:rsidRPr="00AD36DF">
              <w:rPr>
                <w:sz w:val="24"/>
              </w:rPr>
              <w:t xml:space="preserve"> please contact the DCUSA by email to dcusa@electralink.co.uk or telephone 020 7432 30</w:t>
            </w:r>
            <w:r w:rsidR="00597E76" w:rsidRPr="00AD36DF">
              <w:rPr>
                <w:sz w:val="24"/>
              </w:rPr>
              <w:t>11</w:t>
            </w:r>
            <w:r w:rsidRPr="00AD36DF">
              <w:rPr>
                <w:sz w:val="24"/>
              </w:rPr>
              <w:t>.</w:t>
            </w:r>
          </w:p>
        </w:tc>
      </w:tr>
      <w:tr w:rsidR="006F19E3" w:rsidRPr="00EB32BB" w14:paraId="778CDA68"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424835BD" w14:textId="0FCE2053" w:rsidR="006F19E3" w:rsidRPr="00EB32BB" w:rsidRDefault="008B547E" w:rsidP="006F19E3">
            <w:pPr>
              <w:spacing w:before="60" w:after="60"/>
              <w:ind w:firstLine="9"/>
              <w:jc w:val="center"/>
              <w:rPr>
                <w:rFonts w:cs="Arial"/>
              </w:rPr>
            </w:pPr>
            <w:r w:rsidRPr="00AF30A5">
              <w:rPr>
                <w:rFonts w:cs="Arial"/>
                <w:noProof/>
                <w:lang w:val="en-US" w:eastAsia="en-US"/>
              </w:rPr>
              <w:drawing>
                <wp:inline distT="0" distB="0" distL="0" distR="0" wp14:anchorId="6480DB2E" wp14:editId="63F381F9">
                  <wp:extent cx="468630" cy="468630"/>
                  <wp:effectExtent l="0" t="0" r="0" b="0"/>
                  <wp:docPr id="10"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6863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7425A3E" w14:textId="081A5A49" w:rsidR="006F19E3" w:rsidRPr="00277121" w:rsidRDefault="00277121" w:rsidP="001021F6">
            <w:pPr>
              <w:ind w:left="113" w:right="170"/>
              <w:jc w:val="both"/>
              <w:rPr>
                <w:sz w:val="24"/>
              </w:rPr>
            </w:pPr>
            <w:r w:rsidRPr="00277121">
              <w:rPr>
                <w:sz w:val="24"/>
              </w:rPr>
              <w:t>Parties Impacte</w:t>
            </w:r>
            <w:r w:rsidR="00D853AA">
              <w:rPr>
                <w:sz w:val="24"/>
              </w:rPr>
              <w:t>d</w:t>
            </w:r>
            <w:r w:rsidR="006E7CA8" w:rsidRPr="006E7CA8">
              <w:rPr>
                <w:sz w:val="24"/>
              </w:rPr>
              <w:t>: DNOs</w:t>
            </w:r>
            <w:r w:rsidR="003E2000">
              <w:rPr>
                <w:sz w:val="24"/>
              </w:rPr>
              <w:t>/</w:t>
            </w:r>
            <w:r w:rsidR="006E7CA8" w:rsidRPr="006E7CA8">
              <w:rPr>
                <w:sz w:val="24"/>
              </w:rPr>
              <w:t>IDNOs</w:t>
            </w:r>
            <w:r w:rsidR="003E2000">
              <w:rPr>
                <w:sz w:val="24"/>
              </w:rPr>
              <w:t>.</w:t>
            </w:r>
          </w:p>
        </w:tc>
      </w:tr>
      <w:tr w:rsidR="007A794B" w:rsidRPr="00EB32BB" w14:paraId="7025FE70"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71A3B878" w14:textId="6D7D54CD" w:rsidR="007A794B" w:rsidRPr="00EB32BB" w:rsidRDefault="008B547E" w:rsidP="007A794B">
            <w:pPr>
              <w:spacing w:before="60" w:after="60"/>
              <w:ind w:firstLine="9"/>
              <w:jc w:val="center"/>
              <w:rPr>
                <w:rFonts w:cs="Arial"/>
              </w:rPr>
            </w:pPr>
            <w:r w:rsidRPr="00AF30A5">
              <w:rPr>
                <w:rFonts w:cs="Arial"/>
                <w:noProof/>
                <w:lang w:val="en-US" w:eastAsia="en-US"/>
              </w:rPr>
              <w:drawing>
                <wp:inline distT="0" distB="0" distL="0" distR="0" wp14:anchorId="3E65514C" wp14:editId="7F1F43EA">
                  <wp:extent cx="468630" cy="468630"/>
                  <wp:effectExtent l="0" t="0" r="0" b="0"/>
                  <wp:docPr id="9"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6863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0E8DAFE" w14:textId="21D54791" w:rsidR="007A794B" w:rsidRPr="00EB32BB" w:rsidRDefault="007A794B" w:rsidP="001021F6">
            <w:pPr>
              <w:ind w:left="113" w:right="170"/>
              <w:jc w:val="both"/>
              <w:rPr>
                <w:rFonts w:cs="Arial"/>
              </w:rPr>
            </w:pPr>
            <w:r>
              <w:rPr>
                <w:sz w:val="24"/>
              </w:rPr>
              <w:t>Impacted Clauses:</w:t>
            </w:r>
            <w:r w:rsidR="00D853AA">
              <w:rPr>
                <w:sz w:val="24"/>
              </w:rPr>
              <w:t xml:space="preserve"> </w:t>
            </w:r>
            <w:r w:rsidR="006E7CA8" w:rsidRPr="006E7CA8">
              <w:rPr>
                <w:rFonts w:cs="Arial"/>
                <w:sz w:val="24"/>
              </w:rPr>
              <w:t xml:space="preserve">DCUSA Schedule </w:t>
            </w:r>
            <w:r w:rsidR="00A54FA4">
              <w:rPr>
                <w:rFonts w:cs="Arial"/>
                <w:sz w:val="24"/>
              </w:rPr>
              <w:t>32</w:t>
            </w:r>
            <w:r w:rsidR="006E7CA8">
              <w:rPr>
                <w:rFonts w:cs="Arial"/>
                <w:sz w:val="24"/>
              </w:rPr>
              <w:t>.</w:t>
            </w:r>
          </w:p>
        </w:tc>
      </w:tr>
    </w:tbl>
    <w:p w14:paraId="7C9F096B" w14:textId="77777777" w:rsidR="005079E0" w:rsidRPr="00EB32BB" w:rsidRDefault="005079E0" w:rsidP="005B378E">
      <w:pPr>
        <w:rPr>
          <w:rFonts w:cs="Arial"/>
        </w:rPr>
      </w:pPr>
    </w:p>
    <w:tbl>
      <w:tblPr>
        <w:tblW w:w="10207" w:type="dxa"/>
        <w:tblInd w:w="-176" w:type="dxa"/>
        <w:tblLayout w:type="fixed"/>
        <w:tblLook w:val="04A0" w:firstRow="1" w:lastRow="0" w:firstColumn="1" w:lastColumn="0" w:noHBand="0" w:noVBand="1"/>
      </w:tblPr>
      <w:tblGrid>
        <w:gridCol w:w="7968"/>
        <w:gridCol w:w="2239"/>
      </w:tblGrid>
      <w:tr w:rsidR="00F10E14" w:rsidRPr="00EB32BB" w14:paraId="3A873F52" w14:textId="77777777" w:rsidTr="00194176">
        <w:trPr>
          <w:trHeight w:val="617"/>
        </w:trPr>
        <w:tc>
          <w:tcPr>
            <w:tcW w:w="7968"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7C393C16" w14:textId="77777777" w:rsidR="00F10E14" w:rsidRPr="00EB32BB" w:rsidRDefault="00F10E14" w:rsidP="00B23506">
            <w:pPr>
              <w:pStyle w:val="Contents03"/>
              <w:rPr>
                <w:noProof/>
              </w:rPr>
            </w:pPr>
            <w:r w:rsidRPr="00EB32BB">
              <w:rPr>
                <w:noProof/>
              </w:rPr>
              <w:lastRenderedPageBreak/>
              <w:t>Contents</w:t>
            </w:r>
          </w:p>
          <w:p w14:paraId="3A6C5572" w14:textId="1824422F" w:rsidR="00527889" w:rsidRDefault="00527889" w:rsidP="00527889">
            <w:pPr>
              <w:pStyle w:val="TOC1"/>
              <w:framePr w:wrap="around"/>
              <w:rPr>
                <w:rFonts w:asciiTheme="minorHAnsi" w:eastAsiaTheme="minorEastAsia" w:hAnsiTheme="minorHAnsi" w:cstheme="minorBidi"/>
                <w:color w:val="auto"/>
                <w:sz w:val="22"/>
                <w:szCs w:val="22"/>
              </w:rPr>
            </w:pPr>
            <w:r>
              <w:fldChar w:fldCharType="begin"/>
            </w:r>
            <w:r>
              <w:instrText xml:space="preserve"> TOC \o "1-1" \h \z </w:instrText>
            </w:r>
            <w:r>
              <w:fldChar w:fldCharType="separate"/>
            </w:r>
            <w:hyperlink w:anchor="_Toc113465289" w:history="1">
              <w:r w:rsidRPr="008275E9">
                <w:rPr>
                  <w:rStyle w:val="Hyperlink"/>
                </w:rPr>
                <w:t>1</w:t>
              </w:r>
              <w:r>
                <w:rPr>
                  <w:rFonts w:asciiTheme="minorHAnsi" w:eastAsiaTheme="minorEastAsia" w:hAnsiTheme="minorHAnsi" w:cstheme="minorBidi"/>
                  <w:color w:val="auto"/>
                  <w:sz w:val="22"/>
                  <w:szCs w:val="22"/>
                </w:rPr>
                <w:tab/>
              </w:r>
              <w:r w:rsidRPr="008275E9">
                <w:rPr>
                  <w:rStyle w:val="Hyperlink"/>
                </w:rPr>
                <w:t>Executive Summary</w:t>
              </w:r>
              <w:r>
                <w:rPr>
                  <w:webHidden/>
                </w:rPr>
                <w:tab/>
              </w:r>
              <w:r>
                <w:rPr>
                  <w:webHidden/>
                </w:rPr>
                <w:fldChar w:fldCharType="begin"/>
              </w:r>
              <w:r>
                <w:rPr>
                  <w:webHidden/>
                </w:rPr>
                <w:instrText xml:space="preserve"> PAGEREF _Toc113465289 \h </w:instrText>
              </w:r>
              <w:r>
                <w:rPr>
                  <w:webHidden/>
                </w:rPr>
              </w:r>
              <w:r>
                <w:rPr>
                  <w:webHidden/>
                </w:rPr>
                <w:fldChar w:fldCharType="separate"/>
              </w:r>
              <w:r w:rsidR="00AD36DF">
                <w:rPr>
                  <w:webHidden/>
                </w:rPr>
                <w:t>3</w:t>
              </w:r>
              <w:r>
                <w:rPr>
                  <w:webHidden/>
                </w:rPr>
                <w:fldChar w:fldCharType="end"/>
              </w:r>
            </w:hyperlink>
          </w:p>
          <w:p w14:paraId="6916CA7B" w14:textId="55ED73D1" w:rsidR="00527889" w:rsidRDefault="002078E2" w:rsidP="00527889">
            <w:pPr>
              <w:pStyle w:val="TOC1"/>
              <w:framePr w:wrap="around"/>
              <w:rPr>
                <w:rFonts w:asciiTheme="minorHAnsi" w:eastAsiaTheme="minorEastAsia" w:hAnsiTheme="minorHAnsi" w:cstheme="minorBidi"/>
                <w:color w:val="auto"/>
                <w:sz w:val="22"/>
                <w:szCs w:val="22"/>
              </w:rPr>
            </w:pPr>
            <w:hyperlink w:anchor="_Toc113465290" w:history="1">
              <w:r w:rsidR="00527889" w:rsidRPr="008275E9">
                <w:rPr>
                  <w:rStyle w:val="Hyperlink"/>
                </w:rPr>
                <w:t>2</w:t>
              </w:r>
              <w:r w:rsidR="00527889">
                <w:rPr>
                  <w:rFonts w:asciiTheme="minorHAnsi" w:eastAsiaTheme="minorEastAsia" w:hAnsiTheme="minorHAnsi" w:cstheme="minorBidi"/>
                  <w:color w:val="auto"/>
                  <w:sz w:val="22"/>
                  <w:szCs w:val="22"/>
                </w:rPr>
                <w:tab/>
              </w:r>
              <w:r w:rsidR="00527889" w:rsidRPr="008275E9">
                <w:rPr>
                  <w:rStyle w:val="Hyperlink"/>
                </w:rPr>
                <w:t>Governance</w:t>
              </w:r>
              <w:r w:rsidR="00527889">
                <w:rPr>
                  <w:webHidden/>
                </w:rPr>
                <w:tab/>
              </w:r>
              <w:r w:rsidR="00527889">
                <w:rPr>
                  <w:webHidden/>
                </w:rPr>
                <w:fldChar w:fldCharType="begin"/>
              </w:r>
              <w:r w:rsidR="00527889">
                <w:rPr>
                  <w:webHidden/>
                </w:rPr>
                <w:instrText xml:space="preserve"> PAGEREF _Toc113465290 \h </w:instrText>
              </w:r>
              <w:r w:rsidR="00527889">
                <w:rPr>
                  <w:webHidden/>
                </w:rPr>
              </w:r>
              <w:r w:rsidR="00527889">
                <w:rPr>
                  <w:webHidden/>
                </w:rPr>
                <w:fldChar w:fldCharType="separate"/>
              </w:r>
              <w:r w:rsidR="00AD36DF">
                <w:rPr>
                  <w:webHidden/>
                </w:rPr>
                <w:t>4</w:t>
              </w:r>
              <w:r w:rsidR="00527889">
                <w:rPr>
                  <w:webHidden/>
                </w:rPr>
                <w:fldChar w:fldCharType="end"/>
              </w:r>
            </w:hyperlink>
          </w:p>
          <w:p w14:paraId="2A62C93F" w14:textId="1D3B605E" w:rsidR="00527889" w:rsidRDefault="002078E2" w:rsidP="00527889">
            <w:pPr>
              <w:pStyle w:val="TOC1"/>
              <w:framePr w:wrap="around"/>
              <w:rPr>
                <w:rFonts w:asciiTheme="minorHAnsi" w:eastAsiaTheme="minorEastAsia" w:hAnsiTheme="minorHAnsi" w:cstheme="minorBidi"/>
                <w:color w:val="auto"/>
                <w:sz w:val="22"/>
                <w:szCs w:val="22"/>
              </w:rPr>
            </w:pPr>
            <w:hyperlink w:anchor="_Toc113465291" w:history="1">
              <w:r w:rsidR="00527889" w:rsidRPr="008275E9">
                <w:rPr>
                  <w:rStyle w:val="Hyperlink"/>
                </w:rPr>
                <w:t>3</w:t>
              </w:r>
              <w:r w:rsidR="00527889">
                <w:rPr>
                  <w:rFonts w:asciiTheme="minorHAnsi" w:eastAsiaTheme="minorEastAsia" w:hAnsiTheme="minorHAnsi" w:cstheme="minorBidi"/>
                  <w:color w:val="auto"/>
                  <w:sz w:val="22"/>
                  <w:szCs w:val="22"/>
                </w:rPr>
                <w:tab/>
              </w:r>
              <w:r w:rsidR="00527889" w:rsidRPr="008275E9">
                <w:rPr>
                  <w:rStyle w:val="Hyperlink"/>
                </w:rPr>
                <w:t>Why Change?</w:t>
              </w:r>
              <w:r w:rsidR="00527889">
                <w:rPr>
                  <w:webHidden/>
                </w:rPr>
                <w:tab/>
              </w:r>
              <w:r w:rsidR="00527889">
                <w:rPr>
                  <w:webHidden/>
                </w:rPr>
                <w:fldChar w:fldCharType="begin"/>
              </w:r>
              <w:r w:rsidR="00527889">
                <w:rPr>
                  <w:webHidden/>
                </w:rPr>
                <w:instrText xml:space="preserve"> PAGEREF _Toc113465291 \h </w:instrText>
              </w:r>
              <w:r w:rsidR="00527889">
                <w:rPr>
                  <w:webHidden/>
                </w:rPr>
              </w:r>
              <w:r w:rsidR="00527889">
                <w:rPr>
                  <w:webHidden/>
                </w:rPr>
                <w:fldChar w:fldCharType="separate"/>
              </w:r>
              <w:r w:rsidR="00AD36DF">
                <w:rPr>
                  <w:webHidden/>
                </w:rPr>
                <w:t>4</w:t>
              </w:r>
              <w:r w:rsidR="00527889">
                <w:rPr>
                  <w:webHidden/>
                </w:rPr>
                <w:fldChar w:fldCharType="end"/>
              </w:r>
            </w:hyperlink>
          </w:p>
          <w:p w14:paraId="2ACF3354" w14:textId="570352FF" w:rsidR="00527889" w:rsidRDefault="002078E2" w:rsidP="00527889">
            <w:pPr>
              <w:pStyle w:val="TOC1"/>
              <w:framePr w:wrap="around"/>
              <w:rPr>
                <w:rFonts w:asciiTheme="minorHAnsi" w:eastAsiaTheme="minorEastAsia" w:hAnsiTheme="minorHAnsi" w:cstheme="minorBidi"/>
                <w:color w:val="auto"/>
                <w:sz w:val="22"/>
                <w:szCs w:val="22"/>
              </w:rPr>
            </w:pPr>
            <w:hyperlink w:anchor="_Toc113465292" w:history="1">
              <w:r w:rsidR="00527889" w:rsidRPr="008275E9">
                <w:rPr>
                  <w:rStyle w:val="Hyperlink"/>
                </w:rPr>
                <w:t>4</w:t>
              </w:r>
              <w:r w:rsidR="00527889">
                <w:rPr>
                  <w:rFonts w:asciiTheme="minorHAnsi" w:eastAsiaTheme="minorEastAsia" w:hAnsiTheme="minorHAnsi" w:cstheme="minorBidi"/>
                  <w:color w:val="auto"/>
                  <w:sz w:val="22"/>
                  <w:szCs w:val="22"/>
                </w:rPr>
                <w:tab/>
              </w:r>
              <w:r w:rsidR="00527889" w:rsidRPr="008275E9">
                <w:rPr>
                  <w:rStyle w:val="Hyperlink"/>
                </w:rPr>
                <w:t>DCP 40</w:t>
              </w:r>
              <w:r w:rsidR="00E06253">
                <w:rPr>
                  <w:rStyle w:val="Hyperlink"/>
                </w:rPr>
                <w:t>3</w:t>
              </w:r>
              <w:r w:rsidR="00527889" w:rsidRPr="008275E9">
                <w:rPr>
                  <w:rStyle w:val="Hyperlink"/>
                </w:rPr>
                <w:t xml:space="preserve"> Working Group Assessment</w:t>
              </w:r>
              <w:r w:rsidR="00527889">
                <w:rPr>
                  <w:webHidden/>
                </w:rPr>
                <w:tab/>
              </w:r>
              <w:r w:rsidR="00527889">
                <w:rPr>
                  <w:webHidden/>
                </w:rPr>
                <w:fldChar w:fldCharType="begin"/>
              </w:r>
              <w:r w:rsidR="00527889">
                <w:rPr>
                  <w:webHidden/>
                </w:rPr>
                <w:instrText xml:space="preserve"> PAGEREF _Toc113465292 \h </w:instrText>
              </w:r>
              <w:r w:rsidR="00527889">
                <w:rPr>
                  <w:webHidden/>
                </w:rPr>
              </w:r>
              <w:r w:rsidR="00527889">
                <w:rPr>
                  <w:webHidden/>
                </w:rPr>
                <w:fldChar w:fldCharType="separate"/>
              </w:r>
              <w:r w:rsidR="00AD36DF">
                <w:rPr>
                  <w:webHidden/>
                </w:rPr>
                <w:t>5</w:t>
              </w:r>
              <w:r w:rsidR="00527889">
                <w:rPr>
                  <w:webHidden/>
                </w:rPr>
                <w:fldChar w:fldCharType="end"/>
              </w:r>
            </w:hyperlink>
          </w:p>
          <w:p w14:paraId="69F0F541" w14:textId="03203848" w:rsidR="00527889" w:rsidRDefault="002078E2" w:rsidP="00527889">
            <w:pPr>
              <w:pStyle w:val="TOC1"/>
              <w:framePr w:wrap="around"/>
              <w:rPr>
                <w:rFonts w:asciiTheme="minorHAnsi" w:eastAsiaTheme="minorEastAsia" w:hAnsiTheme="minorHAnsi" w:cstheme="minorBidi"/>
                <w:color w:val="auto"/>
                <w:sz w:val="22"/>
                <w:szCs w:val="22"/>
              </w:rPr>
            </w:pPr>
            <w:hyperlink w:anchor="_Toc113465293" w:history="1">
              <w:r w:rsidR="00527889" w:rsidRPr="008275E9">
                <w:rPr>
                  <w:rStyle w:val="Hyperlink"/>
                </w:rPr>
                <w:t>5</w:t>
              </w:r>
              <w:r w:rsidR="00527889">
                <w:rPr>
                  <w:rFonts w:asciiTheme="minorHAnsi" w:eastAsiaTheme="minorEastAsia" w:hAnsiTheme="minorHAnsi" w:cstheme="minorBidi"/>
                  <w:color w:val="auto"/>
                  <w:sz w:val="22"/>
                  <w:szCs w:val="22"/>
                </w:rPr>
                <w:tab/>
              </w:r>
              <w:r w:rsidR="00527889" w:rsidRPr="008275E9">
                <w:rPr>
                  <w:rStyle w:val="Hyperlink"/>
                </w:rPr>
                <w:t>DCP 40</w:t>
              </w:r>
              <w:r w:rsidR="00E06253">
                <w:rPr>
                  <w:rStyle w:val="Hyperlink"/>
                </w:rPr>
                <w:t>3</w:t>
              </w:r>
              <w:r w:rsidR="00527889" w:rsidRPr="008275E9">
                <w:rPr>
                  <w:rStyle w:val="Hyperlink"/>
                </w:rPr>
                <w:t xml:space="preserve"> Consultation</w:t>
              </w:r>
              <w:r w:rsidR="00527889">
                <w:rPr>
                  <w:webHidden/>
                </w:rPr>
                <w:tab/>
              </w:r>
              <w:r w:rsidR="00527889">
                <w:rPr>
                  <w:webHidden/>
                </w:rPr>
                <w:fldChar w:fldCharType="begin"/>
              </w:r>
              <w:r w:rsidR="00527889">
                <w:rPr>
                  <w:webHidden/>
                </w:rPr>
                <w:instrText xml:space="preserve"> PAGEREF _Toc113465293 \h </w:instrText>
              </w:r>
              <w:r w:rsidR="00527889">
                <w:rPr>
                  <w:webHidden/>
                </w:rPr>
              </w:r>
              <w:r w:rsidR="00527889">
                <w:rPr>
                  <w:webHidden/>
                </w:rPr>
                <w:fldChar w:fldCharType="separate"/>
              </w:r>
              <w:r w:rsidR="00AD36DF">
                <w:rPr>
                  <w:webHidden/>
                </w:rPr>
                <w:t>9</w:t>
              </w:r>
              <w:r w:rsidR="00527889">
                <w:rPr>
                  <w:webHidden/>
                </w:rPr>
                <w:fldChar w:fldCharType="end"/>
              </w:r>
            </w:hyperlink>
          </w:p>
          <w:p w14:paraId="5BFDB35A" w14:textId="75FC0CB8" w:rsidR="00527889" w:rsidRDefault="002078E2" w:rsidP="00527889">
            <w:pPr>
              <w:pStyle w:val="TOC1"/>
              <w:framePr w:wrap="around"/>
              <w:rPr>
                <w:rFonts w:asciiTheme="minorHAnsi" w:eastAsiaTheme="minorEastAsia" w:hAnsiTheme="minorHAnsi" w:cstheme="minorBidi"/>
                <w:color w:val="auto"/>
                <w:sz w:val="22"/>
                <w:szCs w:val="22"/>
              </w:rPr>
            </w:pPr>
            <w:hyperlink w:anchor="_Toc113465294" w:history="1">
              <w:r w:rsidR="00527889" w:rsidRPr="008275E9">
                <w:rPr>
                  <w:rStyle w:val="Hyperlink"/>
                </w:rPr>
                <w:t>6</w:t>
              </w:r>
              <w:r w:rsidR="00527889">
                <w:rPr>
                  <w:rFonts w:asciiTheme="minorHAnsi" w:eastAsiaTheme="minorEastAsia" w:hAnsiTheme="minorHAnsi" w:cstheme="minorBidi"/>
                  <w:color w:val="auto"/>
                  <w:sz w:val="22"/>
                  <w:szCs w:val="22"/>
                </w:rPr>
                <w:tab/>
              </w:r>
              <w:r w:rsidR="00527889" w:rsidRPr="008275E9">
                <w:rPr>
                  <w:rStyle w:val="Hyperlink"/>
                </w:rPr>
                <w:t>Working Group Conclusions &amp; Final Solution</w:t>
              </w:r>
              <w:r w:rsidR="00527889">
                <w:rPr>
                  <w:webHidden/>
                </w:rPr>
                <w:tab/>
              </w:r>
              <w:r w:rsidR="00527889">
                <w:rPr>
                  <w:webHidden/>
                </w:rPr>
                <w:fldChar w:fldCharType="begin"/>
              </w:r>
              <w:r w:rsidR="00527889">
                <w:rPr>
                  <w:webHidden/>
                </w:rPr>
                <w:instrText xml:space="preserve"> PAGEREF _Toc113465294 \h </w:instrText>
              </w:r>
              <w:r w:rsidR="00527889">
                <w:rPr>
                  <w:webHidden/>
                </w:rPr>
              </w:r>
              <w:r w:rsidR="00527889">
                <w:rPr>
                  <w:webHidden/>
                </w:rPr>
                <w:fldChar w:fldCharType="separate"/>
              </w:r>
              <w:r w:rsidR="00AD36DF">
                <w:rPr>
                  <w:webHidden/>
                </w:rPr>
                <w:t>13</w:t>
              </w:r>
              <w:r w:rsidR="00527889">
                <w:rPr>
                  <w:webHidden/>
                </w:rPr>
                <w:fldChar w:fldCharType="end"/>
              </w:r>
            </w:hyperlink>
          </w:p>
          <w:p w14:paraId="2ED65D63" w14:textId="2A1A1833" w:rsidR="00527889" w:rsidRDefault="002078E2" w:rsidP="00527889">
            <w:pPr>
              <w:pStyle w:val="TOC1"/>
              <w:framePr w:wrap="around"/>
              <w:rPr>
                <w:rFonts w:asciiTheme="minorHAnsi" w:eastAsiaTheme="minorEastAsia" w:hAnsiTheme="minorHAnsi" w:cstheme="minorBidi"/>
                <w:color w:val="auto"/>
                <w:sz w:val="22"/>
                <w:szCs w:val="22"/>
              </w:rPr>
            </w:pPr>
            <w:hyperlink w:anchor="_Toc113465295" w:history="1">
              <w:r w:rsidR="00527889" w:rsidRPr="008275E9">
                <w:rPr>
                  <w:rStyle w:val="Hyperlink"/>
                </w:rPr>
                <w:t>7</w:t>
              </w:r>
              <w:r w:rsidR="00527889">
                <w:rPr>
                  <w:rFonts w:asciiTheme="minorHAnsi" w:eastAsiaTheme="minorEastAsia" w:hAnsiTheme="minorHAnsi" w:cstheme="minorBidi"/>
                  <w:color w:val="auto"/>
                  <w:sz w:val="22"/>
                  <w:szCs w:val="22"/>
                </w:rPr>
                <w:tab/>
              </w:r>
              <w:r w:rsidR="00527889" w:rsidRPr="008275E9">
                <w:rPr>
                  <w:rStyle w:val="Hyperlink"/>
                </w:rPr>
                <w:t>Relevant Objectives</w:t>
              </w:r>
              <w:r w:rsidR="00527889">
                <w:rPr>
                  <w:webHidden/>
                </w:rPr>
                <w:tab/>
              </w:r>
              <w:r w:rsidR="00527889">
                <w:rPr>
                  <w:webHidden/>
                </w:rPr>
                <w:fldChar w:fldCharType="begin"/>
              </w:r>
              <w:r w:rsidR="00527889">
                <w:rPr>
                  <w:webHidden/>
                </w:rPr>
                <w:instrText xml:space="preserve"> PAGEREF _Toc113465295 \h </w:instrText>
              </w:r>
              <w:r w:rsidR="00527889">
                <w:rPr>
                  <w:webHidden/>
                </w:rPr>
              </w:r>
              <w:r w:rsidR="00527889">
                <w:rPr>
                  <w:webHidden/>
                </w:rPr>
                <w:fldChar w:fldCharType="separate"/>
              </w:r>
              <w:r w:rsidR="00AD36DF">
                <w:rPr>
                  <w:webHidden/>
                </w:rPr>
                <w:t>14</w:t>
              </w:r>
              <w:r w:rsidR="00527889">
                <w:rPr>
                  <w:webHidden/>
                </w:rPr>
                <w:fldChar w:fldCharType="end"/>
              </w:r>
            </w:hyperlink>
          </w:p>
          <w:p w14:paraId="70C962B3" w14:textId="34B23A20" w:rsidR="00527889" w:rsidRDefault="002078E2" w:rsidP="00527889">
            <w:pPr>
              <w:pStyle w:val="TOC1"/>
              <w:framePr w:wrap="around"/>
              <w:rPr>
                <w:rFonts w:asciiTheme="minorHAnsi" w:eastAsiaTheme="minorEastAsia" w:hAnsiTheme="minorHAnsi" w:cstheme="minorBidi"/>
                <w:color w:val="auto"/>
                <w:sz w:val="22"/>
                <w:szCs w:val="22"/>
              </w:rPr>
            </w:pPr>
            <w:hyperlink w:anchor="_Toc113465296" w:history="1">
              <w:r w:rsidR="00527889" w:rsidRPr="008275E9">
                <w:rPr>
                  <w:rStyle w:val="Hyperlink"/>
                </w:rPr>
                <w:t>8</w:t>
              </w:r>
              <w:r w:rsidR="00527889">
                <w:rPr>
                  <w:rFonts w:asciiTheme="minorHAnsi" w:eastAsiaTheme="minorEastAsia" w:hAnsiTheme="minorHAnsi" w:cstheme="minorBidi"/>
                  <w:color w:val="auto"/>
                  <w:sz w:val="22"/>
                  <w:szCs w:val="22"/>
                </w:rPr>
                <w:tab/>
              </w:r>
              <w:r w:rsidR="00527889" w:rsidRPr="008275E9">
                <w:rPr>
                  <w:rStyle w:val="Hyperlink"/>
                </w:rPr>
                <w:t>Impacts &amp; Other Considerations</w:t>
              </w:r>
              <w:r w:rsidR="00527889">
                <w:rPr>
                  <w:webHidden/>
                </w:rPr>
                <w:tab/>
              </w:r>
              <w:r w:rsidR="00527889">
                <w:rPr>
                  <w:webHidden/>
                </w:rPr>
                <w:fldChar w:fldCharType="begin"/>
              </w:r>
              <w:r w:rsidR="00527889">
                <w:rPr>
                  <w:webHidden/>
                </w:rPr>
                <w:instrText xml:space="preserve"> PAGEREF _Toc113465296 \h </w:instrText>
              </w:r>
              <w:r w:rsidR="00527889">
                <w:rPr>
                  <w:webHidden/>
                </w:rPr>
              </w:r>
              <w:r w:rsidR="00527889">
                <w:rPr>
                  <w:webHidden/>
                </w:rPr>
                <w:fldChar w:fldCharType="separate"/>
              </w:r>
              <w:r w:rsidR="00AD36DF">
                <w:rPr>
                  <w:webHidden/>
                </w:rPr>
                <w:t>15</w:t>
              </w:r>
              <w:r w:rsidR="00527889">
                <w:rPr>
                  <w:webHidden/>
                </w:rPr>
                <w:fldChar w:fldCharType="end"/>
              </w:r>
            </w:hyperlink>
          </w:p>
          <w:p w14:paraId="78DC4EA8" w14:textId="48EF8B9A" w:rsidR="00527889" w:rsidRDefault="002078E2" w:rsidP="00527889">
            <w:pPr>
              <w:pStyle w:val="TOC1"/>
              <w:framePr w:wrap="around"/>
              <w:rPr>
                <w:rFonts w:asciiTheme="minorHAnsi" w:eastAsiaTheme="minorEastAsia" w:hAnsiTheme="minorHAnsi" w:cstheme="minorBidi"/>
                <w:color w:val="auto"/>
                <w:sz w:val="22"/>
                <w:szCs w:val="22"/>
              </w:rPr>
            </w:pPr>
            <w:hyperlink w:anchor="_Toc113465297" w:history="1">
              <w:r w:rsidR="00527889" w:rsidRPr="008275E9">
                <w:rPr>
                  <w:rStyle w:val="Hyperlink"/>
                </w:rPr>
                <w:t>9</w:t>
              </w:r>
              <w:r w:rsidR="00527889">
                <w:rPr>
                  <w:rFonts w:asciiTheme="minorHAnsi" w:eastAsiaTheme="minorEastAsia" w:hAnsiTheme="minorHAnsi" w:cstheme="minorBidi"/>
                  <w:color w:val="auto"/>
                  <w:sz w:val="22"/>
                  <w:szCs w:val="22"/>
                </w:rPr>
                <w:tab/>
              </w:r>
              <w:r w:rsidR="00527889" w:rsidRPr="008275E9">
                <w:rPr>
                  <w:rStyle w:val="Hyperlink"/>
                </w:rPr>
                <w:t>Implementation</w:t>
              </w:r>
              <w:r w:rsidR="00527889">
                <w:rPr>
                  <w:webHidden/>
                </w:rPr>
                <w:tab/>
              </w:r>
              <w:r w:rsidR="00527889">
                <w:rPr>
                  <w:webHidden/>
                </w:rPr>
                <w:fldChar w:fldCharType="begin"/>
              </w:r>
              <w:r w:rsidR="00527889">
                <w:rPr>
                  <w:webHidden/>
                </w:rPr>
                <w:instrText xml:space="preserve"> PAGEREF _Toc113465297 \h </w:instrText>
              </w:r>
              <w:r w:rsidR="00527889">
                <w:rPr>
                  <w:webHidden/>
                </w:rPr>
              </w:r>
              <w:r w:rsidR="00527889">
                <w:rPr>
                  <w:webHidden/>
                </w:rPr>
                <w:fldChar w:fldCharType="separate"/>
              </w:r>
              <w:r w:rsidR="00AD36DF">
                <w:rPr>
                  <w:webHidden/>
                </w:rPr>
                <w:t>16</w:t>
              </w:r>
              <w:r w:rsidR="00527889">
                <w:rPr>
                  <w:webHidden/>
                </w:rPr>
                <w:fldChar w:fldCharType="end"/>
              </w:r>
            </w:hyperlink>
          </w:p>
          <w:p w14:paraId="36C276F2" w14:textId="1F5B49B8" w:rsidR="00527889" w:rsidRDefault="002078E2" w:rsidP="00527889">
            <w:pPr>
              <w:pStyle w:val="TOC1"/>
              <w:framePr w:wrap="around"/>
              <w:rPr>
                <w:rFonts w:asciiTheme="minorHAnsi" w:eastAsiaTheme="minorEastAsia" w:hAnsiTheme="minorHAnsi" w:cstheme="minorBidi"/>
                <w:color w:val="auto"/>
                <w:sz w:val="22"/>
                <w:szCs w:val="22"/>
              </w:rPr>
            </w:pPr>
            <w:hyperlink w:anchor="_Toc113465298" w:history="1">
              <w:r w:rsidR="00527889" w:rsidRPr="008275E9">
                <w:rPr>
                  <w:rStyle w:val="Hyperlink"/>
                </w:rPr>
                <w:t>10</w:t>
              </w:r>
              <w:r w:rsidR="00527889">
                <w:rPr>
                  <w:rFonts w:asciiTheme="minorHAnsi" w:eastAsiaTheme="minorEastAsia" w:hAnsiTheme="minorHAnsi" w:cstheme="minorBidi"/>
                  <w:color w:val="auto"/>
                  <w:sz w:val="22"/>
                  <w:szCs w:val="22"/>
                </w:rPr>
                <w:tab/>
              </w:r>
              <w:r w:rsidR="00527889" w:rsidRPr="008275E9">
                <w:rPr>
                  <w:rStyle w:val="Hyperlink"/>
                </w:rPr>
                <w:t>Legal Text</w:t>
              </w:r>
              <w:r w:rsidR="00527889">
                <w:rPr>
                  <w:webHidden/>
                </w:rPr>
                <w:tab/>
              </w:r>
              <w:r w:rsidR="00527889">
                <w:rPr>
                  <w:webHidden/>
                </w:rPr>
                <w:fldChar w:fldCharType="begin"/>
              </w:r>
              <w:r w:rsidR="00527889">
                <w:rPr>
                  <w:webHidden/>
                </w:rPr>
                <w:instrText xml:space="preserve"> PAGEREF _Toc113465298 \h </w:instrText>
              </w:r>
              <w:r w:rsidR="00527889">
                <w:rPr>
                  <w:webHidden/>
                </w:rPr>
              </w:r>
              <w:r w:rsidR="00527889">
                <w:rPr>
                  <w:webHidden/>
                </w:rPr>
                <w:fldChar w:fldCharType="separate"/>
              </w:r>
              <w:r w:rsidR="00AD36DF">
                <w:rPr>
                  <w:webHidden/>
                </w:rPr>
                <w:t>16</w:t>
              </w:r>
              <w:r w:rsidR="00527889">
                <w:rPr>
                  <w:webHidden/>
                </w:rPr>
                <w:fldChar w:fldCharType="end"/>
              </w:r>
            </w:hyperlink>
          </w:p>
          <w:p w14:paraId="5D59FBC0" w14:textId="70A99830" w:rsidR="00527889" w:rsidRDefault="002078E2" w:rsidP="00527889">
            <w:pPr>
              <w:pStyle w:val="TOC1"/>
              <w:framePr w:wrap="around"/>
              <w:rPr>
                <w:rFonts w:asciiTheme="minorHAnsi" w:eastAsiaTheme="minorEastAsia" w:hAnsiTheme="minorHAnsi" w:cstheme="minorBidi"/>
                <w:color w:val="auto"/>
                <w:sz w:val="22"/>
                <w:szCs w:val="22"/>
              </w:rPr>
            </w:pPr>
            <w:hyperlink w:anchor="_Toc113465299" w:history="1">
              <w:r w:rsidR="00527889" w:rsidRPr="008275E9">
                <w:rPr>
                  <w:rStyle w:val="Hyperlink"/>
                </w:rPr>
                <w:t>11</w:t>
              </w:r>
              <w:r w:rsidR="00527889">
                <w:rPr>
                  <w:rFonts w:asciiTheme="minorHAnsi" w:eastAsiaTheme="minorEastAsia" w:hAnsiTheme="minorHAnsi" w:cstheme="minorBidi"/>
                  <w:color w:val="auto"/>
                  <w:sz w:val="22"/>
                  <w:szCs w:val="22"/>
                </w:rPr>
                <w:tab/>
              </w:r>
              <w:r w:rsidR="00527889" w:rsidRPr="008275E9">
                <w:rPr>
                  <w:rStyle w:val="Hyperlink"/>
                </w:rPr>
                <w:t>Code Specific Matters</w:t>
              </w:r>
              <w:r w:rsidR="00527889">
                <w:rPr>
                  <w:webHidden/>
                </w:rPr>
                <w:tab/>
              </w:r>
              <w:r w:rsidR="00527889">
                <w:rPr>
                  <w:webHidden/>
                </w:rPr>
                <w:fldChar w:fldCharType="begin"/>
              </w:r>
              <w:r w:rsidR="00527889">
                <w:rPr>
                  <w:webHidden/>
                </w:rPr>
                <w:instrText xml:space="preserve"> PAGEREF _Toc113465299 \h </w:instrText>
              </w:r>
              <w:r w:rsidR="00527889">
                <w:rPr>
                  <w:webHidden/>
                </w:rPr>
              </w:r>
              <w:r w:rsidR="00527889">
                <w:rPr>
                  <w:webHidden/>
                </w:rPr>
                <w:fldChar w:fldCharType="separate"/>
              </w:r>
              <w:r w:rsidR="00AD36DF">
                <w:rPr>
                  <w:webHidden/>
                </w:rPr>
                <w:t>16</w:t>
              </w:r>
              <w:r w:rsidR="00527889">
                <w:rPr>
                  <w:webHidden/>
                </w:rPr>
                <w:fldChar w:fldCharType="end"/>
              </w:r>
            </w:hyperlink>
          </w:p>
          <w:p w14:paraId="601BECC9" w14:textId="00614A17" w:rsidR="00527889" w:rsidRDefault="002078E2" w:rsidP="00527889">
            <w:pPr>
              <w:pStyle w:val="TOC1"/>
              <w:framePr w:wrap="around"/>
              <w:rPr>
                <w:rFonts w:asciiTheme="minorHAnsi" w:eastAsiaTheme="minorEastAsia" w:hAnsiTheme="minorHAnsi" w:cstheme="minorBidi"/>
                <w:color w:val="auto"/>
                <w:sz w:val="22"/>
                <w:szCs w:val="22"/>
              </w:rPr>
            </w:pPr>
            <w:hyperlink w:anchor="_Toc113465300" w:history="1">
              <w:r w:rsidR="00527889" w:rsidRPr="008275E9">
                <w:rPr>
                  <w:rStyle w:val="Hyperlink"/>
                </w:rPr>
                <w:t>12</w:t>
              </w:r>
              <w:r w:rsidR="00527889">
                <w:rPr>
                  <w:rFonts w:asciiTheme="minorHAnsi" w:eastAsiaTheme="minorEastAsia" w:hAnsiTheme="minorHAnsi" w:cstheme="minorBidi"/>
                  <w:color w:val="auto"/>
                  <w:sz w:val="22"/>
                  <w:szCs w:val="22"/>
                </w:rPr>
                <w:tab/>
              </w:r>
              <w:r w:rsidR="00527889" w:rsidRPr="008275E9">
                <w:rPr>
                  <w:rStyle w:val="Hyperlink"/>
                </w:rPr>
                <w:t>Recommendations</w:t>
              </w:r>
              <w:r w:rsidR="00527889">
                <w:rPr>
                  <w:webHidden/>
                </w:rPr>
                <w:tab/>
              </w:r>
              <w:r w:rsidR="00527889">
                <w:rPr>
                  <w:webHidden/>
                </w:rPr>
                <w:fldChar w:fldCharType="begin"/>
              </w:r>
              <w:r w:rsidR="00527889">
                <w:rPr>
                  <w:webHidden/>
                </w:rPr>
                <w:instrText xml:space="preserve"> PAGEREF _Toc113465300 \h </w:instrText>
              </w:r>
              <w:r w:rsidR="00527889">
                <w:rPr>
                  <w:webHidden/>
                </w:rPr>
              </w:r>
              <w:r w:rsidR="00527889">
                <w:rPr>
                  <w:webHidden/>
                </w:rPr>
                <w:fldChar w:fldCharType="separate"/>
              </w:r>
              <w:r w:rsidR="00AD36DF">
                <w:rPr>
                  <w:webHidden/>
                </w:rPr>
                <w:t>16</w:t>
              </w:r>
              <w:r w:rsidR="00527889">
                <w:rPr>
                  <w:webHidden/>
                </w:rPr>
                <w:fldChar w:fldCharType="end"/>
              </w:r>
            </w:hyperlink>
          </w:p>
          <w:p w14:paraId="2A57B469" w14:textId="29A77DE9" w:rsidR="00527889" w:rsidRDefault="002078E2" w:rsidP="00527889">
            <w:pPr>
              <w:pStyle w:val="TOC1"/>
              <w:framePr w:wrap="around"/>
              <w:rPr>
                <w:rFonts w:asciiTheme="minorHAnsi" w:eastAsiaTheme="minorEastAsia" w:hAnsiTheme="minorHAnsi" w:cstheme="minorBidi"/>
                <w:color w:val="auto"/>
                <w:sz w:val="22"/>
                <w:szCs w:val="22"/>
              </w:rPr>
            </w:pPr>
            <w:hyperlink w:anchor="_Toc113465301" w:history="1">
              <w:r w:rsidR="00527889" w:rsidRPr="008275E9">
                <w:rPr>
                  <w:rStyle w:val="Hyperlink"/>
                </w:rPr>
                <w:t>13</w:t>
              </w:r>
              <w:r w:rsidR="00527889">
                <w:rPr>
                  <w:rFonts w:asciiTheme="minorHAnsi" w:eastAsiaTheme="minorEastAsia" w:hAnsiTheme="minorHAnsi" w:cstheme="minorBidi"/>
                  <w:color w:val="auto"/>
                  <w:sz w:val="22"/>
                  <w:szCs w:val="22"/>
                </w:rPr>
                <w:tab/>
              </w:r>
              <w:r w:rsidR="00527889" w:rsidRPr="008275E9">
                <w:rPr>
                  <w:rStyle w:val="Hyperlink"/>
                </w:rPr>
                <w:t>Attachments</w:t>
              </w:r>
              <w:r w:rsidR="00527889">
                <w:rPr>
                  <w:webHidden/>
                </w:rPr>
                <w:tab/>
              </w:r>
              <w:r w:rsidR="00527889">
                <w:rPr>
                  <w:webHidden/>
                </w:rPr>
                <w:fldChar w:fldCharType="begin"/>
              </w:r>
              <w:r w:rsidR="00527889">
                <w:rPr>
                  <w:webHidden/>
                </w:rPr>
                <w:instrText xml:space="preserve"> PAGEREF _Toc113465301 \h </w:instrText>
              </w:r>
              <w:r w:rsidR="00527889">
                <w:rPr>
                  <w:webHidden/>
                </w:rPr>
              </w:r>
              <w:r w:rsidR="00527889">
                <w:rPr>
                  <w:webHidden/>
                </w:rPr>
                <w:fldChar w:fldCharType="separate"/>
              </w:r>
              <w:r w:rsidR="00AD36DF">
                <w:rPr>
                  <w:webHidden/>
                </w:rPr>
                <w:t>17</w:t>
              </w:r>
              <w:r w:rsidR="00527889">
                <w:rPr>
                  <w:webHidden/>
                </w:rPr>
                <w:fldChar w:fldCharType="end"/>
              </w:r>
            </w:hyperlink>
          </w:p>
          <w:p w14:paraId="01B0EE60" w14:textId="1A8210A0" w:rsidR="00527889" w:rsidRDefault="00527889" w:rsidP="00527889">
            <w:pPr>
              <w:pStyle w:val="TOC1"/>
              <w:framePr w:wrap="around"/>
              <w:rPr>
                <w:rFonts w:asciiTheme="minorHAnsi" w:eastAsiaTheme="minorEastAsia" w:hAnsiTheme="minorHAnsi" w:cstheme="minorBidi"/>
                <w:color w:val="auto"/>
                <w:sz w:val="22"/>
                <w:szCs w:val="22"/>
              </w:rPr>
            </w:pPr>
          </w:p>
          <w:p w14:paraId="6CFD22F5" w14:textId="6A32DA40" w:rsidR="00F10E14" w:rsidRPr="00EB32BB" w:rsidRDefault="00527889" w:rsidP="00194176">
            <w:pPr>
              <w:pStyle w:val="TOC1"/>
              <w:framePr w:wrap="around"/>
              <w:rPr>
                <w:rFonts w:cs="Arial"/>
              </w:rPr>
            </w:pPr>
            <w:r>
              <w:fldChar w:fldCharType="end"/>
            </w:r>
          </w:p>
          <w:p w14:paraId="463310AF" w14:textId="77777777" w:rsidR="00F10E14" w:rsidRPr="00EB32BB" w:rsidRDefault="00B23506" w:rsidP="00B23506">
            <w:pPr>
              <w:pStyle w:val="Contents03"/>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098"/>
              <w:gridCol w:w="2835"/>
            </w:tblGrid>
            <w:tr w:rsidR="00AA69EF" w:rsidRPr="00EB32BB" w14:paraId="2E36C838" w14:textId="77777777" w:rsidTr="00FF0C32">
              <w:trPr>
                <w:trHeight w:val="983"/>
              </w:trPr>
              <w:tc>
                <w:tcPr>
                  <w:tcW w:w="7933" w:type="dxa"/>
                  <w:gridSpan w:val="2"/>
                  <w:shd w:val="clear" w:color="auto" w:fill="auto"/>
                </w:tcPr>
                <w:p w14:paraId="3013D0D5" w14:textId="77777777" w:rsidR="00B23506" w:rsidRPr="00FF0C32" w:rsidRDefault="007F41DB" w:rsidP="00B23506">
                  <w:pPr>
                    <w:rPr>
                      <w:szCs w:val="20"/>
                      <w:lang w:val="en-US"/>
                    </w:rPr>
                  </w:pPr>
                  <w:r w:rsidRPr="00FF0C32">
                    <w:rPr>
                      <w:szCs w:val="20"/>
                      <w:lang w:val="en-US"/>
                    </w:rPr>
                    <w:t>The timetable for the progression of the CP is as follows:</w:t>
                  </w:r>
                </w:p>
                <w:p w14:paraId="38336792" w14:textId="77777777" w:rsidR="00AA69EF" w:rsidRDefault="00AA7E89" w:rsidP="00E45140">
                  <w:pPr>
                    <w:pStyle w:val="Heading4"/>
                  </w:pPr>
                  <w:r w:rsidRPr="00FF0C32">
                    <w:t>Change Proposal</w:t>
                  </w:r>
                  <w:r w:rsidR="00AA69EF" w:rsidRPr="00FF0C32">
                    <w:t xml:space="preserve"> timetable</w:t>
                  </w:r>
                </w:p>
                <w:p w14:paraId="033F4B42" w14:textId="403E7C4D" w:rsidR="008B3F8D" w:rsidRPr="008B3F8D" w:rsidRDefault="008B3F8D" w:rsidP="008B3F8D">
                  <w:pPr>
                    <w:pStyle w:val="Heading3"/>
                  </w:pPr>
                </w:p>
              </w:tc>
            </w:tr>
            <w:tr w:rsidR="007E718E" w:rsidRPr="00EB32BB" w14:paraId="5734FDA3" w14:textId="77777777" w:rsidTr="00194176">
              <w:trPr>
                <w:trHeight w:val="319"/>
              </w:trPr>
              <w:tc>
                <w:tcPr>
                  <w:tcW w:w="5098" w:type="dxa"/>
                  <w:shd w:val="clear" w:color="auto" w:fill="BDD6EE"/>
                </w:tcPr>
                <w:p w14:paraId="06ABCA64" w14:textId="77777777" w:rsidR="007E718E" w:rsidRPr="00FF0C32" w:rsidRDefault="007F41DB" w:rsidP="00E45140">
                  <w:pPr>
                    <w:pStyle w:val="Heading4"/>
                  </w:pPr>
                  <w:r w:rsidRPr="00FF0C32">
                    <w:t>Activity</w:t>
                  </w:r>
                </w:p>
              </w:tc>
              <w:tc>
                <w:tcPr>
                  <w:tcW w:w="2835" w:type="dxa"/>
                  <w:shd w:val="clear" w:color="auto" w:fill="BDD6EE"/>
                  <w:vAlign w:val="center"/>
                </w:tcPr>
                <w:p w14:paraId="078011BC" w14:textId="77777777" w:rsidR="007E718E" w:rsidRPr="007F41DB" w:rsidRDefault="007F41DB" w:rsidP="00E45140">
                  <w:pPr>
                    <w:pStyle w:val="Heading4"/>
                  </w:pPr>
                  <w:r w:rsidRPr="007F41DB">
                    <w:t>Date</w:t>
                  </w:r>
                </w:p>
              </w:tc>
            </w:tr>
            <w:tr w:rsidR="0076023E" w:rsidRPr="00EB32BB" w14:paraId="312BE282" w14:textId="77777777" w:rsidTr="00194176">
              <w:tc>
                <w:tcPr>
                  <w:tcW w:w="5098" w:type="dxa"/>
                  <w:shd w:val="clear" w:color="auto" w:fill="auto"/>
                </w:tcPr>
                <w:p w14:paraId="26F333BA" w14:textId="77777777" w:rsidR="0076023E" w:rsidRPr="00EB32BB" w:rsidRDefault="0076023E" w:rsidP="0076023E">
                  <w:pPr>
                    <w:tabs>
                      <w:tab w:val="left" w:pos="171"/>
                    </w:tabs>
                    <w:spacing w:before="40" w:after="40"/>
                    <w:rPr>
                      <w:rFonts w:cs="Arial"/>
                      <w:szCs w:val="20"/>
                    </w:rPr>
                  </w:pPr>
                  <w:r w:rsidRPr="004155E5">
                    <w:rPr>
                      <w:rFonts w:cs="Arial"/>
                      <w:szCs w:val="20"/>
                    </w:rPr>
                    <w:t>Initial Assessment Report Approved by Panel</w:t>
                  </w:r>
                </w:p>
              </w:tc>
              <w:tc>
                <w:tcPr>
                  <w:tcW w:w="2835" w:type="dxa"/>
                  <w:shd w:val="clear" w:color="auto" w:fill="auto"/>
                  <w:vAlign w:val="center"/>
                </w:tcPr>
                <w:p w14:paraId="5B14346B" w14:textId="3C90E1E3" w:rsidR="0076023E" w:rsidRPr="00EB32BB" w:rsidRDefault="00F3276A" w:rsidP="0076023E">
                  <w:pPr>
                    <w:spacing w:before="40" w:after="40"/>
                    <w:rPr>
                      <w:rFonts w:cs="Arial"/>
                      <w:szCs w:val="20"/>
                    </w:rPr>
                  </w:pPr>
                  <w:r>
                    <w:t>26 April 2022</w:t>
                  </w:r>
                </w:p>
              </w:tc>
            </w:tr>
            <w:tr w:rsidR="0076023E" w:rsidRPr="00EB32BB" w14:paraId="16E08862" w14:textId="77777777" w:rsidTr="00194176">
              <w:tc>
                <w:tcPr>
                  <w:tcW w:w="5098" w:type="dxa"/>
                  <w:shd w:val="clear" w:color="auto" w:fill="auto"/>
                </w:tcPr>
                <w:p w14:paraId="7B9D75CE" w14:textId="77777777" w:rsidR="0076023E" w:rsidRDefault="0076023E" w:rsidP="0076023E">
                  <w:pPr>
                    <w:tabs>
                      <w:tab w:val="left" w:pos="171"/>
                    </w:tabs>
                    <w:spacing w:before="40" w:after="40"/>
                    <w:rPr>
                      <w:rFonts w:cs="Arial"/>
                      <w:szCs w:val="20"/>
                    </w:rPr>
                  </w:pPr>
                  <w:r w:rsidRPr="004155E5">
                    <w:rPr>
                      <w:rFonts w:cs="Arial"/>
                      <w:szCs w:val="20"/>
                    </w:rPr>
                    <w:t>Consultation issued to Parties</w:t>
                  </w:r>
                </w:p>
              </w:tc>
              <w:tc>
                <w:tcPr>
                  <w:tcW w:w="2835" w:type="dxa"/>
                  <w:shd w:val="clear" w:color="auto" w:fill="auto"/>
                  <w:vAlign w:val="center"/>
                </w:tcPr>
                <w:p w14:paraId="62BD6535" w14:textId="218D21CD" w:rsidR="0076023E" w:rsidRPr="00EB32BB" w:rsidRDefault="005A7018" w:rsidP="0076023E">
                  <w:pPr>
                    <w:spacing w:before="40" w:after="40"/>
                    <w:rPr>
                      <w:rFonts w:cs="Arial"/>
                      <w:szCs w:val="20"/>
                    </w:rPr>
                  </w:pPr>
                  <w:r>
                    <w:t>22 August 2022</w:t>
                  </w:r>
                </w:p>
              </w:tc>
            </w:tr>
            <w:tr w:rsidR="0076023E" w:rsidRPr="00EB32BB" w14:paraId="2E2DC953" w14:textId="77777777" w:rsidTr="00194176">
              <w:tc>
                <w:tcPr>
                  <w:tcW w:w="5098" w:type="dxa"/>
                  <w:shd w:val="clear" w:color="auto" w:fill="auto"/>
                </w:tcPr>
                <w:p w14:paraId="3EDCE12E" w14:textId="77777777" w:rsidR="0076023E" w:rsidRPr="00EB32BB" w:rsidRDefault="0076023E" w:rsidP="0076023E">
                  <w:pPr>
                    <w:tabs>
                      <w:tab w:val="left" w:pos="171"/>
                    </w:tabs>
                    <w:spacing w:before="40" w:after="40"/>
                    <w:rPr>
                      <w:rFonts w:cs="Arial"/>
                      <w:szCs w:val="20"/>
                    </w:rPr>
                  </w:pPr>
                  <w:r w:rsidRPr="004155E5">
                    <w:rPr>
                      <w:rFonts w:cs="Arial"/>
                      <w:szCs w:val="20"/>
                    </w:rPr>
                    <w:t>Change Report issued to Panel</w:t>
                  </w:r>
                </w:p>
              </w:tc>
              <w:tc>
                <w:tcPr>
                  <w:tcW w:w="2835" w:type="dxa"/>
                  <w:shd w:val="clear" w:color="auto" w:fill="auto"/>
                  <w:vAlign w:val="center"/>
                </w:tcPr>
                <w:p w14:paraId="3AB789C9" w14:textId="21B43C9B" w:rsidR="0076023E" w:rsidRPr="00EB32BB" w:rsidRDefault="00C3503E" w:rsidP="0076023E">
                  <w:pPr>
                    <w:spacing w:before="40" w:after="40"/>
                    <w:rPr>
                      <w:rFonts w:cs="Arial"/>
                      <w:szCs w:val="20"/>
                    </w:rPr>
                  </w:pPr>
                  <w:r>
                    <w:t>0</w:t>
                  </w:r>
                  <w:r w:rsidR="005A7018">
                    <w:t xml:space="preserve">9 </w:t>
                  </w:r>
                  <w:r>
                    <w:t xml:space="preserve">November </w:t>
                  </w:r>
                  <w:r w:rsidR="005A7018">
                    <w:t>2022</w:t>
                  </w:r>
                </w:p>
              </w:tc>
            </w:tr>
            <w:tr w:rsidR="0076023E" w:rsidRPr="00EB32BB" w14:paraId="3E55BFEC" w14:textId="77777777" w:rsidTr="00194176">
              <w:tc>
                <w:tcPr>
                  <w:tcW w:w="5098" w:type="dxa"/>
                  <w:shd w:val="clear" w:color="auto" w:fill="auto"/>
                </w:tcPr>
                <w:p w14:paraId="2D913ECF" w14:textId="77777777" w:rsidR="0076023E" w:rsidRPr="00EB32BB" w:rsidRDefault="0076023E" w:rsidP="0076023E">
                  <w:pPr>
                    <w:tabs>
                      <w:tab w:val="left" w:pos="171"/>
                    </w:tabs>
                    <w:spacing w:before="40" w:after="40"/>
                    <w:rPr>
                      <w:rFonts w:cs="Arial"/>
                      <w:szCs w:val="20"/>
                    </w:rPr>
                  </w:pPr>
                  <w:r w:rsidRPr="004155E5">
                    <w:rPr>
                      <w:rFonts w:cs="Arial"/>
                      <w:szCs w:val="20"/>
                    </w:rPr>
                    <w:t>Change Report issued for Voting</w:t>
                  </w:r>
                </w:p>
              </w:tc>
              <w:tc>
                <w:tcPr>
                  <w:tcW w:w="2835" w:type="dxa"/>
                  <w:shd w:val="clear" w:color="auto" w:fill="auto"/>
                  <w:vAlign w:val="center"/>
                </w:tcPr>
                <w:p w14:paraId="382353E1" w14:textId="1AAA7DDD" w:rsidR="0076023E" w:rsidRPr="00EB32BB" w:rsidRDefault="00C3503E" w:rsidP="0076023E">
                  <w:pPr>
                    <w:spacing w:before="40" w:after="40"/>
                    <w:rPr>
                      <w:rFonts w:cs="Arial"/>
                      <w:szCs w:val="20"/>
                    </w:rPr>
                  </w:pPr>
                  <w:r>
                    <w:t xml:space="preserve">18 November </w:t>
                  </w:r>
                  <w:r w:rsidR="003F4C36">
                    <w:t>2022</w:t>
                  </w:r>
                </w:p>
              </w:tc>
            </w:tr>
            <w:tr w:rsidR="0076023E" w:rsidRPr="00EB32BB" w14:paraId="5B402A6F" w14:textId="77777777" w:rsidTr="00194176">
              <w:tc>
                <w:tcPr>
                  <w:tcW w:w="5098" w:type="dxa"/>
                  <w:shd w:val="clear" w:color="auto" w:fill="auto"/>
                </w:tcPr>
                <w:p w14:paraId="7AB08AC3" w14:textId="77777777" w:rsidR="0076023E" w:rsidRPr="00EB32BB" w:rsidRDefault="0076023E" w:rsidP="0076023E">
                  <w:pPr>
                    <w:tabs>
                      <w:tab w:val="left" w:pos="171"/>
                    </w:tabs>
                    <w:spacing w:before="40" w:after="40"/>
                    <w:rPr>
                      <w:rFonts w:cs="Arial"/>
                      <w:szCs w:val="20"/>
                    </w:rPr>
                  </w:pPr>
                  <w:r w:rsidRPr="004155E5">
                    <w:rPr>
                      <w:rFonts w:cs="Arial"/>
                      <w:szCs w:val="20"/>
                    </w:rPr>
                    <w:t>Party Voting Ends</w:t>
                  </w:r>
                </w:p>
              </w:tc>
              <w:tc>
                <w:tcPr>
                  <w:tcW w:w="2835" w:type="dxa"/>
                  <w:shd w:val="clear" w:color="auto" w:fill="auto"/>
                  <w:vAlign w:val="center"/>
                </w:tcPr>
                <w:p w14:paraId="61C8465C" w14:textId="586A62FA" w:rsidR="0076023E" w:rsidRPr="00EB32BB" w:rsidRDefault="00C3503E" w:rsidP="0076023E">
                  <w:pPr>
                    <w:spacing w:before="40" w:after="40"/>
                    <w:rPr>
                      <w:rFonts w:cs="Arial"/>
                      <w:szCs w:val="20"/>
                    </w:rPr>
                  </w:pPr>
                  <w:r>
                    <w:t xml:space="preserve">09 December </w:t>
                  </w:r>
                  <w:r w:rsidR="003F4C36">
                    <w:t>2022</w:t>
                  </w:r>
                </w:p>
              </w:tc>
            </w:tr>
            <w:tr w:rsidR="0076023E" w:rsidRPr="00EB32BB" w14:paraId="5E4C2E09" w14:textId="77777777" w:rsidTr="00194176">
              <w:tc>
                <w:tcPr>
                  <w:tcW w:w="5098" w:type="dxa"/>
                  <w:shd w:val="clear" w:color="auto" w:fill="auto"/>
                </w:tcPr>
                <w:p w14:paraId="47A8DD8F" w14:textId="77777777" w:rsidR="0076023E" w:rsidRPr="00B81F70" w:rsidRDefault="0076023E" w:rsidP="0076023E">
                  <w:pPr>
                    <w:tabs>
                      <w:tab w:val="left" w:pos="171"/>
                    </w:tabs>
                    <w:spacing w:before="40" w:after="40"/>
                    <w:rPr>
                      <w:rFonts w:cs="Arial"/>
                      <w:szCs w:val="20"/>
                    </w:rPr>
                  </w:pPr>
                  <w:r w:rsidRPr="004155E5">
                    <w:rPr>
                      <w:rFonts w:cs="Arial"/>
                      <w:szCs w:val="20"/>
                    </w:rPr>
                    <w:t>Change Declaration Issued to Parties</w:t>
                  </w:r>
                </w:p>
              </w:tc>
              <w:tc>
                <w:tcPr>
                  <w:tcW w:w="2835" w:type="dxa"/>
                  <w:shd w:val="clear" w:color="auto" w:fill="auto"/>
                  <w:vAlign w:val="center"/>
                </w:tcPr>
                <w:p w14:paraId="34488CBE" w14:textId="0A3F0F46" w:rsidR="0076023E" w:rsidRPr="00951FDE" w:rsidRDefault="00C3503E" w:rsidP="0076023E">
                  <w:pPr>
                    <w:spacing w:before="40" w:after="40"/>
                    <w:rPr>
                      <w:rFonts w:cs="Arial"/>
                      <w:szCs w:val="20"/>
                    </w:rPr>
                  </w:pPr>
                  <w:r>
                    <w:t xml:space="preserve">12 December </w:t>
                  </w:r>
                  <w:r w:rsidR="0008585D">
                    <w:t>2022</w:t>
                  </w:r>
                </w:p>
              </w:tc>
            </w:tr>
            <w:tr w:rsidR="000C09EE" w:rsidRPr="00EB32BB" w14:paraId="6CB4F515" w14:textId="77777777" w:rsidTr="00194176">
              <w:tc>
                <w:tcPr>
                  <w:tcW w:w="5098" w:type="dxa"/>
                  <w:shd w:val="clear" w:color="auto" w:fill="auto"/>
                </w:tcPr>
                <w:p w14:paraId="342CFAF0" w14:textId="40E4A1EE" w:rsidR="000C09EE" w:rsidRPr="004155E5" w:rsidRDefault="000C09EE" w:rsidP="0076023E">
                  <w:pPr>
                    <w:tabs>
                      <w:tab w:val="left" w:pos="171"/>
                    </w:tabs>
                    <w:spacing w:before="40" w:after="40"/>
                    <w:rPr>
                      <w:rFonts w:cs="Arial"/>
                      <w:szCs w:val="20"/>
                    </w:rPr>
                  </w:pPr>
                  <w:r w:rsidRPr="00194176">
                    <w:rPr>
                      <w:rFonts w:cs="Arial"/>
                      <w:szCs w:val="20"/>
                    </w:rPr>
                    <w:t>Change Declaration issued to Authority</w:t>
                  </w:r>
                </w:p>
              </w:tc>
              <w:tc>
                <w:tcPr>
                  <w:tcW w:w="2835" w:type="dxa"/>
                  <w:shd w:val="clear" w:color="auto" w:fill="auto"/>
                  <w:vAlign w:val="center"/>
                </w:tcPr>
                <w:p w14:paraId="3CA3A31A" w14:textId="2F997E36" w:rsidR="000C09EE" w:rsidRDefault="00C3503E" w:rsidP="0076023E">
                  <w:pPr>
                    <w:spacing w:before="40" w:after="40"/>
                    <w:rPr>
                      <w:rFonts w:cs="Arial"/>
                      <w:szCs w:val="20"/>
                    </w:rPr>
                  </w:pPr>
                  <w:r>
                    <w:t xml:space="preserve">12 December </w:t>
                  </w:r>
                  <w:r w:rsidR="0008585D">
                    <w:t>2022</w:t>
                  </w:r>
                </w:p>
              </w:tc>
            </w:tr>
            <w:tr w:rsidR="0076023E" w:rsidRPr="00EB32BB" w14:paraId="0A265BB1" w14:textId="77777777" w:rsidTr="00194176">
              <w:tc>
                <w:tcPr>
                  <w:tcW w:w="5098" w:type="dxa"/>
                  <w:shd w:val="clear" w:color="auto" w:fill="auto"/>
                </w:tcPr>
                <w:p w14:paraId="2B8F0762" w14:textId="77777777" w:rsidR="0076023E" w:rsidRPr="00EB32BB" w:rsidRDefault="0076023E" w:rsidP="0076023E">
                  <w:pPr>
                    <w:tabs>
                      <w:tab w:val="left" w:pos="171"/>
                    </w:tabs>
                    <w:spacing w:before="40" w:after="40"/>
                    <w:rPr>
                      <w:rFonts w:cs="Arial"/>
                      <w:szCs w:val="20"/>
                    </w:rPr>
                  </w:pPr>
                  <w:r w:rsidRPr="004155E5">
                    <w:rPr>
                      <w:rFonts w:cs="Arial"/>
                      <w:szCs w:val="20"/>
                    </w:rPr>
                    <w:t>Authority Decision</w:t>
                  </w:r>
                </w:p>
              </w:tc>
              <w:tc>
                <w:tcPr>
                  <w:tcW w:w="2835" w:type="dxa"/>
                  <w:shd w:val="clear" w:color="auto" w:fill="auto"/>
                  <w:vAlign w:val="center"/>
                </w:tcPr>
                <w:p w14:paraId="291AF499" w14:textId="77777777" w:rsidR="0076023E" w:rsidRPr="00EB32BB" w:rsidRDefault="0076023E" w:rsidP="0076023E">
                  <w:pPr>
                    <w:spacing w:before="40" w:after="40"/>
                    <w:rPr>
                      <w:rFonts w:cs="Arial"/>
                      <w:szCs w:val="20"/>
                    </w:rPr>
                  </w:pPr>
                  <w:r>
                    <w:rPr>
                      <w:rFonts w:cs="Arial"/>
                      <w:szCs w:val="20"/>
                    </w:rPr>
                    <w:t>TBC</w:t>
                  </w:r>
                </w:p>
              </w:tc>
            </w:tr>
            <w:tr w:rsidR="0076023E" w:rsidRPr="00EB32BB" w14:paraId="7243EA33" w14:textId="77777777" w:rsidTr="00194176">
              <w:trPr>
                <w:trHeight w:val="93"/>
              </w:trPr>
              <w:tc>
                <w:tcPr>
                  <w:tcW w:w="5098" w:type="dxa"/>
                  <w:shd w:val="clear" w:color="auto" w:fill="auto"/>
                </w:tcPr>
                <w:p w14:paraId="7C983B10" w14:textId="77777777" w:rsidR="0076023E" w:rsidRPr="00EB32BB" w:rsidRDefault="0076023E" w:rsidP="0076023E">
                  <w:pPr>
                    <w:tabs>
                      <w:tab w:val="left" w:pos="171"/>
                    </w:tabs>
                    <w:spacing w:before="40" w:after="40"/>
                    <w:rPr>
                      <w:rFonts w:cs="Arial"/>
                      <w:szCs w:val="20"/>
                    </w:rPr>
                  </w:pPr>
                  <w:r w:rsidRPr="004155E5">
                    <w:rPr>
                      <w:rFonts w:cs="Arial"/>
                      <w:szCs w:val="20"/>
                    </w:rPr>
                    <w:t>Implementation</w:t>
                  </w:r>
                </w:p>
              </w:tc>
              <w:tc>
                <w:tcPr>
                  <w:tcW w:w="2835" w:type="dxa"/>
                  <w:shd w:val="clear" w:color="auto" w:fill="auto"/>
                  <w:vAlign w:val="center"/>
                </w:tcPr>
                <w:p w14:paraId="771EC3A1" w14:textId="3A4C50F3" w:rsidR="0076023E" w:rsidRPr="00EB32BB" w:rsidRDefault="008B3F8D" w:rsidP="0076023E">
                  <w:pPr>
                    <w:spacing w:before="40" w:after="40"/>
                    <w:rPr>
                      <w:rFonts w:cs="Arial"/>
                      <w:szCs w:val="20"/>
                    </w:rPr>
                  </w:pPr>
                  <w:r>
                    <w:rPr>
                      <w:rFonts w:cs="Arial"/>
                    </w:rPr>
                    <w:t>01 April 2023</w:t>
                  </w:r>
                </w:p>
              </w:tc>
            </w:tr>
          </w:tbl>
          <w:p w14:paraId="327CAA54" w14:textId="77777777" w:rsidR="00B23506" w:rsidRPr="00EB32BB" w:rsidRDefault="00B23506" w:rsidP="007E718E">
            <w:pPr>
              <w:pStyle w:val="BodyTextFirstIndent"/>
              <w:ind w:firstLine="0"/>
              <w:rPr>
                <w:rFonts w:cs="Arial"/>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739F1F78" w14:textId="19040C1A" w:rsidR="00F10E14" w:rsidRPr="00EB32BB" w:rsidRDefault="008B547E" w:rsidP="00291083">
            <w:pPr>
              <w:pStyle w:val="BodyText"/>
              <w:spacing w:before="60" w:after="60" w:line="240" w:lineRule="auto"/>
              <w:rPr>
                <w:rFonts w:cs="Arial"/>
                <w:szCs w:val="20"/>
              </w:rPr>
            </w:pPr>
            <w:r w:rsidRPr="00AF30A5">
              <w:rPr>
                <w:rFonts w:cs="Arial"/>
                <w:noProof/>
                <w:szCs w:val="20"/>
                <w:lang w:val="en-US" w:eastAsia="en-US"/>
              </w:rPr>
              <w:drawing>
                <wp:inline distT="0" distB="0" distL="0" distR="0" wp14:anchorId="4FECA56D" wp14:editId="6C627A8B">
                  <wp:extent cx="281305" cy="281305"/>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76023E" w:rsidRPr="00EB32BB" w14:paraId="6786EB0C" w14:textId="77777777" w:rsidTr="00194176">
        <w:trPr>
          <w:trHeight w:val="615"/>
        </w:trPr>
        <w:tc>
          <w:tcPr>
            <w:tcW w:w="7968" w:type="dxa"/>
            <w:vMerge/>
            <w:tcBorders>
              <w:left w:val="single" w:sz="4" w:space="0" w:color="4A8958"/>
              <w:bottom w:val="single" w:sz="4" w:space="0" w:color="4A8958"/>
              <w:right w:val="single" w:sz="4" w:space="0" w:color="4A8958"/>
            </w:tcBorders>
            <w:shd w:val="clear" w:color="auto" w:fill="auto"/>
          </w:tcPr>
          <w:p w14:paraId="71950906" w14:textId="77777777" w:rsidR="0076023E" w:rsidRPr="00EB32BB" w:rsidRDefault="0076023E" w:rsidP="0076023E">
            <w:pPr>
              <w:pStyle w:val="Contents01"/>
              <w:rPr>
                <w:noProof/>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7D881C05" w14:textId="77777777" w:rsidR="0076023E" w:rsidRPr="004155E5" w:rsidRDefault="0076023E" w:rsidP="0076023E">
            <w:pPr>
              <w:spacing w:before="60" w:after="60" w:line="240" w:lineRule="auto"/>
              <w:rPr>
                <w:rFonts w:cs="Arial"/>
                <w:color w:val="008576"/>
                <w:szCs w:val="20"/>
              </w:rPr>
            </w:pPr>
            <w:r w:rsidRPr="004155E5">
              <w:rPr>
                <w:rFonts w:cs="Arial"/>
                <w:color w:val="008576"/>
                <w:szCs w:val="20"/>
              </w:rPr>
              <w:t>Contact:</w:t>
            </w:r>
          </w:p>
          <w:p w14:paraId="69A7DAEF" w14:textId="77777777" w:rsidR="0076023E" w:rsidRPr="00EB32BB" w:rsidRDefault="0076023E" w:rsidP="0076023E">
            <w:pPr>
              <w:pStyle w:val="BodyText"/>
              <w:spacing w:before="60" w:after="60" w:line="240" w:lineRule="auto"/>
              <w:rPr>
                <w:rFonts w:cs="Arial"/>
                <w:color w:val="008576"/>
                <w:szCs w:val="20"/>
              </w:rPr>
            </w:pPr>
            <w:r w:rsidRPr="004155E5">
              <w:rPr>
                <w:rFonts w:cs="Arial"/>
                <w:b/>
                <w:color w:val="008576"/>
                <w:szCs w:val="20"/>
              </w:rPr>
              <w:t>Code Administrator</w:t>
            </w:r>
          </w:p>
        </w:tc>
      </w:tr>
      <w:tr w:rsidR="0076023E" w:rsidRPr="00EB32BB" w14:paraId="098E81DB" w14:textId="77777777" w:rsidTr="00194176">
        <w:trPr>
          <w:trHeight w:val="615"/>
        </w:trPr>
        <w:tc>
          <w:tcPr>
            <w:tcW w:w="7968" w:type="dxa"/>
            <w:vMerge/>
            <w:tcBorders>
              <w:left w:val="single" w:sz="4" w:space="0" w:color="4A8958"/>
              <w:bottom w:val="single" w:sz="4" w:space="0" w:color="4A8958"/>
              <w:right w:val="single" w:sz="4" w:space="0" w:color="4A8958"/>
            </w:tcBorders>
            <w:shd w:val="clear" w:color="auto" w:fill="auto"/>
          </w:tcPr>
          <w:p w14:paraId="3DF41E99" w14:textId="77777777" w:rsidR="0076023E" w:rsidRPr="00EB32BB" w:rsidRDefault="0076023E" w:rsidP="0076023E">
            <w:pPr>
              <w:pStyle w:val="Contents01"/>
              <w:rPr>
                <w:noProof/>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5946BB5B" w14:textId="59CAF393" w:rsidR="0076023E" w:rsidRPr="00EB32BB" w:rsidRDefault="008B547E" w:rsidP="0076023E">
            <w:pPr>
              <w:pStyle w:val="BodyText"/>
              <w:spacing w:before="60" w:after="60" w:line="240" w:lineRule="auto"/>
              <w:rPr>
                <w:rFonts w:cs="Arial"/>
                <w:color w:val="008576"/>
                <w:szCs w:val="20"/>
              </w:rPr>
            </w:pPr>
            <w:r w:rsidRPr="00CF023C">
              <w:rPr>
                <w:rFonts w:cs="Arial"/>
                <w:b/>
                <w:noProof/>
                <w:color w:val="008576"/>
                <w:szCs w:val="20"/>
              </w:rPr>
              <w:drawing>
                <wp:inline distT="0" distB="0" distL="0" distR="0" wp14:anchorId="4493381D" wp14:editId="19A7EA0F">
                  <wp:extent cx="281305" cy="281305"/>
                  <wp:effectExtent l="0" t="0" r="0" b="0"/>
                  <wp:docPr id="5" name="Picture 2"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sidR="0076023E" w:rsidRPr="004155E5">
              <w:rPr>
                <w:rFonts w:cs="Arial"/>
              </w:rPr>
              <w:t xml:space="preserve"> </w:t>
            </w:r>
            <w:r w:rsidR="0076023E" w:rsidRPr="004155E5">
              <w:rPr>
                <w:rFonts w:cs="Arial"/>
                <w:b/>
                <w:noProof/>
                <w:color w:val="008576"/>
                <w:szCs w:val="20"/>
                <w:lang w:val="en-US" w:eastAsia="en-US"/>
              </w:rPr>
              <w:t>DCUSA@electralink.co.uk</w:t>
            </w:r>
          </w:p>
        </w:tc>
      </w:tr>
      <w:tr w:rsidR="0076023E" w:rsidRPr="00EB32BB" w14:paraId="472AD281" w14:textId="77777777" w:rsidTr="00194176">
        <w:trPr>
          <w:trHeight w:val="615"/>
        </w:trPr>
        <w:tc>
          <w:tcPr>
            <w:tcW w:w="7968" w:type="dxa"/>
            <w:vMerge/>
            <w:tcBorders>
              <w:left w:val="single" w:sz="4" w:space="0" w:color="4A8958"/>
              <w:bottom w:val="single" w:sz="4" w:space="0" w:color="4A8958"/>
              <w:right w:val="single" w:sz="4" w:space="0" w:color="4A8958"/>
            </w:tcBorders>
            <w:shd w:val="clear" w:color="auto" w:fill="auto"/>
          </w:tcPr>
          <w:p w14:paraId="3B186256" w14:textId="77777777" w:rsidR="0076023E" w:rsidRPr="00EB32BB" w:rsidRDefault="0076023E" w:rsidP="0076023E">
            <w:pPr>
              <w:pStyle w:val="Contents01"/>
              <w:rPr>
                <w:noProof/>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3181446D" w14:textId="6F39B8DF" w:rsidR="0076023E" w:rsidRPr="00EB32BB" w:rsidRDefault="008B547E" w:rsidP="0076023E">
            <w:pPr>
              <w:pStyle w:val="BodyText"/>
              <w:spacing w:before="60" w:after="60" w:line="240" w:lineRule="auto"/>
              <w:rPr>
                <w:rFonts w:cs="Arial"/>
                <w:color w:val="008576"/>
                <w:szCs w:val="20"/>
              </w:rPr>
            </w:pPr>
            <w:r w:rsidRPr="00CF023C">
              <w:rPr>
                <w:rFonts w:cs="Arial"/>
                <w:b/>
                <w:noProof/>
                <w:color w:val="008576"/>
                <w:szCs w:val="20"/>
              </w:rPr>
              <w:drawing>
                <wp:inline distT="0" distB="0" distL="0" distR="0" wp14:anchorId="5EDC917E" wp14:editId="4B7F5702">
                  <wp:extent cx="281305" cy="281305"/>
                  <wp:effectExtent l="0" t="0" r="0" b="0"/>
                  <wp:docPr id="6" name="Picture 3"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sidR="0076023E" w:rsidRPr="004155E5">
              <w:rPr>
                <w:rFonts w:cs="Arial"/>
                <w:b/>
                <w:noProof/>
                <w:color w:val="008576"/>
                <w:szCs w:val="20"/>
                <w:lang w:val="en-US" w:eastAsia="en-US"/>
              </w:rPr>
              <w:t>02074323000</w:t>
            </w:r>
          </w:p>
        </w:tc>
      </w:tr>
      <w:tr w:rsidR="0076023E" w:rsidRPr="00EB32BB" w14:paraId="47DBEBBE" w14:textId="77777777" w:rsidTr="00194176">
        <w:trPr>
          <w:trHeight w:val="615"/>
        </w:trPr>
        <w:tc>
          <w:tcPr>
            <w:tcW w:w="7968" w:type="dxa"/>
            <w:vMerge/>
            <w:tcBorders>
              <w:left w:val="single" w:sz="4" w:space="0" w:color="4A8958"/>
              <w:bottom w:val="single" w:sz="4" w:space="0" w:color="4A8958"/>
              <w:right w:val="single" w:sz="4" w:space="0" w:color="4A8958"/>
            </w:tcBorders>
            <w:shd w:val="clear" w:color="auto" w:fill="auto"/>
          </w:tcPr>
          <w:p w14:paraId="50DA6E96" w14:textId="77777777" w:rsidR="0076023E" w:rsidRPr="00EB32BB" w:rsidRDefault="0076023E" w:rsidP="0076023E">
            <w:pPr>
              <w:pStyle w:val="Contents01"/>
              <w:rPr>
                <w:noProof/>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66D15485" w14:textId="77777777" w:rsidR="0076023E" w:rsidRPr="004155E5" w:rsidRDefault="0076023E" w:rsidP="0076023E">
            <w:pPr>
              <w:spacing w:before="60" w:after="60" w:line="240" w:lineRule="auto"/>
              <w:rPr>
                <w:rFonts w:cs="Arial"/>
                <w:color w:val="008576"/>
                <w:szCs w:val="20"/>
              </w:rPr>
            </w:pPr>
            <w:r w:rsidRPr="004155E5">
              <w:rPr>
                <w:rFonts w:cs="Arial"/>
                <w:color w:val="008576"/>
                <w:szCs w:val="20"/>
              </w:rPr>
              <w:t>Proposer:</w:t>
            </w:r>
          </w:p>
          <w:p w14:paraId="07A45EF7" w14:textId="526B59E9" w:rsidR="0076023E" w:rsidRPr="00EB32BB" w:rsidRDefault="00D461A0" w:rsidP="0076023E">
            <w:pPr>
              <w:spacing w:before="60" w:after="60" w:line="240" w:lineRule="auto"/>
              <w:rPr>
                <w:rFonts w:cs="Arial"/>
                <w:b/>
                <w:color w:val="008576"/>
                <w:szCs w:val="20"/>
              </w:rPr>
            </w:pPr>
            <w:r w:rsidRPr="00D461A0">
              <w:rPr>
                <w:rFonts w:cs="Arial"/>
                <w:b/>
                <w:color w:val="008576"/>
                <w:szCs w:val="20"/>
              </w:rPr>
              <w:t>Andy Pace</w:t>
            </w:r>
          </w:p>
        </w:tc>
      </w:tr>
      <w:tr w:rsidR="0076023E" w:rsidRPr="00EB32BB" w14:paraId="7FD76F8D" w14:textId="77777777" w:rsidTr="00194176">
        <w:trPr>
          <w:trHeight w:val="615"/>
        </w:trPr>
        <w:tc>
          <w:tcPr>
            <w:tcW w:w="7968" w:type="dxa"/>
            <w:vMerge/>
            <w:tcBorders>
              <w:left w:val="single" w:sz="4" w:space="0" w:color="4A8958"/>
              <w:bottom w:val="single" w:sz="4" w:space="0" w:color="4A8958"/>
              <w:right w:val="single" w:sz="4" w:space="0" w:color="4A8958"/>
            </w:tcBorders>
            <w:shd w:val="clear" w:color="auto" w:fill="auto"/>
          </w:tcPr>
          <w:p w14:paraId="5AEFB2D6" w14:textId="77777777" w:rsidR="0076023E" w:rsidRPr="00EB32BB" w:rsidRDefault="0076023E" w:rsidP="0076023E">
            <w:pPr>
              <w:pStyle w:val="Contents01"/>
              <w:rPr>
                <w:noProof/>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38AC9B47" w14:textId="72DF06D9" w:rsidR="0076023E" w:rsidRPr="004155E5" w:rsidRDefault="008B547E" w:rsidP="0076023E">
            <w:pPr>
              <w:pStyle w:val="BodyText"/>
              <w:spacing w:before="60" w:after="60" w:line="240" w:lineRule="auto"/>
              <w:rPr>
                <w:rFonts w:cs="Arial"/>
                <w:b/>
                <w:color w:val="008576"/>
                <w:szCs w:val="20"/>
              </w:rPr>
            </w:pPr>
            <w:r w:rsidRPr="00CF023C">
              <w:rPr>
                <w:rFonts w:cs="Arial"/>
                <w:b/>
                <w:noProof/>
                <w:color w:val="008576"/>
                <w:szCs w:val="20"/>
              </w:rPr>
              <w:drawing>
                <wp:inline distT="0" distB="0" distL="0" distR="0" wp14:anchorId="4EC66A43" wp14:editId="74EAE84F">
                  <wp:extent cx="281305" cy="281305"/>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sidR="0076023E" w:rsidRPr="004155E5">
              <w:rPr>
                <w:rFonts w:cs="Arial"/>
                <w:b/>
                <w:color w:val="008576"/>
                <w:szCs w:val="20"/>
              </w:rPr>
              <w:t xml:space="preserve"> </w:t>
            </w:r>
          </w:p>
          <w:p w14:paraId="418844C5" w14:textId="6C40C777" w:rsidR="00513DF8" w:rsidRDefault="002078E2" w:rsidP="0076023E">
            <w:pPr>
              <w:pStyle w:val="BodyText"/>
              <w:spacing w:before="60" w:after="60" w:line="240" w:lineRule="auto"/>
            </w:pPr>
            <w:hyperlink r:id="rId14" w:history="1">
              <w:r w:rsidR="00513DF8" w:rsidRPr="005F441C">
                <w:rPr>
                  <w:rStyle w:val="Hyperlink"/>
                </w:rPr>
                <w:t>andy.pace@energy-potential.com</w:t>
              </w:r>
            </w:hyperlink>
          </w:p>
          <w:p w14:paraId="50CDBCF9" w14:textId="4AD75297" w:rsidR="00513DF8" w:rsidRPr="0054531B" w:rsidRDefault="00513DF8" w:rsidP="0076023E">
            <w:pPr>
              <w:pStyle w:val="BodyText"/>
              <w:spacing w:before="60" w:after="60" w:line="240" w:lineRule="auto"/>
            </w:pPr>
          </w:p>
        </w:tc>
      </w:tr>
      <w:tr w:rsidR="0076023E" w:rsidRPr="00EB32BB" w14:paraId="6AC8BF88" w14:textId="77777777" w:rsidTr="00194176">
        <w:trPr>
          <w:trHeight w:val="615"/>
        </w:trPr>
        <w:tc>
          <w:tcPr>
            <w:tcW w:w="7968" w:type="dxa"/>
            <w:vMerge/>
            <w:tcBorders>
              <w:left w:val="single" w:sz="4" w:space="0" w:color="4A8958"/>
              <w:bottom w:val="single" w:sz="4" w:space="0" w:color="4A8958"/>
              <w:right w:val="single" w:sz="4" w:space="0" w:color="4A8958"/>
            </w:tcBorders>
            <w:shd w:val="clear" w:color="auto" w:fill="auto"/>
          </w:tcPr>
          <w:p w14:paraId="06DF5EED" w14:textId="77777777" w:rsidR="0076023E" w:rsidRPr="00EB32BB" w:rsidRDefault="0076023E" w:rsidP="0076023E">
            <w:pPr>
              <w:pStyle w:val="Contents01"/>
              <w:rPr>
                <w:noProof/>
              </w:rPr>
            </w:pPr>
          </w:p>
        </w:tc>
        <w:tc>
          <w:tcPr>
            <w:tcW w:w="2239" w:type="dxa"/>
            <w:tcBorders>
              <w:top w:val="single" w:sz="4" w:space="0" w:color="4A8958"/>
              <w:left w:val="single" w:sz="4" w:space="0" w:color="4A8958"/>
              <w:bottom w:val="single" w:sz="4" w:space="0" w:color="4A8958"/>
              <w:right w:val="single" w:sz="4" w:space="0" w:color="4A8958"/>
            </w:tcBorders>
            <w:shd w:val="clear" w:color="auto" w:fill="auto"/>
          </w:tcPr>
          <w:p w14:paraId="42495063" w14:textId="59AA807F" w:rsidR="0076023E" w:rsidRPr="004155E5" w:rsidRDefault="008B547E" w:rsidP="0076023E">
            <w:pPr>
              <w:pStyle w:val="BodyText"/>
              <w:spacing w:before="60" w:after="60" w:line="240" w:lineRule="auto"/>
              <w:rPr>
                <w:rFonts w:cs="Arial"/>
                <w:b/>
                <w:color w:val="008576"/>
                <w:szCs w:val="20"/>
              </w:rPr>
            </w:pPr>
            <w:r w:rsidRPr="00CF023C">
              <w:rPr>
                <w:rFonts w:cs="Arial"/>
                <w:b/>
                <w:noProof/>
                <w:color w:val="008576"/>
                <w:szCs w:val="20"/>
              </w:rPr>
              <w:drawing>
                <wp:inline distT="0" distB="0" distL="0" distR="0" wp14:anchorId="2CE75DDD" wp14:editId="3C0EC09E">
                  <wp:extent cx="281305" cy="281305"/>
                  <wp:effectExtent l="0" t="0" r="0" b="0"/>
                  <wp:docPr id="8" name="Picture 5"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sidR="0076023E" w:rsidRPr="004155E5">
              <w:rPr>
                <w:rFonts w:cs="Arial"/>
                <w:b/>
                <w:color w:val="008576"/>
                <w:szCs w:val="20"/>
              </w:rPr>
              <w:t xml:space="preserve"> </w:t>
            </w:r>
            <w:r w:rsidR="00E16A53" w:rsidRPr="00E16A53">
              <w:rPr>
                <w:rFonts w:cs="Arial"/>
                <w:b/>
                <w:color w:val="008576"/>
                <w:szCs w:val="20"/>
              </w:rPr>
              <w:t>0788 184 0007</w:t>
            </w:r>
          </w:p>
          <w:p w14:paraId="119DB8D7" w14:textId="77777777" w:rsidR="0076023E" w:rsidRPr="00EB32BB" w:rsidRDefault="0076023E" w:rsidP="0076023E">
            <w:pPr>
              <w:pStyle w:val="BodyText"/>
              <w:spacing w:before="60" w:after="60" w:line="240" w:lineRule="auto"/>
              <w:rPr>
                <w:rFonts w:cs="Arial"/>
                <w:color w:val="008576"/>
                <w:szCs w:val="20"/>
              </w:rPr>
            </w:pPr>
          </w:p>
        </w:tc>
      </w:tr>
      <w:tr w:rsidR="0076023E" w:rsidRPr="00EB32BB" w14:paraId="782BC7C3" w14:textId="77777777" w:rsidTr="00194176">
        <w:trPr>
          <w:gridAfter w:val="1"/>
          <w:wAfter w:w="2239" w:type="dxa"/>
          <w:trHeight w:val="722"/>
        </w:trPr>
        <w:tc>
          <w:tcPr>
            <w:tcW w:w="7968" w:type="dxa"/>
            <w:vMerge/>
            <w:tcBorders>
              <w:left w:val="single" w:sz="4" w:space="0" w:color="4A8958"/>
              <w:bottom w:val="single" w:sz="4" w:space="0" w:color="4A8958"/>
              <w:right w:val="single" w:sz="4" w:space="0" w:color="4A8958"/>
            </w:tcBorders>
            <w:shd w:val="clear" w:color="auto" w:fill="auto"/>
          </w:tcPr>
          <w:p w14:paraId="3268C3C9" w14:textId="77777777" w:rsidR="0076023E" w:rsidRPr="00EB32BB" w:rsidRDefault="0076023E" w:rsidP="00A809BC">
            <w:pPr>
              <w:pStyle w:val="Contents01"/>
              <w:rPr>
                <w:noProof/>
              </w:rPr>
            </w:pPr>
          </w:p>
        </w:tc>
      </w:tr>
      <w:tr w:rsidR="0076023E" w:rsidRPr="00EB32BB" w14:paraId="641F8091" w14:textId="77777777" w:rsidTr="00194176">
        <w:trPr>
          <w:gridAfter w:val="1"/>
          <w:wAfter w:w="2239" w:type="dxa"/>
          <w:trHeight w:val="540"/>
        </w:trPr>
        <w:tc>
          <w:tcPr>
            <w:tcW w:w="7968" w:type="dxa"/>
            <w:vMerge/>
            <w:tcBorders>
              <w:left w:val="single" w:sz="4" w:space="0" w:color="4A8958"/>
              <w:bottom w:val="single" w:sz="4" w:space="0" w:color="4A8958"/>
              <w:right w:val="single" w:sz="4" w:space="0" w:color="4A8958"/>
            </w:tcBorders>
            <w:shd w:val="clear" w:color="auto" w:fill="auto"/>
          </w:tcPr>
          <w:p w14:paraId="429B8A90" w14:textId="77777777" w:rsidR="0076023E" w:rsidRPr="00EB32BB" w:rsidRDefault="0076023E" w:rsidP="004A3386">
            <w:pPr>
              <w:pStyle w:val="BodyText"/>
              <w:rPr>
                <w:rFonts w:cs="Arial"/>
                <w:b/>
                <w:bCs/>
                <w:noProof/>
                <w:color w:val="00B274"/>
                <w:szCs w:val="32"/>
              </w:rPr>
            </w:pPr>
          </w:p>
        </w:tc>
      </w:tr>
      <w:tr w:rsidR="0076023E" w:rsidRPr="00EB32BB" w14:paraId="76EC7D3C" w14:textId="77777777" w:rsidTr="00194176">
        <w:trPr>
          <w:gridAfter w:val="1"/>
          <w:wAfter w:w="2239" w:type="dxa"/>
          <w:trHeight w:val="540"/>
        </w:trPr>
        <w:tc>
          <w:tcPr>
            <w:tcW w:w="7968" w:type="dxa"/>
            <w:vMerge/>
            <w:tcBorders>
              <w:left w:val="single" w:sz="4" w:space="0" w:color="4A8958"/>
              <w:bottom w:val="single" w:sz="4" w:space="0" w:color="4A8958"/>
              <w:right w:val="single" w:sz="4" w:space="0" w:color="4A8958"/>
            </w:tcBorders>
            <w:shd w:val="clear" w:color="auto" w:fill="auto"/>
          </w:tcPr>
          <w:p w14:paraId="279414BE" w14:textId="77777777" w:rsidR="0076023E" w:rsidRPr="00EB32BB" w:rsidRDefault="0076023E" w:rsidP="004A3386">
            <w:pPr>
              <w:pStyle w:val="BodyText"/>
              <w:rPr>
                <w:rFonts w:cs="Arial"/>
                <w:b/>
                <w:bCs/>
                <w:noProof/>
                <w:color w:val="00B274"/>
                <w:szCs w:val="32"/>
              </w:rPr>
            </w:pPr>
          </w:p>
        </w:tc>
      </w:tr>
      <w:tr w:rsidR="0076023E" w:rsidRPr="00EB32BB" w14:paraId="6EC9B2C9" w14:textId="77777777" w:rsidTr="00194176">
        <w:trPr>
          <w:gridAfter w:val="1"/>
          <w:wAfter w:w="2239" w:type="dxa"/>
          <w:trHeight w:val="540"/>
        </w:trPr>
        <w:tc>
          <w:tcPr>
            <w:tcW w:w="7968" w:type="dxa"/>
            <w:vMerge/>
            <w:tcBorders>
              <w:left w:val="single" w:sz="4" w:space="0" w:color="4A8958"/>
              <w:bottom w:val="single" w:sz="4" w:space="0" w:color="4A8958"/>
              <w:right w:val="single" w:sz="4" w:space="0" w:color="4A8958"/>
            </w:tcBorders>
            <w:shd w:val="clear" w:color="auto" w:fill="auto"/>
          </w:tcPr>
          <w:p w14:paraId="698D5A2F" w14:textId="77777777" w:rsidR="0076023E" w:rsidRPr="00EB32BB" w:rsidRDefault="0076023E" w:rsidP="004A3386">
            <w:pPr>
              <w:pStyle w:val="BodyText"/>
              <w:rPr>
                <w:rFonts w:cs="Arial"/>
                <w:b/>
                <w:bCs/>
                <w:noProof/>
                <w:color w:val="00B274"/>
                <w:szCs w:val="32"/>
              </w:rPr>
            </w:pPr>
          </w:p>
        </w:tc>
      </w:tr>
      <w:tr w:rsidR="0076023E" w:rsidRPr="00EB32BB" w14:paraId="0F6EAC15" w14:textId="77777777" w:rsidTr="00194176">
        <w:trPr>
          <w:gridAfter w:val="1"/>
          <w:wAfter w:w="2239" w:type="dxa"/>
          <w:trHeight w:val="540"/>
        </w:trPr>
        <w:tc>
          <w:tcPr>
            <w:tcW w:w="7968" w:type="dxa"/>
            <w:vMerge/>
            <w:tcBorders>
              <w:left w:val="single" w:sz="4" w:space="0" w:color="4A8958"/>
              <w:bottom w:val="single" w:sz="4" w:space="0" w:color="4A8958"/>
              <w:right w:val="single" w:sz="4" w:space="0" w:color="4A8958"/>
            </w:tcBorders>
            <w:shd w:val="clear" w:color="auto" w:fill="auto"/>
          </w:tcPr>
          <w:p w14:paraId="4ADCB092" w14:textId="77777777" w:rsidR="0076023E" w:rsidRPr="00EB32BB" w:rsidRDefault="0076023E" w:rsidP="004A3386">
            <w:pPr>
              <w:pStyle w:val="BodyText"/>
              <w:rPr>
                <w:rFonts w:cs="Arial"/>
                <w:b/>
                <w:bCs/>
                <w:noProof/>
                <w:color w:val="00B274"/>
                <w:szCs w:val="32"/>
              </w:rPr>
            </w:pPr>
          </w:p>
        </w:tc>
      </w:tr>
      <w:tr w:rsidR="0076023E" w:rsidRPr="00EB32BB" w14:paraId="6F2672C8" w14:textId="77777777" w:rsidTr="00194176">
        <w:trPr>
          <w:gridAfter w:val="1"/>
          <w:wAfter w:w="2239" w:type="dxa"/>
          <w:trHeight w:val="628"/>
        </w:trPr>
        <w:tc>
          <w:tcPr>
            <w:tcW w:w="7968" w:type="dxa"/>
            <w:vMerge/>
            <w:tcBorders>
              <w:left w:val="single" w:sz="4" w:space="0" w:color="4A8958"/>
              <w:bottom w:val="single" w:sz="4" w:space="0" w:color="4A8958"/>
              <w:right w:val="single" w:sz="4" w:space="0" w:color="4A8958"/>
            </w:tcBorders>
            <w:shd w:val="clear" w:color="auto" w:fill="auto"/>
          </w:tcPr>
          <w:p w14:paraId="23CC4958" w14:textId="77777777" w:rsidR="0076023E" w:rsidRPr="00EB32BB" w:rsidRDefault="0076023E" w:rsidP="004A3386">
            <w:pPr>
              <w:pStyle w:val="BodyText"/>
              <w:rPr>
                <w:rFonts w:cs="Arial"/>
                <w:b/>
                <w:bCs/>
                <w:noProof/>
                <w:color w:val="00B274"/>
                <w:szCs w:val="32"/>
              </w:rPr>
            </w:pPr>
          </w:p>
        </w:tc>
      </w:tr>
      <w:tr w:rsidR="0076023E" w:rsidRPr="00EB32BB" w14:paraId="0F1BCD4C" w14:textId="77777777" w:rsidTr="00194176">
        <w:trPr>
          <w:gridAfter w:val="1"/>
          <w:wAfter w:w="2239" w:type="dxa"/>
          <w:trHeight w:val="540"/>
        </w:trPr>
        <w:tc>
          <w:tcPr>
            <w:tcW w:w="7968" w:type="dxa"/>
            <w:vMerge/>
            <w:tcBorders>
              <w:left w:val="single" w:sz="4" w:space="0" w:color="4A8958"/>
              <w:bottom w:val="single" w:sz="4" w:space="0" w:color="4A8958"/>
              <w:right w:val="single" w:sz="4" w:space="0" w:color="4A8958"/>
            </w:tcBorders>
            <w:shd w:val="clear" w:color="auto" w:fill="auto"/>
          </w:tcPr>
          <w:p w14:paraId="310E5D3D" w14:textId="77777777" w:rsidR="0076023E" w:rsidRPr="00EB32BB" w:rsidRDefault="0076023E" w:rsidP="004A3386">
            <w:pPr>
              <w:pStyle w:val="BodyText"/>
              <w:spacing w:line="240" w:lineRule="auto"/>
              <w:rPr>
                <w:rFonts w:cs="Arial"/>
                <w:szCs w:val="20"/>
              </w:rPr>
            </w:pPr>
          </w:p>
        </w:tc>
      </w:tr>
      <w:tr w:rsidR="0076023E" w:rsidRPr="00EB32BB" w14:paraId="5CA98AB0" w14:textId="77777777" w:rsidTr="00194176">
        <w:trPr>
          <w:gridAfter w:val="1"/>
          <w:wAfter w:w="2239" w:type="dxa"/>
          <w:trHeight w:val="540"/>
        </w:trPr>
        <w:tc>
          <w:tcPr>
            <w:tcW w:w="7968" w:type="dxa"/>
            <w:vMerge/>
            <w:tcBorders>
              <w:left w:val="single" w:sz="4" w:space="0" w:color="4A8958"/>
              <w:bottom w:val="single" w:sz="4" w:space="0" w:color="4A8958"/>
              <w:right w:val="single" w:sz="4" w:space="0" w:color="4A8958"/>
            </w:tcBorders>
            <w:shd w:val="clear" w:color="auto" w:fill="auto"/>
          </w:tcPr>
          <w:p w14:paraId="389F91CF" w14:textId="77777777" w:rsidR="0076023E" w:rsidRPr="00EB32BB" w:rsidRDefault="0076023E" w:rsidP="004A3386">
            <w:pPr>
              <w:pStyle w:val="BodyText"/>
              <w:spacing w:line="240" w:lineRule="auto"/>
              <w:rPr>
                <w:rFonts w:cs="Arial"/>
                <w:szCs w:val="20"/>
              </w:rPr>
            </w:pPr>
          </w:p>
        </w:tc>
      </w:tr>
      <w:tr w:rsidR="0076023E" w:rsidRPr="00EB32BB" w14:paraId="2FD970B2" w14:textId="77777777" w:rsidTr="00194176">
        <w:trPr>
          <w:gridAfter w:val="1"/>
          <w:wAfter w:w="2239" w:type="dxa"/>
          <w:trHeight w:val="540"/>
        </w:trPr>
        <w:tc>
          <w:tcPr>
            <w:tcW w:w="7968" w:type="dxa"/>
            <w:vMerge/>
            <w:tcBorders>
              <w:left w:val="single" w:sz="4" w:space="0" w:color="4A8958"/>
              <w:bottom w:val="single" w:sz="4" w:space="0" w:color="4A8958"/>
              <w:right w:val="single" w:sz="4" w:space="0" w:color="4A8958"/>
            </w:tcBorders>
            <w:shd w:val="clear" w:color="auto" w:fill="auto"/>
          </w:tcPr>
          <w:p w14:paraId="6F3A6FA1" w14:textId="77777777" w:rsidR="0076023E" w:rsidRPr="00EB32BB" w:rsidRDefault="0076023E" w:rsidP="004A3386">
            <w:pPr>
              <w:pStyle w:val="BodyText"/>
              <w:spacing w:line="240" w:lineRule="auto"/>
              <w:rPr>
                <w:rFonts w:cs="Arial"/>
                <w:szCs w:val="20"/>
              </w:rPr>
            </w:pPr>
          </w:p>
        </w:tc>
      </w:tr>
    </w:tbl>
    <w:p w14:paraId="0F32A2B9" w14:textId="77777777" w:rsidR="00FD0396" w:rsidRDefault="005F5231" w:rsidP="006D62F9">
      <w:pPr>
        <w:pStyle w:val="Heading03"/>
      </w:pPr>
      <w:bookmarkStart w:id="1" w:name="_Toc188527263"/>
      <w:bookmarkStart w:id="2" w:name="_Toc318967194"/>
      <w:bookmarkStart w:id="3" w:name="_Toc113465289"/>
      <w:r w:rsidRPr="006D62F9">
        <w:lastRenderedPageBreak/>
        <w:t xml:space="preserve">Executive </w:t>
      </w:r>
      <w:r w:rsidR="004C6117" w:rsidRPr="006D62F9">
        <w:t>Summary</w:t>
      </w:r>
      <w:bookmarkEnd w:id="1"/>
      <w:bookmarkEnd w:id="2"/>
      <w:bookmarkEnd w:id="3"/>
    </w:p>
    <w:p w14:paraId="24994EDA" w14:textId="77777777" w:rsidR="00D86289" w:rsidRPr="00E45140" w:rsidRDefault="00D86289" w:rsidP="00E45140">
      <w:pPr>
        <w:pStyle w:val="Heading4"/>
      </w:pPr>
      <w:bookmarkStart w:id="4" w:name="_Toc318967195"/>
      <w:r w:rsidRPr="00E45140">
        <w:t>What</w:t>
      </w:r>
      <w:r w:rsidR="001E6639">
        <w:t>?</w:t>
      </w:r>
    </w:p>
    <w:p w14:paraId="7F5D64A7" w14:textId="789017A6" w:rsidR="000C09EE" w:rsidRDefault="00664164" w:rsidP="008B3F8D">
      <w:pPr>
        <w:pStyle w:val="Heading2"/>
        <w:keepNext w:val="0"/>
        <w:numPr>
          <w:ilvl w:val="1"/>
          <w:numId w:val="14"/>
        </w:numPr>
        <w:spacing w:before="240" w:after="60" w:line="360" w:lineRule="auto"/>
        <w:ind w:hanging="860"/>
        <w:jc w:val="both"/>
        <w:rPr>
          <w:color w:val="auto"/>
          <w:sz w:val="20"/>
          <w:szCs w:val="20"/>
        </w:rPr>
      </w:pPr>
      <w:r w:rsidRPr="00664164">
        <w:rPr>
          <w:color w:val="auto"/>
          <w:sz w:val="20"/>
          <w:szCs w:val="20"/>
        </w:rPr>
        <w:t xml:space="preserve">The criterion for applying the residual charge is to a </w:t>
      </w:r>
      <w:r w:rsidR="0014008D">
        <w:rPr>
          <w:color w:val="auto"/>
          <w:sz w:val="20"/>
          <w:szCs w:val="20"/>
        </w:rPr>
        <w:t>S</w:t>
      </w:r>
      <w:r w:rsidRPr="00664164">
        <w:rPr>
          <w:color w:val="auto"/>
          <w:sz w:val="20"/>
          <w:szCs w:val="20"/>
        </w:rPr>
        <w:t xml:space="preserve">ingle </w:t>
      </w:r>
      <w:r w:rsidR="0014008D">
        <w:rPr>
          <w:color w:val="auto"/>
          <w:sz w:val="20"/>
          <w:szCs w:val="20"/>
        </w:rPr>
        <w:t>S</w:t>
      </w:r>
      <w:r w:rsidRPr="00664164">
        <w:rPr>
          <w:color w:val="auto"/>
          <w:sz w:val="20"/>
          <w:szCs w:val="20"/>
        </w:rPr>
        <w:t>ite which is defined by a single connection agreement. In some cases, there are sites which import power via multiple connection points and have separate connection agreements in place for each point of connection. However, where the capacity is limited in aggregate (</w:t>
      </w:r>
      <w:r w:rsidR="008B3F8D" w:rsidRPr="00664164">
        <w:rPr>
          <w:color w:val="auto"/>
          <w:sz w:val="20"/>
          <w:szCs w:val="20"/>
        </w:rPr>
        <w:t>i.e.,</w:t>
      </w:r>
      <w:r w:rsidRPr="00664164">
        <w:rPr>
          <w:color w:val="auto"/>
          <w:sz w:val="20"/>
          <w:szCs w:val="20"/>
        </w:rPr>
        <w:t xml:space="preserve"> one of the connections is considered as back</w:t>
      </w:r>
      <w:r w:rsidR="003C1B1D">
        <w:rPr>
          <w:color w:val="auto"/>
          <w:sz w:val="20"/>
          <w:szCs w:val="20"/>
        </w:rPr>
        <w:t>-</w:t>
      </w:r>
      <w:r w:rsidRPr="00664164">
        <w:rPr>
          <w:color w:val="auto"/>
          <w:sz w:val="20"/>
          <w:szCs w:val="20"/>
        </w:rPr>
        <w:t xml:space="preserve">up) the proposer suggests that it is not reasonable for the customer to pay the residual element on all connections. The rationale for this is based on the Ofgem comment </w:t>
      </w:r>
      <w:r w:rsidR="009671E0">
        <w:rPr>
          <w:color w:val="auto"/>
          <w:sz w:val="20"/>
          <w:szCs w:val="20"/>
        </w:rPr>
        <w:t xml:space="preserve">under paragraph 3.57 </w:t>
      </w:r>
      <w:r w:rsidRPr="00664164">
        <w:rPr>
          <w:color w:val="auto"/>
          <w:sz w:val="20"/>
          <w:szCs w:val="20"/>
        </w:rPr>
        <w:t>on this scenario in their decision1</w:t>
      </w:r>
      <w:r w:rsidR="008B3F8D">
        <w:rPr>
          <w:rStyle w:val="FootnoteReference"/>
          <w:color w:val="auto"/>
          <w:sz w:val="20"/>
          <w:szCs w:val="20"/>
        </w:rPr>
        <w:footnoteReference w:id="2"/>
      </w:r>
      <w:r w:rsidRPr="00664164">
        <w:rPr>
          <w:color w:val="auto"/>
          <w:sz w:val="20"/>
          <w:szCs w:val="20"/>
        </w:rPr>
        <w:t xml:space="preserve"> on the Targeted Charging Review (TCR) as follows</w:t>
      </w:r>
    </w:p>
    <w:p w14:paraId="7A755A7E" w14:textId="031D83F2" w:rsidR="003F24D4" w:rsidRPr="000C09EE" w:rsidRDefault="003F24D4" w:rsidP="008B3F8D">
      <w:pPr>
        <w:pStyle w:val="ListParagraph"/>
        <w:spacing w:line="360" w:lineRule="auto"/>
        <w:ind w:left="851"/>
      </w:pPr>
      <w:r>
        <w:rPr>
          <w:noProof/>
        </w:rPr>
        <w:drawing>
          <wp:inline distT="0" distB="0" distL="0" distR="0" wp14:anchorId="1E5B8B3F" wp14:editId="38F9A96F">
            <wp:extent cx="4645660" cy="2072172"/>
            <wp:effectExtent l="0" t="0" r="2540" b="4445"/>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5"/>
                    <a:stretch>
                      <a:fillRect/>
                    </a:stretch>
                  </pic:blipFill>
                  <pic:spPr>
                    <a:xfrm>
                      <a:off x="0" y="0"/>
                      <a:ext cx="4656209" cy="2076877"/>
                    </a:xfrm>
                    <a:prstGeom prst="rect">
                      <a:avLst/>
                    </a:prstGeom>
                  </pic:spPr>
                </pic:pic>
              </a:graphicData>
            </a:graphic>
          </wp:inline>
        </w:drawing>
      </w:r>
    </w:p>
    <w:p w14:paraId="14C31FCB" w14:textId="77777777" w:rsidR="00D86289" w:rsidRDefault="00D86289" w:rsidP="008B3F8D">
      <w:pPr>
        <w:pStyle w:val="Heading4"/>
      </w:pPr>
      <w:r w:rsidRPr="004C6117">
        <w:t>Why</w:t>
      </w:r>
      <w:r w:rsidR="001E6639">
        <w:t>?</w:t>
      </w:r>
      <w:r>
        <w:t xml:space="preserve"> </w:t>
      </w:r>
    </w:p>
    <w:p w14:paraId="1CA765D2" w14:textId="190A1C32" w:rsidR="00062418" w:rsidRDefault="00826E09" w:rsidP="008B3F8D">
      <w:pPr>
        <w:pStyle w:val="Heading2"/>
        <w:keepNext w:val="0"/>
        <w:numPr>
          <w:ilvl w:val="1"/>
          <w:numId w:val="14"/>
        </w:numPr>
        <w:spacing w:before="240" w:after="60" w:line="360" w:lineRule="auto"/>
        <w:ind w:hanging="860"/>
        <w:jc w:val="both"/>
        <w:rPr>
          <w:color w:val="auto"/>
          <w:sz w:val="20"/>
          <w:szCs w:val="20"/>
        </w:rPr>
      </w:pPr>
      <w:r w:rsidRPr="00826E09">
        <w:rPr>
          <w:color w:val="auto"/>
          <w:sz w:val="20"/>
          <w:szCs w:val="20"/>
        </w:rPr>
        <w:t>The proposer does not believe that the Ofgem decision has been implemented correctly as the TCR solution within DCUSA only applies where one connection agreement covers both the main connection and back</w:t>
      </w:r>
      <w:r w:rsidR="003C1B1D">
        <w:rPr>
          <w:color w:val="auto"/>
          <w:sz w:val="20"/>
          <w:szCs w:val="20"/>
        </w:rPr>
        <w:t>-</w:t>
      </w:r>
      <w:r w:rsidRPr="00826E09">
        <w:rPr>
          <w:color w:val="auto"/>
          <w:sz w:val="20"/>
          <w:szCs w:val="20"/>
        </w:rPr>
        <w:t xml:space="preserve">up connection. The proposer suggests that there are many cases where this is not the case, and it is not always practical for multiple connection agreements to be amalgamated into one agreement. Furthermore, when a customer imports via a private network but maintains a </w:t>
      </w:r>
      <w:r w:rsidR="003C1B1D">
        <w:rPr>
          <w:color w:val="auto"/>
          <w:sz w:val="20"/>
          <w:szCs w:val="20"/>
        </w:rPr>
        <w:t>back-up</w:t>
      </w:r>
      <w:r w:rsidRPr="00826E09">
        <w:rPr>
          <w:color w:val="auto"/>
          <w:sz w:val="20"/>
          <w:szCs w:val="20"/>
        </w:rPr>
        <w:t xml:space="preserve"> connection to the distributor’s network, the capacity is only reserved once but under the current arrangements will be paid for twice. If this change is not made, there will be sites across Great Britain (GB) that are effectively double charged for the residual element of Distribution Use of System (DUOS) for the same capacity reserved on the distributor’s network.</w:t>
      </w:r>
    </w:p>
    <w:p w14:paraId="6978B872" w14:textId="77777777" w:rsidR="008A3C81" w:rsidRDefault="008A3C81" w:rsidP="008B3F8D">
      <w:pPr>
        <w:pStyle w:val="Heading4"/>
      </w:pPr>
      <w:r w:rsidRPr="004C6117">
        <w:t>How</w:t>
      </w:r>
      <w:r w:rsidR="001E6639">
        <w:t>?</w:t>
      </w:r>
    </w:p>
    <w:p w14:paraId="445C064F" w14:textId="77777777" w:rsidR="00E9332B" w:rsidRDefault="003D1EB9" w:rsidP="008B3F8D">
      <w:pPr>
        <w:pStyle w:val="ListParagraph"/>
        <w:numPr>
          <w:ilvl w:val="1"/>
          <w:numId w:val="14"/>
        </w:numPr>
        <w:ind w:hanging="860"/>
        <w:jc w:val="both"/>
      </w:pPr>
      <w:r w:rsidRPr="003D1EB9">
        <w:t xml:space="preserve">Introduce </w:t>
      </w:r>
      <w:r w:rsidR="00EC5187">
        <w:t xml:space="preserve">further clarification to the Scope section of Schedule 32 stating that </w:t>
      </w:r>
      <w:r w:rsidR="00EC5187" w:rsidRPr="00EC5187">
        <w:t>premises with a Back-up Connection will not be subject to residual charges in respect of the Back-up Connection</w:t>
      </w:r>
      <w:r w:rsidR="00EC5187">
        <w:t xml:space="preserve"> </w:t>
      </w:r>
      <w:r w:rsidR="00E9332B">
        <w:t xml:space="preserve">and </w:t>
      </w:r>
      <w:r w:rsidR="00EC5187" w:rsidRPr="00EC5187">
        <w:t>will not be counted as a Single Site in their own right</w:t>
      </w:r>
      <w:r w:rsidR="00E9332B">
        <w:t xml:space="preserve">. They will however </w:t>
      </w:r>
      <w:r w:rsidR="00E9332B">
        <w:rPr>
          <w:rFonts w:ascii="Times New Roman" w:hAnsi="Times New Roman"/>
          <w:sz w:val="24"/>
        </w:rPr>
        <w:t xml:space="preserve">form part of the </w:t>
      </w:r>
      <w:r w:rsidR="00E9332B" w:rsidRPr="00E9332B">
        <w:t xml:space="preserve">Single Site connected </w:t>
      </w:r>
      <w:r w:rsidR="00E9332B">
        <w:t>via</w:t>
      </w:r>
      <w:r w:rsidR="00E9332B" w:rsidRPr="00E9332B">
        <w:t xml:space="preserve"> the Connection Agreement governing the primary connection</w:t>
      </w:r>
      <w:r w:rsidR="00E9332B">
        <w:t>.</w:t>
      </w:r>
      <w:r w:rsidR="00EC5187" w:rsidRPr="00EC5187">
        <w:t xml:space="preserve"> </w:t>
      </w:r>
    </w:p>
    <w:p w14:paraId="494EFE9D" w14:textId="76401885" w:rsidR="00240940" w:rsidRDefault="00E9332B" w:rsidP="008B3F8D">
      <w:pPr>
        <w:pStyle w:val="ListParagraph"/>
        <w:numPr>
          <w:ilvl w:val="1"/>
          <w:numId w:val="14"/>
        </w:numPr>
        <w:ind w:hanging="860"/>
        <w:jc w:val="both"/>
      </w:pPr>
      <w:r>
        <w:lastRenderedPageBreak/>
        <w:t>Add a new paragraph into the re</w:t>
      </w:r>
      <w:r w:rsidR="00240940">
        <w:t>-</w:t>
      </w:r>
      <w:r>
        <w:t xml:space="preserve">classification section of Schedule 32 stating that </w:t>
      </w:r>
      <w:r w:rsidRPr="00E9332B">
        <w:t xml:space="preserve">where the evidence necessary to satisfy the definition of a Back-up Connection has been provided to and accepted by the DNO/IDNO Party, no residual charges </w:t>
      </w:r>
      <w:r w:rsidR="00240940">
        <w:t>will</w:t>
      </w:r>
      <w:r w:rsidRPr="00E9332B">
        <w:t xml:space="preserve"> apply to those premises in respect of the Back-up Connection. </w:t>
      </w:r>
      <w:commentRangeStart w:id="5"/>
      <w:r w:rsidRPr="00E9332B">
        <w:t xml:space="preserve">Those premises will (for the purposes of the Back-up Connection only) be allocated to the relevant “No Residual” charging band (as described in the Charging Methodologies) based on the voltage of the </w:t>
      </w:r>
      <w:r w:rsidR="003C1B1D">
        <w:t>Back-up</w:t>
      </w:r>
      <w:r w:rsidRPr="00E9332B">
        <w:t xml:space="preserve"> Connection.</w:t>
      </w:r>
      <w:commentRangeEnd w:id="5"/>
      <w:r w:rsidR="00752E25">
        <w:rPr>
          <w:rStyle w:val="CommentReference"/>
        </w:rPr>
        <w:commentReference w:id="5"/>
      </w:r>
    </w:p>
    <w:p w14:paraId="02EA203F" w14:textId="141F6C93" w:rsidR="00081EA8" w:rsidRDefault="00240940" w:rsidP="008B3F8D">
      <w:pPr>
        <w:pStyle w:val="ListParagraph"/>
        <w:numPr>
          <w:ilvl w:val="1"/>
          <w:numId w:val="14"/>
        </w:numPr>
        <w:ind w:hanging="860"/>
      </w:pPr>
      <w:r>
        <w:t xml:space="preserve">The definition of Single </w:t>
      </w:r>
      <w:r w:rsidR="00752E25">
        <w:t>S</w:t>
      </w:r>
      <w:r>
        <w:t xml:space="preserve">ite has been amended to disregard </w:t>
      </w:r>
      <w:r w:rsidR="00752E25">
        <w:t xml:space="preserve">any </w:t>
      </w:r>
      <w:r>
        <w:t xml:space="preserve">Back-Up Connections and a new definition added to explain what a </w:t>
      </w:r>
      <w:r w:rsidRPr="00240940">
        <w:t>Back-up Connection</w:t>
      </w:r>
      <w:r>
        <w:t xml:space="preserve"> is.</w:t>
      </w:r>
    </w:p>
    <w:p w14:paraId="7F7AF739" w14:textId="506903CF" w:rsidR="00E6212D" w:rsidRDefault="00E6212D" w:rsidP="00E45140">
      <w:pPr>
        <w:pStyle w:val="Heading03"/>
      </w:pPr>
      <w:bookmarkStart w:id="6" w:name="_Toc113465290"/>
      <w:r w:rsidRPr="00E45140">
        <w:t>Governance</w:t>
      </w:r>
      <w:bookmarkEnd w:id="4"/>
      <w:bookmarkEnd w:id="6"/>
    </w:p>
    <w:p w14:paraId="2B6B3F64" w14:textId="77777777" w:rsidR="00E45140" w:rsidRPr="00E45140" w:rsidRDefault="00E45140" w:rsidP="00E45140">
      <w:pPr>
        <w:pStyle w:val="Heading4"/>
        <w:rPr>
          <w:rStyle w:val="Emphasis"/>
          <w:b w:val="0"/>
          <w:sz w:val="22"/>
        </w:rPr>
      </w:pPr>
      <w:r w:rsidRPr="00E45140">
        <w:t>Justification for Part 1 Or Part 2 Matter</w:t>
      </w:r>
    </w:p>
    <w:p w14:paraId="7F25002A" w14:textId="711096A9" w:rsidR="00A612FD" w:rsidRDefault="00A612FD" w:rsidP="00587971">
      <w:pPr>
        <w:pStyle w:val="ListParagraph"/>
        <w:numPr>
          <w:ilvl w:val="1"/>
          <w:numId w:val="14"/>
        </w:numPr>
        <w:spacing w:line="360" w:lineRule="auto"/>
        <w:ind w:hanging="860"/>
        <w:jc w:val="both"/>
      </w:pPr>
      <w:r>
        <w:t xml:space="preserve">The </w:t>
      </w:r>
      <w:r w:rsidR="006F798F">
        <w:t>C</w:t>
      </w:r>
      <w:r>
        <w:t xml:space="preserve">hange </w:t>
      </w:r>
      <w:r w:rsidR="006F798F">
        <w:t>P</w:t>
      </w:r>
      <w:r>
        <w:t xml:space="preserve">roposal </w:t>
      </w:r>
      <w:r w:rsidR="006F798F">
        <w:t>(CP)</w:t>
      </w:r>
      <w:r>
        <w:t xml:space="preserve">has been designated as a “Part 1” matter as it satisfies one or more of the following criteria: </w:t>
      </w:r>
    </w:p>
    <w:p w14:paraId="6FF72627" w14:textId="2107B4ED" w:rsidR="00A612FD" w:rsidRPr="00752E25" w:rsidRDefault="00A612FD" w:rsidP="00752E25">
      <w:pPr>
        <w:pStyle w:val="ListParagraph"/>
        <w:tabs>
          <w:tab w:val="left" w:pos="1701"/>
        </w:tabs>
        <w:spacing w:line="360" w:lineRule="auto"/>
        <w:ind w:left="1701" w:hanging="850"/>
        <w:jc w:val="both"/>
        <w:rPr>
          <w:i/>
          <w:iCs/>
        </w:rPr>
      </w:pPr>
      <w:r>
        <w:t xml:space="preserve">a) </w:t>
      </w:r>
      <w:r w:rsidR="00752E25">
        <w:tab/>
      </w:r>
      <w:r>
        <w:t xml:space="preserve">it is </w:t>
      </w:r>
      <w:r w:rsidRPr="00752E25">
        <w:rPr>
          <w:i/>
          <w:iCs/>
        </w:rPr>
        <w:t xml:space="preserve">likely to have a significant impact on the interests of electricity </w:t>
      </w:r>
      <w:proofErr w:type="gramStart"/>
      <w:r w:rsidRPr="00752E25">
        <w:rPr>
          <w:i/>
          <w:iCs/>
        </w:rPr>
        <w:t>consumers;</w:t>
      </w:r>
      <w:proofErr w:type="gramEnd"/>
      <w:r w:rsidRPr="00752E25">
        <w:rPr>
          <w:i/>
          <w:iCs/>
        </w:rPr>
        <w:t xml:space="preserve"> </w:t>
      </w:r>
    </w:p>
    <w:p w14:paraId="341FC9E2" w14:textId="0C95A86A" w:rsidR="00590981" w:rsidRPr="00752E25" w:rsidRDefault="00A612FD" w:rsidP="00752E25">
      <w:pPr>
        <w:pStyle w:val="ListParagraph"/>
        <w:tabs>
          <w:tab w:val="left" w:pos="1701"/>
        </w:tabs>
        <w:spacing w:line="360" w:lineRule="auto"/>
        <w:ind w:left="1701" w:hanging="850"/>
        <w:jc w:val="both"/>
        <w:rPr>
          <w:i/>
          <w:iCs/>
        </w:rPr>
      </w:pPr>
      <w:r w:rsidRPr="00752E25">
        <w:rPr>
          <w:i/>
          <w:iCs/>
        </w:rPr>
        <w:t xml:space="preserve">b) </w:t>
      </w:r>
      <w:r w:rsidR="00752E25">
        <w:rPr>
          <w:i/>
          <w:iCs/>
        </w:rPr>
        <w:tab/>
      </w:r>
      <w:r w:rsidRPr="00752E25">
        <w:rPr>
          <w:i/>
          <w:iCs/>
        </w:rPr>
        <w:t xml:space="preserve">it </w:t>
      </w:r>
      <w:r w:rsidRPr="00752E25">
        <w:t>is</w:t>
      </w:r>
      <w:r w:rsidRPr="00752E25">
        <w:rPr>
          <w:i/>
          <w:iCs/>
        </w:rPr>
        <w:t xml:space="preserve"> likely to have a significant impact on competition in one or more of: </w:t>
      </w:r>
    </w:p>
    <w:p w14:paraId="44098E1B" w14:textId="646A9A3C" w:rsidR="00590981" w:rsidRPr="00752E25" w:rsidRDefault="00A612FD" w:rsidP="00752E25">
      <w:pPr>
        <w:pStyle w:val="ListParagraph"/>
        <w:tabs>
          <w:tab w:val="left" w:pos="2552"/>
        </w:tabs>
        <w:spacing w:line="360" w:lineRule="auto"/>
        <w:ind w:left="2552" w:hanging="851"/>
        <w:jc w:val="both"/>
        <w:rPr>
          <w:i/>
          <w:iCs/>
        </w:rPr>
      </w:pPr>
      <w:r w:rsidRPr="00752E25">
        <w:rPr>
          <w:i/>
          <w:iCs/>
        </w:rPr>
        <w:t xml:space="preserve">i. </w:t>
      </w:r>
      <w:r w:rsidR="00752E25">
        <w:rPr>
          <w:i/>
          <w:iCs/>
        </w:rPr>
        <w:tab/>
      </w:r>
      <w:r w:rsidRPr="00752E25">
        <w:rPr>
          <w:i/>
          <w:iCs/>
        </w:rPr>
        <w:t xml:space="preserve">the generation of </w:t>
      </w:r>
      <w:proofErr w:type="gramStart"/>
      <w:r w:rsidRPr="00752E25">
        <w:rPr>
          <w:i/>
          <w:iCs/>
        </w:rPr>
        <w:t>electricity;</w:t>
      </w:r>
      <w:proofErr w:type="gramEnd"/>
    </w:p>
    <w:p w14:paraId="1B68B295" w14:textId="797B8761" w:rsidR="00590981" w:rsidRPr="00752E25" w:rsidRDefault="00A612FD" w:rsidP="00752E25">
      <w:pPr>
        <w:pStyle w:val="ListParagraph"/>
        <w:tabs>
          <w:tab w:val="left" w:pos="2552"/>
        </w:tabs>
        <w:spacing w:line="360" w:lineRule="auto"/>
        <w:ind w:left="2552" w:hanging="851"/>
        <w:jc w:val="both"/>
        <w:rPr>
          <w:i/>
          <w:iCs/>
        </w:rPr>
      </w:pPr>
      <w:r w:rsidRPr="00752E25">
        <w:rPr>
          <w:i/>
          <w:iCs/>
        </w:rPr>
        <w:t>ii.</w:t>
      </w:r>
      <w:r w:rsidR="00752E25">
        <w:rPr>
          <w:i/>
          <w:iCs/>
        </w:rPr>
        <w:tab/>
      </w:r>
      <w:r w:rsidRPr="00752E25">
        <w:rPr>
          <w:i/>
          <w:iCs/>
        </w:rPr>
        <w:t xml:space="preserve">the distribution of </w:t>
      </w:r>
      <w:proofErr w:type="gramStart"/>
      <w:r w:rsidRPr="00752E25">
        <w:rPr>
          <w:i/>
          <w:iCs/>
        </w:rPr>
        <w:t>electricity;</w:t>
      </w:r>
      <w:proofErr w:type="gramEnd"/>
      <w:r w:rsidRPr="00752E25">
        <w:rPr>
          <w:i/>
          <w:iCs/>
        </w:rPr>
        <w:t xml:space="preserve"> </w:t>
      </w:r>
    </w:p>
    <w:p w14:paraId="48D8B53B" w14:textId="2570F534" w:rsidR="00590981" w:rsidRPr="00752E25" w:rsidRDefault="00A612FD" w:rsidP="00752E25">
      <w:pPr>
        <w:pStyle w:val="ListParagraph"/>
        <w:tabs>
          <w:tab w:val="left" w:pos="2552"/>
        </w:tabs>
        <w:spacing w:line="360" w:lineRule="auto"/>
        <w:ind w:left="2552" w:hanging="851"/>
        <w:jc w:val="both"/>
        <w:rPr>
          <w:i/>
          <w:iCs/>
        </w:rPr>
      </w:pPr>
      <w:r w:rsidRPr="00752E25">
        <w:rPr>
          <w:i/>
          <w:iCs/>
        </w:rPr>
        <w:t xml:space="preserve">iii. </w:t>
      </w:r>
      <w:r w:rsidR="00752E25">
        <w:rPr>
          <w:i/>
          <w:iCs/>
        </w:rPr>
        <w:tab/>
      </w:r>
      <w:r w:rsidRPr="00752E25">
        <w:rPr>
          <w:i/>
          <w:iCs/>
        </w:rPr>
        <w:t xml:space="preserve">the supply of electricity; and </w:t>
      </w:r>
    </w:p>
    <w:p w14:paraId="644AE181" w14:textId="53B88496" w:rsidR="00590981" w:rsidRDefault="00A612FD" w:rsidP="00752E25">
      <w:pPr>
        <w:pStyle w:val="ListParagraph"/>
        <w:tabs>
          <w:tab w:val="left" w:pos="2552"/>
        </w:tabs>
        <w:spacing w:line="360" w:lineRule="auto"/>
        <w:ind w:left="2552" w:hanging="851"/>
        <w:jc w:val="both"/>
      </w:pPr>
      <w:r w:rsidRPr="00752E25">
        <w:rPr>
          <w:i/>
          <w:iCs/>
        </w:rPr>
        <w:t xml:space="preserve">iv. </w:t>
      </w:r>
      <w:r w:rsidR="00752E25">
        <w:rPr>
          <w:i/>
          <w:iCs/>
        </w:rPr>
        <w:tab/>
      </w:r>
      <w:r w:rsidRPr="00752E25">
        <w:rPr>
          <w:i/>
          <w:iCs/>
        </w:rPr>
        <w:t>any c</w:t>
      </w:r>
      <w:r>
        <w:t xml:space="preserve">ommercial activities connected with the generation, distribution, or supply of electricity </w:t>
      </w:r>
    </w:p>
    <w:p w14:paraId="34125216" w14:textId="2F4A940C" w:rsidR="00062418" w:rsidRPr="00062418" w:rsidRDefault="00A612FD" w:rsidP="00752E25">
      <w:pPr>
        <w:pStyle w:val="ListParagraph"/>
        <w:tabs>
          <w:tab w:val="left" w:pos="1701"/>
        </w:tabs>
        <w:spacing w:line="360" w:lineRule="auto"/>
        <w:ind w:left="1701" w:hanging="850"/>
        <w:jc w:val="both"/>
      </w:pPr>
      <w:r>
        <w:t xml:space="preserve">c) </w:t>
      </w:r>
      <w:r w:rsidR="00752E25">
        <w:tab/>
      </w:r>
      <w:r>
        <w:t>it is likely to discriminate in its effects between one Party (or class of Parties) and another Party (or class of Parties)</w:t>
      </w:r>
      <w:r w:rsidR="00752E25">
        <w:t>.</w:t>
      </w:r>
    </w:p>
    <w:p w14:paraId="3DE3E2F2" w14:textId="77777777" w:rsidR="00E6212D" w:rsidRDefault="00E6212D" w:rsidP="00752E25">
      <w:pPr>
        <w:pStyle w:val="Heading4"/>
      </w:pPr>
      <w:r>
        <w:t>Requested Next Steps</w:t>
      </w:r>
    </w:p>
    <w:p w14:paraId="537FB448" w14:textId="7C6EA433" w:rsidR="00857CC2" w:rsidRDefault="00857CC2" w:rsidP="008B3F8D">
      <w:pPr>
        <w:pStyle w:val="ListParagraph"/>
        <w:numPr>
          <w:ilvl w:val="1"/>
          <w:numId w:val="14"/>
        </w:numPr>
        <w:spacing w:line="360" w:lineRule="auto"/>
        <w:ind w:hanging="860"/>
        <w:jc w:val="both"/>
      </w:pPr>
      <w:r>
        <w:t>Since the C</w:t>
      </w:r>
      <w:r w:rsidR="006F798F">
        <w:t>P</w:t>
      </w:r>
      <w:r>
        <w:t xml:space="preserve"> was raised as an urgent change, the DCUSA Panel met at an ex-committee meeting in April and agreed that the CP should: </w:t>
      </w:r>
    </w:p>
    <w:p w14:paraId="1AF232FB" w14:textId="5B1E4A34" w:rsidR="00857CC2" w:rsidRDefault="00857CC2" w:rsidP="00752E25">
      <w:pPr>
        <w:pStyle w:val="ListParagraph"/>
        <w:numPr>
          <w:ilvl w:val="0"/>
          <w:numId w:val="53"/>
        </w:numPr>
        <w:tabs>
          <w:tab w:val="left" w:pos="1701"/>
        </w:tabs>
        <w:spacing w:line="360" w:lineRule="auto"/>
        <w:jc w:val="both"/>
      </w:pPr>
      <w:r>
        <w:t xml:space="preserve">be treated as a Part 1 </w:t>
      </w:r>
      <w:proofErr w:type="gramStart"/>
      <w:r>
        <w:t>Matter</w:t>
      </w:r>
      <w:r w:rsidR="00752E25">
        <w:t>;</w:t>
      </w:r>
      <w:proofErr w:type="gramEnd"/>
    </w:p>
    <w:p w14:paraId="3A23EE46" w14:textId="1EE2C384" w:rsidR="00857CC2" w:rsidRDefault="00857CC2" w:rsidP="00752E25">
      <w:pPr>
        <w:pStyle w:val="ListParagraph"/>
        <w:numPr>
          <w:ilvl w:val="0"/>
          <w:numId w:val="53"/>
        </w:numPr>
        <w:tabs>
          <w:tab w:val="left" w:pos="1701"/>
        </w:tabs>
        <w:spacing w:line="360" w:lineRule="auto"/>
        <w:jc w:val="both"/>
      </w:pPr>
      <w:r>
        <w:t xml:space="preserve">be treated as an Urgent Change; and </w:t>
      </w:r>
    </w:p>
    <w:p w14:paraId="6A86264B" w14:textId="7C735DD1" w:rsidR="00504125" w:rsidRPr="00504125" w:rsidRDefault="00857CC2" w:rsidP="00752E25">
      <w:pPr>
        <w:pStyle w:val="ListParagraph"/>
        <w:numPr>
          <w:ilvl w:val="0"/>
          <w:numId w:val="53"/>
        </w:numPr>
        <w:tabs>
          <w:tab w:val="left" w:pos="1701"/>
        </w:tabs>
        <w:spacing w:line="360" w:lineRule="auto"/>
        <w:jc w:val="both"/>
      </w:pPr>
      <w:r>
        <w:t>proceed to the Working Group phase</w:t>
      </w:r>
      <w:r w:rsidR="00752E25">
        <w:t>.</w:t>
      </w:r>
    </w:p>
    <w:p w14:paraId="4FD770AC" w14:textId="02402D84" w:rsidR="00194176" w:rsidRDefault="00BD35AC" w:rsidP="008B3F8D">
      <w:pPr>
        <w:pStyle w:val="ListParagraph"/>
        <w:numPr>
          <w:ilvl w:val="1"/>
          <w:numId w:val="14"/>
        </w:numPr>
        <w:spacing w:line="360" w:lineRule="auto"/>
        <w:ind w:hanging="860"/>
        <w:jc w:val="both"/>
      </w:pPr>
      <w:r>
        <w:t xml:space="preserve">Following a review of the Consultation responses, the Working Group </w:t>
      </w:r>
      <w:r w:rsidR="00D06BF1">
        <w:t>developed further</w:t>
      </w:r>
      <w:r>
        <w:t xml:space="preserve"> the detail of the solution for DCP 403</w:t>
      </w:r>
      <w:r w:rsidR="00D06BF1">
        <w:t xml:space="preserve"> and produced this Change Report</w:t>
      </w:r>
      <w:r w:rsidR="003B1DAB">
        <w:t>.</w:t>
      </w:r>
    </w:p>
    <w:p w14:paraId="146C640C" w14:textId="77777777" w:rsidR="003B1DAB" w:rsidRPr="006D3676" w:rsidRDefault="003B1DAB" w:rsidP="008B3F8D">
      <w:pPr>
        <w:pStyle w:val="ListParagraph"/>
        <w:numPr>
          <w:ilvl w:val="1"/>
          <w:numId w:val="14"/>
        </w:numPr>
        <w:spacing w:line="360" w:lineRule="auto"/>
        <w:ind w:hanging="860"/>
        <w:jc w:val="both"/>
      </w:pPr>
      <w:r>
        <w:t>The</w:t>
      </w:r>
      <w:r w:rsidRPr="006D3676">
        <w:t xml:space="preserve"> DCUSA Panel recommends that this CP:</w:t>
      </w:r>
    </w:p>
    <w:p w14:paraId="1024E2C4" w14:textId="4637B88B" w:rsidR="00194176" w:rsidRPr="003B1DAB" w:rsidRDefault="003B1DAB" w:rsidP="00752E25">
      <w:pPr>
        <w:pStyle w:val="ListParagraph"/>
        <w:numPr>
          <w:ilvl w:val="0"/>
          <w:numId w:val="53"/>
        </w:numPr>
        <w:tabs>
          <w:tab w:val="left" w:pos="1701"/>
        </w:tabs>
        <w:spacing w:line="360" w:lineRule="auto"/>
        <w:jc w:val="both"/>
        <w:rPr>
          <w:rStyle w:val="BookTitle"/>
          <w:b w:val="0"/>
          <w:bCs w:val="0"/>
          <w:i w:val="0"/>
          <w:iCs w:val="0"/>
          <w:spacing w:val="0"/>
        </w:rPr>
      </w:pPr>
      <w:r>
        <w:t>be issued to Parties for voting.</w:t>
      </w:r>
    </w:p>
    <w:p w14:paraId="45F91B20" w14:textId="6C715D88" w:rsidR="004C6117" w:rsidRPr="00E45140" w:rsidRDefault="004C6117" w:rsidP="00E45140">
      <w:pPr>
        <w:pStyle w:val="Heading03"/>
      </w:pPr>
      <w:bookmarkStart w:id="7" w:name="_Toc318967196"/>
      <w:bookmarkStart w:id="8" w:name="_Toc113465291"/>
      <w:r w:rsidRPr="00E45140">
        <w:t>Why Change?</w:t>
      </w:r>
      <w:bookmarkEnd w:id="7"/>
      <w:bookmarkEnd w:id="8"/>
    </w:p>
    <w:p w14:paraId="29EF8DC0" w14:textId="661DC76E" w:rsidR="00034F8A" w:rsidRPr="00034F8A" w:rsidRDefault="005445B1" w:rsidP="00034F8A">
      <w:pPr>
        <w:pStyle w:val="Heading4"/>
      </w:pPr>
      <w:r w:rsidRPr="00845FD4">
        <w:lastRenderedPageBreak/>
        <w:t xml:space="preserve">Background of DCP </w:t>
      </w:r>
      <w:r w:rsidR="00A05001">
        <w:t>409</w:t>
      </w:r>
    </w:p>
    <w:p w14:paraId="0DAA697C" w14:textId="5A7F48EB" w:rsidR="000A6E3A" w:rsidRDefault="001A41AF" w:rsidP="008B3F8D">
      <w:pPr>
        <w:pStyle w:val="ListParagraph"/>
        <w:numPr>
          <w:ilvl w:val="1"/>
          <w:numId w:val="14"/>
        </w:numPr>
        <w:spacing w:line="360" w:lineRule="auto"/>
        <w:ind w:hanging="860"/>
        <w:jc w:val="both"/>
      </w:pPr>
      <w:bookmarkStart w:id="9" w:name="_Toc318967198"/>
      <w:r>
        <w:t xml:space="preserve">The proposer believes that the Ofgem decision has been implemented incorrectly as the TCR solution within DCUSA only applies where one connection agreement covers the main connection and </w:t>
      </w:r>
      <w:r w:rsidR="003C1B1D">
        <w:t>back-up</w:t>
      </w:r>
      <w:r>
        <w:t xml:space="preserve"> connection as shown in the definition from Schedule 32 below:</w:t>
      </w:r>
    </w:p>
    <w:tbl>
      <w:tblPr>
        <w:tblStyle w:val="TableGrid"/>
        <w:tblW w:w="0" w:type="auto"/>
        <w:tblInd w:w="846" w:type="dxa"/>
        <w:tblLook w:val="04A0" w:firstRow="1" w:lastRow="0" w:firstColumn="1" w:lastColumn="0" w:noHBand="0" w:noVBand="1"/>
      </w:tblPr>
      <w:tblGrid>
        <w:gridCol w:w="1276"/>
        <w:gridCol w:w="7224"/>
      </w:tblGrid>
      <w:tr w:rsidR="00D940EF" w14:paraId="79F8813B" w14:textId="77777777" w:rsidTr="00752E25">
        <w:tc>
          <w:tcPr>
            <w:tcW w:w="1276" w:type="dxa"/>
          </w:tcPr>
          <w:p w14:paraId="7AB8F355" w14:textId="68204554" w:rsidR="00D940EF" w:rsidRDefault="00CB2030" w:rsidP="00752E25">
            <w:pPr>
              <w:pStyle w:val="ListParagraph"/>
              <w:spacing w:line="360" w:lineRule="auto"/>
              <w:ind w:left="0" w:firstLine="18"/>
              <w:jc w:val="both"/>
            </w:pPr>
            <w:r>
              <w:t xml:space="preserve">Single Site </w:t>
            </w:r>
          </w:p>
        </w:tc>
        <w:tc>
          <w:tcPr>
            <w:tcW w:w="7224" w:type="dxa"/>
          </w:tcPr>
          <w:p w14:paraId="245C0A01" w14:textId="1A952E5C" w:rsidR="00D940EF" w:rsidRDefault="00CB2030" w:rsidP="00752E25">
            <w:pPr>
              <w:pStyle w:val="ListParagraph"/>
              <w:spacing w:line="360" w:lineRule="auto"/>
              <w:ind w:left="0"/>
              <w:jc w:val="both"/>
            </w:pPr>
            <w:r>
              <w:t>means one or more Non-Domestic Premises that are connected to the distribution system pursuant to a single Connection Agreement (whether a Bespoke Connection Agreement or one created via the National Terms of Connection).</w:t>
            </w:r>
          </w:p>
        </w:tc>
      </w:tr>
    </w:tbl>
    <w:p w14:paraId="5D9D661B" w14:textId="5F087D2E" w:rsidR="000A6E3A" w:rsidRPr="000A6E3A" w:rsidRDefault="00137F73" w:rsidP="008B3F8D">
      <w:pPr>
        <w:pStyle w:val="ListParagraph"/>
        <w:numPr>
          <w:ilvl w:val="1"/>
          <w:numId w:val="14"/>
        </w:numPr>
        <w:spacing w:line="360" w:lineRule="auto"/>
        <w:ind w:hanging="860"/>
        <w:jc w:val="both"/>
      </w:pPr>
      <w:r>
        <w:t xml:space="preserve">The proposer suggests that there are many cases where this is not the case, </w:t>
      </w:r>
      <w:r w:rsidR="006F798F">
        <w:t>i.e.,</w:t>
      </w:r>
      <w:r>
        <w:t xml:space="preserve"> a connection agreement is in place for the main connection and a separate or multiple connection agreements for the </w:t>
      </w:r>
      <w:r w:rsidR="003C1B1D">
        <w:t>back-up</w:t>
      </w:r>
      <w:r>
        <w:t xml:space="preserve"> connection/s. This could be resolved by merging the agreements, but the proposer is of the view that this is not always practical for multiple connection agreements to be amalgamated into one agreement especially where they are associated with different customers on a private network.</w:t>
      </w:r>
    </w:p>
    <w:p w14:paraId="7A62F7A7" w14:textId="4D647C0C" w:rsidR="000A6E3A" w:rsidRDefault="00551F34" w:rsidP="008B3F8D">
      <w:pPr>
        <w:pStyle w:val="ListParagraph"/>
        <w:numPr>
          <w:ilvl w:val="1"/>
          <w:numId w:val="14"/>
        </w:numPr>
        <w:spacing w:line="360" w:lineRule="auto"/>
        <w:ind w:hanging="860"/>
        <w:jc w:val="both"/>
      </w:pPr>
      <w:r>
        <w:t xml:space="preserve">Furthermore, when a customer imports via a private network but maintains a </w:t>
      </w:r>
      <w:r w:rsidR="003C1B1D">
        <w:t>back-up</w:t>
      </w:r>
      <w:r>
        <w:t xml:space="preserve"> connection to the distributor’s network, the capacity is only reserved once for the site but under the current arrangements will be paid for twice, once on the main connection and again for the </w:t>
      </w:r>
      <w:r w:rsidR="003C1B1D">
        <w:t>back-up</w:t>
      </w:r>
      <w:r>
        <w:t>s due to a separate connection agreement for each.</w:t>
      </w:r>
    </w:p>
    <w:p w14:paraId="2EEAE675" w14:textId="47EE3D7C" w:rsidR="00551F34" w:rsidRPr="000A6E3A" w:rsidRDefault="00551F34" w:rsidP="008B3F8D">
      <w:pPr>
        <w:pStyle w:val="ListParagraph"/>
        <w:numPr>
          <w:ilvl w:val="1"/>
          <w:numId w:val="14"/>
        </w:numPr>
        <w:spacing w:line="360" w:lineRule="auto"/>
        <w:ind w:hanging="860"/>
        <w:jc w:val="both"/>
      </w:pPr>
      <w:r>
        <w:t xml:space="preserve">If this change is not made, there will be sites across GB that are effectively double charged for the residual element of </w:t>
      </w:r>
      <w:proofErr w:type="spellStart"/>
      <w:r>
        <w:t>DUoS</w:t>
      </w:r>
      <w:proofErr w:type="spellEnd"/>
      <w:r>
        <w:t xml:space="preserve"> for the same capacity reserved on the distributor’s network</w:t>
      </w:r>
    </w:p>
    <w:p w14:paraId="06FAAF99" w14:textId="6DF9EFFE" w:rsidR="001021F6" w:rsidRPr="00845FD4" w:rsidRDefault="001021F6" w:rsidP="001021F6">
      <w:pPr>
        <w:pStyle w:val="Heading03"/>
      </w:pPr>
      <w:bookmarkStart w:id="10" w:name="_Toc113465292"/>
      <w:bookmarkEnd w:id="9"/>
      <w:r w:rsidRPr="00845FD4">
        <w:t xml:space="preserve">DCP </w:t>
      </w:r>
      <w:r w:rsidR="00383DEB">
        <w:t>409</w:t>
      </w:r>
      <w:r w:rsidRPr="00845FD4">
        <w:t xml:space="preserve"> </w:t>
      </w:r>
      <w:r>
        <w:t xml:space="preserve">Working Group </w:t>
      </w:r>
      <w:r w:rsidRPr="00845FD4">
        <w:t>Assessment</w:t>
      </w:r>
      <w:bookmarkEnd w:id="10"/>
    </w:p>
    <w:p w14:paraId="7FECC599" w14:textId="605D970B" w:rsidR="00F4220D" w:rsidRDefault="00B63CBC" w:rsidP="00587971">
      <w:pPr>
        <w:pStyle w:val="ListParagraph"/>
        <w:numPr>
          <w:ilvl w:val="1"/>
          <w:numId w:val="14"/>
        </w:numPr>
        <w:spacing w:line="360" w:lineRule="auto"/>
        <w:ind w:hanging="860"/>
        <w:jc w:val="both"/>
      </w:pPr>
      <w:r w:rsidRPr="00B63CBC">
        <w:t>The DCUSA Panel established a Working Group to assess DCP 40</w:t>
      </w:r>
      <w:r w:rsidR="00023625">
        <w:t>3</w:t>
      </w:r>
      <w:r w:rsidRPr="00B63CBC">
        <w:t>. Meetings were held in open session and the minutes and papers of each meeting are available on the DCUSA website – www.dcusa.co.uk.</w:t>
      </w:r>
    </w:p>
    <w:p w14:paraId="4964FDDB" w14:textId="4CA35FE9" w:rsidR="008A51AD" w:rsidRPr="00342DC3" w:rsidRDefault="00F52892" w:rsidP="008B3F8D">
      <w:pPr>
        <w:pStyle w:val="ListParagraph"/>
        <w:numPr>
          <w:ilvl w:val="1"/>
          <w:numId w:val="14"/>
        </w:numPr>
        <w:spacing w:line="360" w:lineRule="auto"/>
        <w:ind w:hanging="860"/>
        <w:jc w:val="both"/>
        <w:rPr>
          <w:rFonts w:cs="Arial"/>
          <w:szCs w:val="20"/>
        </w:rPr>
      </w:pPr>
      <w:r>
        <w:t xml:space="preserve">The Proposer walked the Working Group through the </w:t>
      </w:r>
      <w:r w:rsidR="006F798F">
        <w:t>CP</w:t>
      </w:r>
      <w:r>
        <w:t xml:space="preserve"> and noted that if approved, the potential benefit of the change is that it could result in </w:t>
      </w:r>
      <w:r w:rsidR="00FE4FB5">
        <w:t xml:space="preserve">customers being charged for </w:t>
      </w:r>
      <w:r w:rsidR="003C1B1D">
        <w:t>back-up</w:t>
      </w:r>
      <w:r w:rsidR="00FE4FB5">
        <w:t xml:space="preserve"> connections when they’re already paying on the main connection.</w:t>
      </w:r>
    </w:p>
    <w:p w14:paraId="3C91DC4F" w14:textId="77777777" w:rsidR="000B508A" w:rsidRDefault="000B508A" w:rsidP="008B3F8D">
      <w:pPr>
        <w:pStyle w:val="ListParagraph"/>
        <w:numPr>
          <w:ilvl w:val="1"/>
          <w:numId w:val="14"/>
        </w:numPr>
        <w:spacing w:line="360" w:lineRule="auto"/>
        <w:ind w:hanging="860"/>
        <w:jc w:val="both"/>
      </w:pPr>
      <w:r>
        <w:t xml:space="preserve">The Working Group considered the proposal and reviewed a line diagram of a current situation of where such residual charges are being applied together with the current definition of Single Site. </w:t>
      </w:r>
    </w:p>
    <w:p w14:paraId="42BD8AC8" w14:textId="77777777" w:rsidR="000B508A" w:rsidRDefault="000B508A" w:rsidP="008B3F8D">
      <w:pPr>
        <w:pStyle w:val="ListParagraph"/>
        <w:numPr>
          <w:ilvl w:val="1"/>
          <w:numId w:val="14"/>
        </w:numPr>
        <w:spacing w:line="360" w:lineRule="auto"/>
        <w:ind w:hanging="860"/>
        <w:jc w:val="both"/>
      </w:pPr>
      <w:r>
        <w:t xml:space="preserve">In the diagram below, the three customers’ main point of connection is with the Private Network Operator, with back up connections for the two embedded demand customers within the private network to the distribution system. All three have connection agreements, the back-up connection agreements in this example however are with the embedded demand customer and not the Private Network Operator. The back-up connections cannot operate in parallel due to a manual interlock device on each of the two demand customers. </w:t>
      </w:r>
    </w:p>
    <w:p w14:paraId="1F0C4F24" w14:textId="59F69A17" w:rsidR="000B508A" w:rsidRDefault="000B508A" w:rsidP="008B3F8D">
      <w:pPr>
        <w:pStyle w:val="ListParagraph"/>
        <w:spacing w:line="360" w:lineRule="auto"/>
        <w:ind w:left="576" w:hanging="860"/>
        <w:jc w:val="both"/>
      </w:pPr>
      <w:r>
        <w:rPr>
          <w:noProof/>
        </w:rPr>
        <w:lastRenderedPageBreak/>
        <w:drawing>
          <wp:inline distT="0" distB="0" distL="0" distR="0" wp14:anchorId="65EC7D5A" wp14:editId="757D10B3">
            <wp:extent cx="5728970" cy="2915920"/>
            <wp:effectExtent l="0" t="0" r="5080" b="17780"/>
            <wp:docPr id="2"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rt&#10;&#10;Description automatically generated"/>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5728970" cy="2915920"/>
                    </a:xfrm>
                    <a:prstGeom prst="rect">
                      <a:avLst/>
                    </a:prstGeom>
                    <a:noFill/>
                    <a:ln>
                      <a:noFill/>
                    </a:ln>
                  </pic:spPr>
                </pic:pic>
              </a:graphicData>
            </a:graphic>
          </wp:inline>
        </w:drawing>
      </w:r>
    </w:p>
    <w:p w14:paraId="0A753EEA" w14:textId="3C0B9C74" w:rsidR="000B508A" w:rsidRDefault="000B508A" w:rsidP="008B3F8D">
      <w:pPr>
        <w:pStyle w:val="ListParagraph"/>
        <w:numPr>
          <w:ilvl w:val="1"/>
          <w:numId w:val="14"/>
        </w:numPr>
        <w:spacing w:line="360" w:lineRule="auto"/>
        <w:ind w:hanging="860"/>
        <w:jc w:val="both"/>
      </w:pPr>
      <w:r>
        <w:t>The Working Group agreed with the proposer that under the current definition all three connections would be picking up a residual charge and to avoid this one of the options is that the connection agreements would need to be merged. However</w:t>
      </w:r>
      <w:r w:rsidR="006F798F">
        <w:t>,</w:t>
      </w:r>
      <w:r>
        <w:t xml:space="preserve"> due to the nature of the connection (i.e. the embedded demand customers have connection agreements with different entities – the private network for their primary connection and the DNO for their </w:t>
      </w:r>
      <w:r w:rsidR="003C1B1D">
        <w:t>back-up</w:t>
      </w:r>
      <w:r>
        <w:t xml:space="preserve"> connection) this option is not available.</w:t>
      </w:r>
    </w:p>
    <w:p w14:paraId="4EFB47EF" w14:textId="31E707EA" w:rsidR="000B508A" w:rsidRDefault="000B508A" w:rsidP="008B3F8D">
      <w:pPr>
        <w:pStyle w:val="ListParagraph"/>
        <w:numPr>
          <w:ilvl w:val="1"/>
          <w:numId w:val="14"/>
        </w:numPr>
        <w:spacing w:line="360" w:lineRule="auto"/>
        <w:ind w:hanging="860"/>
        <w:jc w:val="both"/>
      </w:pPr>
      <w:r>
        <w:t xml:space="preserve">The Working Group considered whether this was unique only to private networks or whether the same situation occurs with back-up connections with customers that have more than one connection agreement or whether the merging of connection agreements has started to take place because of the definition of Single </w:t>
      </w:r>
      <w:r w:rsidR="0014008D">
        <w:t>S</w:t>
      </w:r>
      <w:r>
        <w:t xml:space="preserve">ite. </w:t>
      </w:r>
    </w:p>
    <w:p w14:paraId="19038D1E" w14:textId="77777777" w:rsidR="000B508A" w:rsidRPr="006F798F" w:rsidRDefault="000B508A" w:rsidP="006F798F">
      <w:pPr>
        <w:spacing w:line="360" w:lineRule="auto"/>
        <w:jc w:val="both"/>
        <w:rPr>
          <w:b/>
          <w:bCs/>
        </w:rPr>
      </w:pPr>
      <w:r w:rsidRPr="006F798F">
        <w:rPr>
          <w:b/>
          <w:bCs/>
        </w:rPr>
        <w:t>Request for Information</w:t>
      </w:r>
    </w:p>
    <w:p w14:paraId="384983F4" w14:textId="0CAC8032" w:rsidR="000B508A" w:rsidRDefault="000B508A" w:rsidP="008B3F8D">
      <w:pPr>
        <w:pStyle w:val="ListParagraph"/>
        <w:numPr>
          <w:ilvl w:val="1"/>
          <w:numId w:val="14"/>
        </w:numPr>
        <w:spacing w:line="360" w:lineRule="auto"/>
        <w:ind w:hanging="860"/>
        <w:jc w:val="both"/>
      </w:pPr>
      <w:r>
        <w:t xml:space="preserve">The Working Group agreed to undertake a request for information to explore the current processes relating to </w:t>
      </w:r>
      <w:r w:rsidR="003C1B1D">
        <w:t>back-up</w:t>
      </w:r>
      <w:r>
        <w:t xml:space="preserve"> connections.</w:t>
      </w:r>
    </w:p>
    <w:p w14:paraId="1BF9D1C6" w14:textId="17DD62D0" w:rsidR="000B508A" w:rsidRPr="000B508A" w:rsidRDefault="000B508A" w:rsidP="008B3F8D">
      <w:pPr>
        <w:pStyle w:val="ListParagraph"/>
        <w:numPr>
          <w:ilvl w:val="1"/>
          <w:numId w:val="14"/>
        </w:numPr>
        <w:spacing w:line="360" w:lineRule="auto"/>
        <w:ind w:hanging="860"/>
        <w:jc w:val="both"/>
      </w:pPr>
      <w:r>
        <w:t>The Working Group had responses from five members to the request. A summary of</w:t>
      </w:r>
      <w:r w:rsidRPr="009E20B6">
        <w:t xml:space="preserve"> the </w:t>
      </w:r>
      <w:r w:rsidRPr="000B508A">
        <w:t>Working Group conclusions to each of the questions are shown below.</w:t>
      </w:r>
      <w:r w:rsidR="00870318" w:rsidRPr="00870318">
        <w:t xml:space="preserve"> </w:t>
      </w:r>
      <w:r w:rsidR="00870318">
        <w:t xml:space="preserve">The request and responses are in </w:t>
      </w:r>
      <w:r w:rsidR="00870318" w:rsidRPr="001B4D00">
        <w:rPr>
          <w:b/>
          <w:bCs/>
        </w:rPr>
        <w:t>attachment 5.</w:t>
      </w:r>
    </w:p>
    <w:p w14:paraId="59F15B2A" w14:textId="77777777" w:rsidR="000B508A" w:rsidRPr="009E20B6" w:rsidRDefault="000B508A" w:rsidP="006F798F">
      <w:pPr>
        <w:spacing w:line="360" w:lineRule="auto"/>
        <w:jc w:val="both"/>
        <w:rPr>
          <w:b/>
          <w:bCs/>
        </w:rPr>
      </w:pPr>
      <w:r w:rsidRPr="009E20B6">
        <w:rPr>
          <w:b/>
          <w:bCs/>
        </w:rPr>
        <w:t>Licence distribution connections</w:t>
      </w:r>
    </w:p>
    <w:p w14:paraId="1B4349FA" w14:textId="537B650A" w:rsidR="000B508A" w:rsidRPr="009E20B6" w:rsidRDefault="000B508A" w:rsidP="006F798F">
      <w:pPr>
        <w:spacing w:line="360" w:lineRule="auto"/>
        <w:jc w:val="both"/>
        <w:rPr>
          <w:b/>
          <w:bCs/>
          <w:i/>
          <w:iCs/>
        </w:rPr>
      </w:pPr>
      <w:r w:rsidRPr="009E20B6">
        <w:rPr>
          <w:b/>
          <w:bCs/>
          <w:i/>
          <w:iCs/>
        </w:rPr>
        <w:t xml:space="preserve">How many </w:t>
      </w:r>
      <w:r w:rsidR="0014008D">
        <w:rPr>
          <w:b/>
          <w:bCs/>
          <w:i/>
          <w:iCs/>
        </w:rPr>
        <w:t>S</w:t>
      </w:r>
      <w:r w:rsidRPr="009E20B6">
        <w:rPr>
          <w:b/>
          <w:bCs/>
          <w:i/>
          <w:iCs/>
        </w:rPr>
        <w:t xml:space="preserve">ingle </w:t>
      </w:r>
      <w:r w:rsidR="0014008D">
        <w:rPr>
          <w:b/>
          <w:bCs/>
          <w:i/>
          <w:iCs/>
        </w:rPr>
        <w:t>S</w:t>
      </w:r>
      <w:r w:rsidRPr="009E20B6">
        <w:rPr>
          <w:b/>
          <w:bCs/>
          <w:i/>
          <w:iCs/>
        </w:rPr>
        <w:t xml:space="preserve">ites have a separate </w:t>
      </w:r>
      <w:r w:rsidR="003C1B1D">
        <w:rPr>
          <w:b/>
          <w:bCs/>
          <w:i/>
          <w:iCs/>
        </w:rPr>
        <w:t>back-up</w:t>
      </w:r>
      <w:r w:rsidRPr="009E20B6">
        <w:rPr>
          <w:b/>
          <w:bCs/>
          <w:i/>
          <w:iCs/>
        </w:rPr>
        <w:t xml:space="preserve"> connection agreement?</w:t>
      </w:r>
    </w:p>
    <w:p w14:paraId="7F79CEFD" w14:textId="46AF8385" w:rsidR="000B508A" w:rsidRDefault="000B508A" w:rsidP="008B3F8D">
      <w:pPr>
        <w:pStyle w:val="ListParagraph"/>
        <w:numPr>
          <w:ilvl w:val="1"/>
          <w:numId w:val="14"/>
        </w:numPr>
        <w:spacing w:line="360" w:lineRule="auto"/>
        <w:ind w:hanging="860"/>
        <w:jc w:val="both"/>
      </w:pPr>
      <w:r>
        <w:t xml:space="preserve">The feedback was mixed </w:t>
      </w:r>
      <w:r w:rsidR="00870318">
        <w:t xml:space="preserve">ranging </w:t>
      </w:r>
      <w:r>
        <w:t xml:space="preserve">from two </w:t>
      </w:r>
      <w:r w:rsidR="00870318">
        <w:t xml:space="preserve">respondents </w:t>
      </w:r>
      <w:r>
        <w:t>who provided numbers although small, to other</w:t>
      </w:r>
      <w:r w:rsidR="00870318">
        <w:t xml:space="preserve"> respondents</w:t>
      </w:r>
      <w:r>
        <w:t xml:space="preserve"> who were unable to provide the information. One respondent suggested that self-declaration of such arrangement</w:t>
      </w:r>
      <w:r w:rsidR="00870318">
        <w:t>s</w:t>
      </w:r>
      <w:r>
        <w:t xml:space="preserve"> would be helpful.</w:t>
      </w:r>
    </w:p>
    <w:p w14:paraId="7F06B193" w14:textId="75D0E7D0" w:rsidR="000B508A" w:rsidRPr="009E20B6" w:rsidRDefault="000B508A" w:rsidP="006F798F">
      <w:pPr>
        <w:spacing w:line="360" w:lineRule="auto"/>
        <w:jc w:val="both"/>
        <w:rPr>
          <w:b/>
          <w:bCs/>
          <w:i/>
          <w:iCs/>
        </w:rPr>
      </w:pPr>
      <w:r w:rsidRPr="009E20B6">
        <w:rPr>
          <w:b/>
          <w:bCs/>
          <w:i/>
          <w:iCs/>
        </w:rPr>
        <w:t xml:space="preserve">Are there any </w:t>
      </w:r>
      <w:r w:rsidR="0014008D">
        <w:rPr>
          <w:b/>
          <w:bCs/>
          <w:i/>
          <w:iCs/>
        </w:rPr>
        <w:t>S</w:t>
      </w:r>
      <w:r w:rsidRPr="009E20B6">
        <w:rPr>
          <w:b/>
          <w:bCs/>
          <w:i/>
          <w:iCs/>
        </w:rPr>
        <w:t xml:space="preserve">ingle </w:t>
      </w:r>
      <w:r w:rsidR="0014008D">
        <w:rPr>
          <w:b/>
          <w:bCs/>
          <w:i/>
          <w:iCs/>
        </w:rPr>
        <w:t>S</w:t>
      </w:r>
      <w:r w:rsidRPr="009E20B6">
        <w:rPr>
          <w:b/>
          <w:bCs/>
          <w:i/>
          <w:iCs/>
        </w:rPr>
        <w:t>ites with more than one back up connection agreement? Please indicate how many.</w:t>
      </w:r>
    </w:p>
    <w:p w14:paraId="3ED7435F" w14:textId="551691BA" w:rsidR="000B508A" w:rsidRDefault="000B508A" w:rsidP="008B3F8D">
      <w:pPr>
        <w:pStyle w:val="ListParagraph"/>
        <w:numPr>
          <w:ilvl w:val="1"/>
          <w:numId w:val="14"/>
        </w:numPr>
        <w:spacing w:line="360" w:lineRule="auto"/>
        <w:ind w:hanging="860"/>
        <w:jc w:val="both"/>
      </w:pPr>
      <w:r>
        <w:t xml:space="preserve">A similar response </w:t>
      </w:r>
      <w:r w:rsidR="003C1B1D">
        <w:t xml:space="preserve">was received </w:t>
      </w:r>
      <w:r>
        <w:t>to th</w:t>
      </w:r>
      <w:r w:rsidR="003C1B1D">
        <w:t>at of the</w:t>
      </w:r>
      <w:r>
        <w:t xml:space="preserve"> first question, </w:t>
      </w:r>
      <w:r w:rsidR="003C1B1D">
        <w:t xml:space="preserve">the respondents quoted </w:t>
      </w:r>
      <w:r>
        <w:t>either zero or unknown.</w:t>
      </w:r>
    </w:p>
    <w:p w14:paraId="63406DCC" w14:textId="77777777" w:rsidR="000B508A" w:rsidRPr="009E20B6" w:rsidRDefault="000B508A" w:rsidP="006F798F">
      <w:pPr>
        <w:spacing w:line="360" w:lineRule="auto"/>
        <w:jc w:val="both"/>
        <w:rPr>
          <w:b/>
          <w:bCs/>
          <w:i/>
          <w:iCs/>
        </w:rPr>
      </w:pPr>
      <w:r w:rsidRPr="009E20B6">
        <w:rPr>
          <w:b/>
          <w:bCs/>
          <w:i/>
          <w:iCs/>
        </w:rPr>
        <w:lastRenderedPageBreak/>
        <w:t>Have you approached or been approached by customers to merge agreements? If so, how many and how long does it take to merge them?</w:t>
      </w:r>
    </w:p>
    <w:p w14:paraId="39C12698" w14:textId="77777777" w:rsidR="000B508A" w:rsidRDefault="000B508A" w:rsidP="008B3F8D">
      <w:pPr>
        <w:pStyle w:val="ListParagraph"/>
        <w:numPr>
          <w:ilvl w:val="1"/>
          <w:numId w:val="14"/>
        </w:numPr>
        <w:spacing w:line="360" w:lineRule="auto"/>
        <w:ind w:hanging="860"/>
        <w:jc w:val="both"/>
      </w:pPr>
      <w:r>
        <w:t>Only one respondent could cite an instant where they had been approached to merge agreements.</w:t>
      </w:r>
    </w:p>
    <w:p w14:paraId="41F255E2" w14:textId="77777777" w:rsidR="000B508A" w:rsidRDefault="000B508A" w:rsidP="00870318">
      <w:pPr>
        <w:spacing w:line="360" w:lineRule="auto"/>
        <w:jc w:val="both"/>
      </w:pPr>
      <w:r w:rsidRPr="009E20B6">
        <w:rPr>
          <w:b/>
          <w:bCs/>
          <w:i/>
          <w:iCs/>
        </w:rPr>
        <w:t>Are there any instances where the merging of agreements cannot be achieved? If so, please provide examples</w:t>
      </w:r>
      <w:r>
        <w:t>.</w:t>
      </w:r>
    </w:p>
    <w:p w14:paraId="08D58F94" w14:textId="67BAE3C3" w:rsidR="000B508A" w:rsidRDefault="000B508A" w:rsidP="008B3F8D">
      <w:pPr>
        <w:pStyle w:val="ListParagraph"/>
        <w:numPr>
          <w:ilvl w:val="1"/>
          <w:numId w:val="14"/>
        </w:numPr>
        <w:spacing w:line="360" w:lineRule="auto"/>
        <w:ind w:hanging="860"/>
        <w:jc w:val="both"/>
      </w:pPr>
      <w:r>
        <w:t xml:space="preserve">The examples provided </w:t>
      </w:r>
      <w:r w:rsidR="00870318">
        <w:t>were</w:t>
      </w:r>
      <w:r>
        <w:t xml:space="preserve"> </w:t>
      </w:r>
      <w:r w:rsidR="00870318">
        <w:t xml:space="preserve">for arrangements with </w:t>
      </w:r>
      <w:r>
        <w:t xml:space="preserve">different voltages, different LLFCs, different customers </w:t>
      </w:r>
      <w:r w:rsidR="00870318">
        <w:t>or determined on</w:t>
      </w:r>
      <w:r>
        <w:t xml:space="preserve"> a site-by-site basis.</w:t>
      </w:r>
    </w:p>
    <w:p w14:paraId="03F1D764" w14:textId="77777777" w:rsidR="000B508A" w:rsidRPr="009E20B6" w:rsidRDefault="000B508A" w:rsidP="00870318">
      <w:pPr>
        <w:spacing w:line="360" w:lineRule="auto"/>
        <w:jc w:val="both"/>
        <w:rPr>
          <w:b/>
          <w:bCs/>
          <w:i/>
          <w:iCs/>
        </w:rPr>
      </w:pPr>
      <w:r w:rsidRPr="009E20B6">
        <w:rPr>
          <w:b/>
          <w:bCs/>
          <w:i/>
          <w:iCs/>
        </w:rPr>
        <w:t>Do you charge, or would you charge the residual charge for a back-up connection which has its own, separate connection agreement?</w:t>
      </w:r>
    </w:p>
    <w:p w14:paraId="6FE0DAC3" w14:textId="7BBA7E98" w:rsidR="000B508A" w:rsidRDefault="000B508A" w:rsidP="008B3F8D">
      <w:pPr>
        <w:pStyle w:val="ListParagraph"/>
        <w:numPr>
          <w:ilvl w:val="1"/>
          <w:numId w:val="14"/>
        </w:numPr>
        <w:spacing w:line="360" w:lineRule="auto"/>
        <w:ind w:hanging="860"/>
        <w:jc w:val="both"/>
      </w:pPr>
      <w:r>
        <w:t xml:space="preserve">The respondents would charge apart from one </w:t>
      </w:r>
      <w:r w:rsidR="00870318">
        <w:t xml:space="preserve">respondent </w:t>
      </w:r>
      <w:r>
        <w:t>who would aggregate based on using the same LLFC although it is suspected that this may be an error and in fact, they do not have any such arrangements as stated in an earlier response.</w:t>
      </w:r>
    </w:p>
    <w:p w14:paraId="203556F7" w14:textId="284F3DF6" w:rsidR="000B508A" w:rsidRDefault="000B508A" w:rsidP="008B3F8D">
      <w:pPr>
        <w:pStyle w:val="ListParagraph"/>
        <w:numPr>
          <w:ilvl w:val="1"/>
          <w:numId w:val="14"/>
        </w:numPr>
        <w:spacing w:line="360" w:lineRule="auto"/>
        <w:ind w:hanging="860"/>
        <w:jc w:val="both"/>
      </w:pPr>
      <w:r>
        <w:t xml:space="preserve">One respondent stated that there is a specific set of circumstances whereby some large Extra High Voltage customers, for example airports, are purposefully put on to a separate Grid Supply Point (GSP) so don’t share any distribution infrastructure with their main connection. These customers are reserving capacity on the </w:t>
      </w:r>
      <w:r w:rsidR="003C1B1D">
        <w:t>back-up</w:t>
      </w:r>
      <w:r>
        <w:t xml:space="preserve"> circuit that cannot be offered to other customers. The respondent is of the view that such a circumstance should be out of the scope of the CP and would expect these customers to continue paying the residual element of the standing charge on both connections.</w:t>
      </w:r>
    </w:p>
    <w:p w14:paraId="3955F967" w14:textId="77777777" w:rsidR="000B508A" w:rsidRPr="009E20B6" w:rsidRDefault="000B508A" w:rsidP="00870318">
      <w:pPr>
        <w:spacing w:line="360" w:lineRule="auto"/>
        <w:jc w:val="both"/>
        <w:rPr>
          <w:b/>
          <w:bCs/>
        </w:rPr>
      </w:pPr>
      <w:r w:rsidRPr="009E20B6">
        <w:rPr>
          <w:b/>
          <w:bCs/>
        </w:rPr>
        <w:t>Private Networks</w:t>
      </w:r>
    </w:p>
    <w:p w14:paraId="324DBCAF" w14:textId="1F4424F5" w:rsidR="000B508A" w:rsidRDefault="000B508A" w:rsidP="008B3F8D">
      <w:pPr>
        <w:pStyle w:val="ListParagraph"/>
        <w:numPr>
          <w:ilvl w:val="1"/>
          <w:numId w:val="14"/>
        </w:numPr>
        <w:spacing w:line="360" w:lineRule="auto"/>
        <w:ind w:hanging="860"/>
        <w:jc w:val="both"/>
      </w:pPr>
      <w:r>
        <w:t xml:space="preserve">The following questions were then asked where there was a Private Network Operator connection agreement with </w:t>
      </w:r>
      <w:r w:rsidR="003C1B1D">
        <w:t>back-up</w:t>
      </w:r>
      <w:r>
        <w:t xml:space="preserve"> connections with the distributor for embedded customers on the private network operator site (as per </w:t>
      </w:r>
      <w:r w:rsidR="0014008D">
        <w:t>the CP</w:t>
      </w:r>
      <w:r>
        <w:t>).</w:t>
      </w:r>
    </w:p>
    <w:p w14:paraId="6B4C5E5D" w14:textId="77777777" w:rsidR="000B508A" w:rsidRPr="009E20B6" w:rsidRDefault="000B508A" w:rsidP="00870318">
      <w:pPr>
        <w:spacing w:line="360" w:lineRule="auto"/>
        <w:jc w:val="both"/>
        <w:rPr>
          <w:b/>
          <w:bCs/>
          <w:i/>
          <w:iCs/>
        </w:rPr>
      </w:pPr>
      <w:r w:rsidRPr="009E20B6">
        <w:rPr>
          <w:b/>
          <w:bCs/>
          <w:i/>
          <w:iCs/>
        </w:rPr>
        <w:t>How many of these arrangements exist on your network?</w:t>
      </w:r>
    </w:p>
    <w:p w14:paraId="6BCCF8FD" w14:textId="208AB834" w:rsidR="000B508A" w:rsidRDefault="003C1B1D" w:rsidP="008B3F8D">
      <w:pPr>
        <w:pStyle w:val="ListParagraph"/>
        <w:numPr>
          <w:ilvl w:val="1"/>
          <w:numId w:val="14"/>
        </w:numPr>
        <w:spacing w:line="360" w:lineRule="auto"/>
        <w:ind w:hanging="860"/>
        <w:jc w:val="both"/>
      </w:pPr>
      <w:r>
        <w:t>The respondents indicated that there were n</w:t>
      </w:r>
      <w:r w:rsidR="000B508A">
        <w:t>one or not aware of any.</w:t>
      </w:r>
    </w:p>
    <w:p w14:paraId="3178EEA2" w14:textId="77777777" w:rsidR="000B508A" w:rsidRPr="009E20B6" w:rsidRDefault="000B508A" w:rsidP="00870318">
      <w:pPr>
        <w:spacing w:line="360" w:lineRule="auto"/>
        <w:jc w:val="both"/>
        <w:rPr>
          <w:b/>
          <w:bCs/>
          <w:i/>
          <w:iCs/>
        </w:rPr>
      </w:pPr>
      <w:r w:rsidRPr="009E20B6">
        <w:rPr>
          <w:b/>
          <w:bCs/>
          <w:i/>
          <w:iCs/>
        </w:rPr>
        <w:t>Do you charge, or would you charge the residual charge for a back-up connection which has its own, separate connection agreement?</w:t>
      </w:r>
    </w:p>
    <w:p w14:paraId="076785E9" w14:textId="75441542" w:rsidR="000B508A" w:rsidRDefault="000B508A" w:rsidP="008B3F8D">
      <w:pPr>
        <w:pStyle w:val="ListParagraph"/>
        <w:numPr>
          <w:ilvl w:val="1"/>
          <w:numId w:val="14"/>
        </w:numPr>
        <w:spacing w:line="360" w:lineRule="auto"/>
        <w:ind w:hanging="860"/>
        <w:jc w:val="both"/>
      </w:pPr>
      <w:r>
        <w:t xml:space="preserve">Most </w:t>
      </w:r>
      <w:r w:rsidR="003C1B1D">
        <w:t>of the respondents indicated</w:t>
      </w:r>
      <w:r>
        <w:t xml:space="preserve"> that they would charge.</w:t>
      </w:r>
    </w:p>
    <w:p w14:paraId="2988F2F1" w14:textId="77777777" w:rsidR="000B508A" w:rsidRPr="009E20B6" w:rsidRDefault="000B508A" w:rsidP="00870318">
      <w:pPr>
        <w:spacing w:line="360" w:lineRule="auto"/>
        <w:jc w:val="both"/>
        <w:rPr>
          <w:b/>
          <w:bCs/>
          <w:i/>
          <w:iCs/>
        </w:rPr>
      </w:pPr>
      <w:r w:rsidRPr="009E20B6">
        <w:rPr>
          <w:b/>
          <w:bCs/>
          <w:i/>
          <w:iCs/>
        </w:rPr>
        <w:t>RFI Overall Summary</w:t>
      </w:r>
    </w:p>
    <w:p w14:paraId="05DCE358" w14:textId="38622773" w:rsidR="000B508A" w:rsidRDefault="000B508A" w:rsidP="008B3F8D">
      <w:pPr>
        <w:pStyle w:val="ListParagraph"/>
        <w:numPr>
          <w:ilvl w:val="1"/>
          <w:numId w:val="14"/>
        </w:numPr>
        <w:spacing w:line="360" w:lineRule="auto"/>
        <w:ind w:hanging="860"/>
        <w:jc w:val="both"/>
      </w:pPr>
      <w:r>
        <w:t>The Working Group’s overall conclusions are that if the back</w:t>
      </w:r>
      <w:r w:rsidR="003C1B1D">
        <w:t>-</w:t>
      </w:r>
      <w:r>
        <w:t xml:space="preserve">up connections were on different connection agreements, they would be charged the residual charge. </w:t>
      </w:r>
    </w:p>
    <w:p w14:paraId="2EF9AF97" w14:textId="4E08884F" w:rsidR="003C1B1D" w:rsidRDefault="003C1B1D" w:rsidP="008B3F8D">
      <w:pPr>
        <w:pStyle w:val="ListParagraph"/>
        <w:numPr>
          <w:ilvl w:val="1"/>
          <w:numId w:val="14"/>
        </w:numPr>
        <w:spacing w:line="360" w:lineRule="auto"/>
        <w:ind w:hanging="860"/>
        <w:jc w:val="both"/>
      </w:pPr>
      <w:r>
        <w:t xml:space="preserve">The Working Group agreed to include a question on whether the back-up connection to a Single Site from a different GSP should result in residual charges being applied or whether it shouldn’t. </w:t>
      </w:r>
    </w:p>
    <w:p w14:paraId="060A47A4" w14:textId="77777777" w:rsidR="000B508A" w:rsidRDefault="000B508A" w:rsidP="008B3F8D">
      <w:pPr>
        <w:pStyle w:val="ListParagraph"/>
        <w:numPr>
          <w:ilvl w:val="1"/>
          <w:numId w:val="14"/>
        </w:numPr>
        <w:spacing w:line="360" w:lineRule="auto"/>
        <w:ind w:hanging="860"/>
        <w:jc w:val="both"/>
      </w:pPr>
      <w:r>
        <w:t>The Working Group also concluded that there aren’t many instances of these agreements that industry is aware of due to limited information on these types of sites.</w:t>
      </w:r>
    </w:p>
    <w:p w14:paraId="536B198C" w14:textId="77777777" w:rsidR="000B508A" w:rsidRPr="00EE2320" w:rsidRDefault="000B508A" w:rsidP="00870318">
      <w:pPr>
        <w:spacing w:line="360" w:lineRule="auto"/>
        <w:jc w:val="both"/>
        <w:rPr>
          <w:b/>
          <w:bCs/>
        </w:rPr>
      </w:pPr>
      <w:r w:rsidRPr="00EE2320">
        <w:rPr>
          <w:b/>
          <w:bCs/>
        </w:rPr>
        <w:lastRenderedPageBreak/>
        <w:t>Redundant connections</w:t>
      </w:r>
    </w:p>
    <w:p w14:paraId="4EBFE7D3" w14:textId="78C63412" w:rsidR="000B508A" w:rsidRDefault="000B508A" w:rsidP="008B3F8D">
      <w:pPr>
        <w:pStyle w:val="ListParagraph"/>
        <w:numPr>
          <w:ilvl w:val="1"/>
          <w:numId w:val="14"/>
        </w:numPr>
        <w:spacing w:line="360" w:lineRule="auto"/>
        <w:ind w:hanging="860"/>
        <w:jc w:val="both"/>
      </w:pPr>
      <w:r>
        <w:t xml:space="preserve">The Working Group discussed the rationale for the change. Whilst Ofgem, in their TCR decision document, referred to redundant connections and provided a definition for these, they did not specify that such </w:t>
      </w:r>
      <w:r w:rsidR="003C1B1D">
        <w:t>back-up</w:t>
      </w:r>
      <w:r>
        <w:t xml:space="preserve"> connection sites should be treated differently to other </w:t>
      </w:r>
      <w:r w:rsidR="0014008D">
        <w:t>S</w:t>
      </w:r>
      <w:r>
        <w:t xml:space="preserve">ingle </w:t>
      </w:r>
      <w:r w:rsidR="0014008D">
        <w:t>S</w:t>
      </w:r>
      <w:r>
        <w:t>ites in terms of their residual liability but did state that a process should be put in place. However, some Working Group members considered that exempting such connections from their residual liability was justified and within the spirit of the TCR.</w:t>
      </w:r>
    </w:p>
    <w:p w14:paraId="332D6CEF" w14:textId="77777777" w:rsidR="000B508A" w:rsidRDefault="000B508A" w:rsidP="008B3F8D">
      <w:pPr>
        <w:pStyle w:val="ListParagraph"/>
        <w:numPr>
          <w:ilvl w:val="1"/>
          <w:numId w:val="14"/>
        </w:numPr>
        <w:spacing w:line="360" w:lineRule="auto"/>
        <w:ind w:hanging="860"/>
        <w:jc w:val="both"/>
      </w:pPr>
      <w:r>
        <w:t xml:space="preserve">The Working Group reviewed </w:t>
      </w:r>
      <w:proofErr w:type="gramStart"/>
      <w:r>
        <w:t>a number of</w:t>
      </w:r>
      <w:proofErr w:type="gramEnd"/>
      <w:r>
        <w:t xml:space="preserve"> scenarios:</w:t>
      </w:r>
    </w:p>
    <w:p w14:paraId="70B8DA26" w14:textId="782F5611" w:rsidR="000B508A" w:rsidRDefault="000B508A" w:rsidP="003C1B1D">
      <w:pPr>
        <w:pStyle w:val="ListParagraph"/>
        <w:numPr>
          <w:ilvl w:val="1"/>
          <w:numId w:val="50"/>
        </w:numPr>
        <w:tabs>
          <w:tab w:val="left" w:pos="1701"/>
        </w:tabs>
        <w:spacing w:line="360" w:lineRule="auto"/>
        <w:ind w:left="1701" w:hanging="850"/>
        <w:jc w:val="both"/>
      </w:pPr>
      <w:r>
        <w:t xml:space="preserve">Main connection and </w:t>
      </w:r>
      <w:r w:rsidR="003C1B1D">
        <w:t>back-up</w:t>
      </w:r>
      <w:r>
        <w:t xml:space="preserve"> connection on same connection </w:t>
      </w:r>
      <w:proofErr w:type="gramStart"/>
      <w:r>
        <w:t>agreement;</w:t>
      </w:r>
      <w:proofErr w:type="gramEnd"/>
    </w:p>
    <w:p w14:paraId="7E95CF06" w14:textId="3637D3BF" w:rsidR="000B508A" w:rsidRDefault="000B508A" w:rsidP="003C1B1D">
      <w:pPr>
        <w:pStyle w:val="ListParagraph"/>
        <w:numPr>
          <w:ilvl w:val="1"/>
          <w:numId w:val="50"/>
        </w:numPr>
        <w:tabs>
          <w:tab w:val="left" w:pos="1701"/>
        </w:tabs>
        <w:spacing w:line="360" w:lineRule="auto"/>
        <w:ind w:left="1701" w:hanging="850"/>
        <w:jc w:val="both"/>
      </w:pPr>
      <w:r>
        <w:t xml:space="preserve">Main connection and </w:t>
      </w:r>
      <w:r w:rsidR="003C1B1D">
        <w:t>back-up</w:t>
      </w:r>
      <w:r>
        <w:t xml:space="preserve"> connection on different connection agreements with same customer; and</w:t>
      </w:r>
    </w:p>
    <w:p w14:paraId="543416AF" w14:textId="57283DB3" w:rsidR="000B508A" w:rsidRDefault="000B508A" w:rsidP="003C1B1D">
      <w:pPr>
        <w:pStyle w:val="ListParagraph"/>
        <w:numPr>
          <w:ilvl w:val="1"/>
          <w:numId w:val="50"/>
        </w:numPr>
        <w:tabs>
          <w:tab w:val="left" w:pos="1701"/>
        </w:tabs>
        <w:spacing w:line="360" w:lineRule="auto"/>
        <w:ind w:left="1701" w:hanging="850"/>
        <w:jc w:val="both"/>
      </w:pPr>
      <w:r>
        <w:t xml:space="preserve">Main connection and </w:t>
      </w:r>
      <w:r w:rsidR="003C1B1D">
        <w:t>back-up</w:t>
      </w:r>
      <w:r>
        <w:t xml:space="preserve"> connection on different connection agreements with different customers.</w:t>
      </w:r>
    </w:p>
    <w:p w14:paraId="6D571B00" w14:textId="019864A5" w:rsidR="000B508A" w:rsidRPr="009E20B6" w:rsidRDefault="000B508A" w:rsidP="003C1B1D">
      <w:pPr>
        <w:spacing w:line="360" w:lineRule="auto"/>
        <w:jc w:val="both"/>
        <w:rPr>
          <w:u w:val="single"/>
        </w:rPr>
      </w:pPr>
      <w:r w:rsidRPr="009E20B6">
        <w:rPr>
          <w:u w:val="single"/>
        </w:rPr>
        <w:t xml:space="preserve">Main connection and </w:t>
      </w:r>
      <w:r w:rsidR="003C1B1D">
        <w:rPr>
          <w:u w:val="single"/>
        </w:rPr>
        <w:t>back-up</w:t>
      </w:r>
      <w:r w:rsidRPr="009E20B6">
        <w:rPr>
          <w:u w:val="single"/>
        </w:rPr>
        <w:t xml:space="preserve"> connection on same connection agreement</w:t>
      </w:r>
    </w:p>
    <w:p w14:paraId="41B3D0A0" w14:textId="64AB940D" w:rsidR="000B508A" w:rsidRDefault="000B508A" w:rsidP="008B3F8D">
      <w:pPr>
        <w:pStyle w:val="ListParagraph"/>
        <w:numPr>
          <w:ilvl w:val="1"/>
          <w:numId w:val="14"/>
        </w:numPr>
        <w:spacing w:line="360" w:lineRule="auto"/>
        <w:ind w:hanging="860"/>
        <w:jc w:val="both"/>
      </w:pPr>
      <w:r>
        <w:t xml:space="preserve">Under this arrangement there would be only one residual charge because there is only one connection agreement. This arrangement exists for both multi feeder sites as well as </w:t>
      </w:r>
      <w:r w:rsidR="003C1B1D">
        <w:t>back-up</w:t>
      </w:r>
      <w:r>
        <w:t xml:space="preserve"> connections and the consumption are aggregated across each connection points. This is the status quo and meets the legal definition.</w:t>
      </w:r>
    </w:p>
    <w:p w14:paraId="2A576D42" w14:textId="46FEDC61" w:rsidR="000B508A" w:rsidRPr="009E20B6" w:rsidRDefault="000B508A" w:rsidP="003C1B1D">
      <w:pPr>
        <w:spacing w:line="360" w:lineRule="auto"/>
        <w:jc w:val="both"/>
        <w:rPr>
          <w:u w:val="single"/>
        </w:rPr>
      </w:pPr>
      <w:r w:rsidRPr="009E20B6">
        <w:rPr>
          <w:u w:val="single"/>
        </w:rPr>
        <w:t xml:space="preserve">Main connection and </w:t>
      </w:r>
      <w:r w:rsidR="003C1B1D">
        <w:rPr>
          <w:u w:val="single"/>
        </w:rPr>
        <w:t>back-up</w:t>
      </w:r>
      <w:r w:rsidRPr="009E20B6">
        <w:rPr>
          <w:u w:val="single"/>
        </w:rPr>
        <w:t xml:space="preserve"> connection on different connection agreements with same customer</w:t>
      </w:r>
    </w:p>
    <w:p w14:paraId="77073C5D" w14:textId="52F75204" w:rsidR="000B508A" w:rsidRDefault="000B508A" w:rsidP="008B3F8D">
      <w:pPr>
        <w:pStyle w:val="ListParagraph"/>
        <w:numPr>
          <w:ilvl w:val="1"/>
          <w:numId w:val="14"/>
        </w:numPr>
        <w:spacing w:line="360" w:lineRule="auto"/>
        <w:ind w:hanging="860"/>
        <w:jc w:val="both"/>
      </w:pPr>
      <w:r>
        <w:t xml:space="preserve">Under this arrangement there would be two residual charges because there are two connection agreements. To meet the current definition these agreements could be merged or facilitated by this </w:t>
      </w:r>
      <w:r w:rsidR="0014008D">
        <w:t>CP</w:t>
      </w:r>
      <w:r>
        <w:t>. The volumes seem to be low based on the RFI.</w:t>
      </w:r>
    </w:p>
    <w:p w14:paraId="6BA3AF3F" w14:textId="0D9D9690" w:rsidR="000B508A" w:rsidRPr="009E20B6" w:rsidRDefault="000B508A" w:rsidP="0014008D">
      <w:pPr>
        <w:spacing w:line="360" w:lineRule="auto"/>
        <w:jc w:val="both"/>
        <w:rPr>
          <w:u w:val="single"/>
        </w:rPr>
      </w:pPr>
      <w:r w:rsidRPr="009E20B6">
        <w:rPr>
          <w:u w:val="single"/>
        </w:rPr>
        <w:t xml:space="preserve">Main connection and </w:t>
      </w:r>
      <w:r w:rsidR="003C1B1D">
        <w:rPr>
          <w:u w:val="single"/>
        </w:rPr>
        <w:t>back-up</w:t>
      </w:r>
      <w:r w:rsidRPr="009E20B6">
        <w:rPr>
          <w:u w:val="single"/>
        </w:rPr>
        <w:t xml:space="preserve"> connection on different connection agreements with different customers</w:t>
      </w:r>
    </w:p>
    <w:p w14:paraId="018700A5" w14:textId="0626D307" w:rsidR="000B508A" w:rsidRDefault="000B508A" w:rsidP="008B3F8D">
      <w:pPr>
        <w:pStyle w:val="ListParagraph"/>
        <w:numPr>
          <w:ilvl w:val="1"/>
          <w:numId w:val="14"/>
        </w:numPr>
        <w:spacing w:line="360" w:lineRule="auto"/>
        <w:ind w:hanging="860"/>
        <w:jc w:val="both"/>
      </w:pPr>
      <w:r>
        <w:t xml:space="preserve">Under this arrangement there would be residual charges to each customer because there are multiple connection agreements. The complexity is that these customers are on a private network and the distribution connection is a </w:t>
      </w:r>
      <w:r w:rsidR="003C1B1D">
        <w:t>back-up</w:t>
      </w:r>
      <w:r>
        <w:t xml:space="preserve"> should there be a fault on the private network. However, they could not operate in parallel (to meet the TCR redundant connection capacity criteria and in the example shown in paragraph </w:t>
      </w:r>
      <w:r w:rsidR="0014008D">
        <w:t>4.4</w:t>
      </w:r>
      <w:r>
        <w:t xml:space="preserve">. The RFI indicated that such arrangements are none or not aware of any. However, this </w:t>
      </w:r>
      <w:r w:rsidR="0014008D">
        <w:t>CP</w:t>
      </w:r>
      <w:r>
        <w:t xml:space="preserve"> has identified one such arrangement.</w:t>
      </w:r>
    </w:p>
    <w:p w14:paraId="21B9D5A9" w14:textId="4A2B468C" w:rsidR="00D06BF1" w:rsidRPr="00EE2320" w:rsidRDefault="000B508A" w:rsidP="008B3F8D">
      <w:pPr>
        <w:pStyle w:val="ListParagraph"/>
        <w:numPr>
          <w:ilvl w:val="1"/>
          <w:numId w:val="14"/>
        </w:numPr>
        <w:spacing w:line="360" w:lineRule="auto"/>
        <w:ind w:hanging="860"/>
        <w:jc w:val="both"/>
        <w:rPr>
          <w:rFonts w:cs="Arial"/>
          <w:szCs w:val="20"/>
        </w:rPr>
      </w:pPr>
      <w:r>
        <w:t xml:space="preserve">The Working Group sought clarification from Ofgem on whether the TCR decision on the definition of a </w:t>
      </w:r>
      <w:r w:rsidR="0014008D">
        <w:t>S</w:t>
      </w:r>
      <w:r>
        <w:t xml:space="preserve">ingle </w:t>
      </w:r>
      <w:r w:rsidR="0014008D">
        <w:t>S</w:t>
      </w:r>
      <w:r>
        <w:t xml:space="preserve">ite was specific to one customer or multiple customers (as is the case here). Ofgem confirmed that they are responsible for licenced distributors and as such the understanding is that each will be classed as a </w:t>
      </w:r>
      <w:r w:rsidR="0014008D">
        <w:t>S</w:t>
      </w:r>
      <w:r>
        <w:t xml:space="preserve">ingle </w:t>
      </w:r>
      <w:r w:rsidR="0014008D">
        <w:t>S</w:t>
      </w:r>
      <w:r>
        <w:t>ite in line with the TCR decision although they recognised the complexity of the issue raised</w:t>
      </w:r>
      <w:r w:rsidR="009E20B6">
        <w:t>.</w:t>
      </w:r>
    </w:p>
    <w:p w14:paraId="4397CA80" w14:textId="77777777" w:rsidR="00EE2320" w:rsidRPr="00EE2320" w:rsidRDefault="00EE2320" w:rsidP="00A41FCE">
      <w:pPr>
        <w:pStyle w:val="ListParagraph"/>
        <w:spacing w:line="360" w:lineRule="auto"/>
        <w:ind w:left="576" w:hanging="576"/>
        <w:jc w:val="both"/>
        <w:rPr>
          <w:rFonts w:cs="Arial"/>
          <w:b/>
          <w:bCs/>
          <w:szCs w:val="20"/>
        </w:rPr>
      </w:pPr>
      <w:r w:rsidRPr="00EE2320">
        <w:rPr>
          <w:b/>
          <w:bCs/>
        </w:rPr>
        <w:t>Proposed solution</w:t>
      </w:r>
    </w:p>
    <w:p w14:paraId="15791A15" w14:textId="75FE2E5B" w:rsidR="00EE2320" w:rsidRPr="00EE2320" w:rsidRDefault="00EE2320" w:rsidP="008B3F8D">
      <w:pPr>
        <w:pStyle w:val="ListParagraph"/>
        <w:numPr>
          <w:ilvl w:val="1"/>
          <w:numId w:val="14"/>
        </w:numPr>
        <w:spacing w:line="360" w:lineRule="auto"/>
        <w:ind w:hanging="860"/>
        <w:jc w:val="both"/>
        <w:rPr>
          <w:rFonts w:cs="Arial"/>
          <w:szCs w:val="20"/>
        </w:rPr>
      </w:pPr>
      <w:r>
        <w:lastRenderedPageBreak/>
        <w:t xml:space="preserve">The Working Group reviewed the proposer’s suggestion contained in the </w:t>
      </w:r>
      <w:r w:rsidR="0014008D">
        <w:t>CP</w:t>
      </w:r>
      <w:r>
        <w:t xml:space="preserve"> that an amendment to the definition of Non-Final Demand be made to accommodate back-up connections and any difference in capacity. </w:t>
      </w:r>
    </w:p>
    <w:p w14:paraId="14E71895" w14:textId="60BB03BA" w:rsidR="00EE2320" w:rsidRPr="00EE2320" w:rsidRDefault="00EE2320" w:rsidP="008B3F8D">
      <w:pPr>
        <w:pStyle w:val="ListParagraph"/>
        <w:numPr>
          <w:ilvl w:val="1"/>
          <w:numId w:val="14"/>
        </w:numPr>
        <w:spacing w:line="360" w:lineRule="auto"/>
        <w:ind w:hanging="860"/>
        <w:jc w:val="both"/>
        <w:rPr>
          <w:rFonts w:cs="Arial"/>
          <w:szCs w:val="20"/>
        </w:rPr>
      </w:pPr>
      <w:r>
        <w:t xml:space="preserve">This approach was rejected because the Working Group considered that defining a back-up connection which would ultimately become a Final Demand Site when the main point of connection was unavailable would contravene the TCR policy intent. It also would not cater for instances where both connections were live, and the interconnector not switched over thereby maintaining </w:t>
      </w:r>
      <w:r w:rsidR="001B4D00">
        <w:t>a non-parallel</w:t>
      </w:r>
      <w:r>
        <w:t xml:space="preserve"> operation which is the case in the example used to support this </w:t>
      </w:r>
      <w:r w:rsidR="0014008D">
        <w:t>CP</w:t>
      </w:r>
      <w:r>
        <w:t xml:space="preserve">. </w:t>
      </w:r>
    </w:p>
    <w:p w14:paraId="49484B4B" w14:textId="54E8C59D" w:rsidR="00EE2320" w:rsidRPr="00EE2320" w:rsidRDefault="00EE2320" w:rsidP="008B3F8D">
      <w:pPr>
        <w:pStyle w:val="ListParagraph"/>
        <w:numPr>
          <w:ilvl w:val="1"/>
          <w:numId w:val="14"/>
        </w:numPr>
        <w:spacing w:line="360" w:lineRule="auto"/>
        <w:ind w:hanging="860"/>
        <w:jc w:val="both"/>
        <w:rPr>
          <w:rFonts w:cs="Arial"/>
          <w:szCs w:val="20"/>
        </w:rPr>
      </w:pPr>
      <w:r>
        <w:t xml:space="preserve">The Working Group reviewed several alternative approaches and agreed that </w:t>
      </w:r>
      <w:r w:rsidR="001B4D00">
        <w:t xml:space="preserve">the </w:t>
      </w:r>
      <w:r>
        <w:t xml:space="preserve">legal text needs to cater for both licence and private network situations where there are back-up connections. </w:t>
      </w:r>
    </w:p>
    <w:p w14:paraId="6576B24A" w14:textId="7C8F450A" w:rsidR="00EE2320" w:rsidRPr="00EE2320" w:rsidRDefault="00EE2320" w:rsidP="008B3F8D">
      <w:pPr>
        <w:pStyle w:val="ListParagraph"/>
        <w:numPr>
          <w:ilvl w:val="1"/>
          <w:numId w:val="14"/>
        </w:numPr>
        <w:spacing w:line="360" w:lineRule="auto"/>
        <w:ind w:hanging="860"/>
        <w:jc w:val="both"/>
        <w:rPr>
          <w:rFonts w:cs="Arial"/>
          <w:szCs w:val="20"/>
        </w:rPr>
      </w:pPr>
      <w:r>
        <w:t xml:space="preserve">In addition, consideration was given to amending the definition of </w:t>
      </w:r>
      <w:r w:rsidR="0014008D">
        <w:t>S</w:t>
      </w:r>
      <w:r>
        <w:t xml:space="preserve">ingle </w:t>
      </w:r>
      <w:r w:rsidR="0014008D">
        <w:t>S</w:t>
      </w:r>
      <w:r>
        <w:t xml:space="preserve">ite to cater for the private network situation and include a definition of </w:t>
      </w:r>
      <w:r w:rsidR="003C1B1D">
        <w:t>back-up</w:t>
      </w:r>
      <w:r>
        <w:t xml:space="preserve"> connection. This was rejected in preference of a simpler solution by adding an extra category into the reclassification section of Schedule 32. </w:t>
      </w:r>
    </w:p>
    <w:p w14:paraId="1FC9B1C2" w14:textId="7C026D04" w:rsidR="00EE2320" w:rsidRPr="00EE2320" w:rsidRDefault="00EE2320" w:rsidP="008B3F8D">
      <w:pPr>
        <w:pStyle w:val="ListParagraph"/>
        <w:numPr>
          <w:ilvl w:val="1"/>
          <w:numId w:val="14"/>
        </w:numPr>
        <w:spacing w:line="360" w:lineRule="auto"/>
        <w:ind w:hanging="860"/>
        <w:jc w:val="both"/>
        <w:rPr>
          <w:rFonts w:cs="Arial"/>
          <w:szCs w:val="20"/>
        </w:rPr>
      </w:pPr>
      <w:r>
        <w:t xml:space="preserve">This introduces the concept of a sub-set of </w:t>
      </w:r>
      <w:r w:rsidR="001B4D00">
        <w:t xml:space="preserve">a </w:t>
      </w:r>
      <w:r>
        <w:t xml:space="preserve">Final Demand Site which is associated with </w:t>
      </w:r>
      <w:r w:rsidR="003C1B1D">
        <w:t>back-up</w:t>
      </w:r>
      <w:r>
        <w:t xml:space="preserve"> connections. Two new terms, a </w:t>
      </w:r>
      <w:r w:rsidR="003C1B1D">
        <w:t>Back-up</w:t>
      </w:r>
      <w:r>
        <w:t xml:space="preserve"> Connection Site and Licence Exempt Back-Up Connection Site are also introduced. In each instance evidence is required from the supplier or customer to meet the criteria of the definition. </w:t>
      </w:r>
    </w:p>
    <w:p w14:paraId="40134673" w14:textId="56714A53" w:rsidR="00EE2320" w:rsidRPr="009E20B6" w:rsidRDefault="00EE2320" w:rsidP="008B3F8D">
      <w:pPr>
        <w:pStyle w:val="ListParagraph"/>
        <w:numPr>
          <w:ilvl w:val="1"/>
          <w:numId w:val="14"/>
        </w:numPr>
        <w:spacing w:line="360" w:lineRule="auto"/>
        <w:ind w:hanging="860"/>
        <w:jc w:val="both"/>
        <w:rPr>
          <w:rFonts w:cs="Arial"/>
          <w:szCs w:val="20"/>
        </w:rPr>
      </w:pPr>
      <w:r>
        <w:t>In addition, where such criteria are met the</w:t>
      </w:r>
      <w:r w:rsidR="0014008D">
        <w:t xml:space="preserve"> S</w:t>
      </w:r>
      <w:r>
        <w:t xml:space="preserve">ingle </w:t>
      </w:r>
      <w:r w:rsidR="0014008D">
        <w:t>S</w:t>
      </w:r>
      <w:r>
        <w:t>ite will be allocated to the relevant “No Residual” charging band based on the voltage of connection.</w:t>
      </w:r>
    </w:p>
    <w:p w14:paraId="609459F7" w14:textId="188C88CB" w:rsidR="00342DC3" w:rsidRPr="00D06BF1" w:rsidRDefault="00342DC3" w:rsidP="001B4D00">
      <w:pPr>
        <w:pStyle w:val="ListParagraph"/>
        <w:numPr>
          <w:ilvl w:val="1"/>
          <w:numId w:val="14"/>
        </w:numPr>
        <w:spacing w:line="360" w:lineRule="auto"/>
        <w:ind w:hanging="860"/>
        <w:jc w:val="both"/>
        <w:rPr>
          <w:rFonts w:cs="Arial"/>
          <w:szCs w:val="20"/>
        </w:rPr>
      </w:pPr>
      <w:r>
        <w:t xml:space="preserve">The </w:t>
      </w:r>
      <w:r w:rsidR="00EE2320">
        <w:t xml:space="preserve">Working Group developed a consultation document to help develop further a solution. </w:t>
      </w:r>
    </w:p>
    <w:p w14:paraId="4DE0D4E6" w14:textId="438ECB8B" w:rsidR="00096C4E" w:rsidRPr="00845FD4" w:rsidRDefault="006D3676" w:rsidP="001021F6">
      <w:pPr>
        <w:pStyle w:val="Heading03"/>
      </w:pPr>
      <w:bookmarkStart w:id="11" w:name="_Toc113465293"/>
      <w:r w:rsidRPr="00845FD4">
        <w:t xml:space="preserve">DCP </w:t>
      </w:r>
      <w:r w:rsidR="00CD282F">
        <w:t>40</w:t>
      </w:r>
      <w:r w:rsidR="00980F79">
        <w:t>3</w:t>
      </w:r>
      <w:r w:rsidRPr="00845FD4">
        <w:t xml:space="preserve"> </w:t>
      </w:r>
      <w:r w:rsidR="00FF0C32" w:rsidRPr="00845FD4">
        <w:t>Consultation</w:t>
      </w:r>
      <w:bookmarkEnd w:id="11"/>
    </w:p>
    <w:p w14:paraId="45546055" w14:textId="4A520741" w:rsidR="00FF0C32" w:rsidRPr="00845FD4" w:rsidRDefault="00FF0C32" w:rsidP="008B3F8D">
      <w:pPr>
        <w:pStyle w:val="ListParagraph"/>
        <w:numPr>
          <w:ilvl w:val="1"/>
          <w:numId w:val="14"/>
        </w:numPr>
        <w:spacing w:line="360" w:lineRule="auto"/>
        <w:ind w:hanging="860"/>
        <w:jc w:val="both"/>
      </w:pPr>
      <w:r w:rsidRPr="00845FD4">
        <w:t xml:space="preserve">The DCP </w:t>
      </w:r>
      <w:r w:rsidR="00CD282F">
        <w:t>40</w:t>
      </w:r>
      <w:r w:rsidR="007036F6">
        <w:t>3</w:t>
      </w:r>
      <w:r w:rsidRPr="00845FD4">
        <w:t xml:space="preserve"> consultation was issued on </w:t>
      </w:r>
      <w:r w:rsidR="004C262E">
        <w:t>2</w:t>
      </w:r>
      <w:r w:rsidR="006A504B">
        <w:t>2</w:t>
      </w:r>
      <w:r w:rsidR="004C262E">
        <w:t xml:space="preserve"> </w:t>
      </w:r>
      <w:r w:rsidR="006A504B">
        <w:t>August</w:t>
      </w:r>
      <w:r w:rsidR="004C262E">
        <w:t xml:space="preserve"> 2022</w:t>
      </w:r>
      <w:r w:rsidRPr="00845FD4">
        <w:t xml:space="preserve"> and there </w:t>
      </w:r>
      <w:r w:rsidR="000B265D" w:rsidRPr="00845FD4">
        <w:t>was</w:t>
      </w:r>
      <w:r w:rsidRPr="00845FD4">
        <w:t xml:space="preserve"> </w:t>
      </w:r>
      <w:r w:rsidR="00B47B3F">
        <w:t xml:space="preserve">a total of </w:t>
      </w:r>
      <w:r w:rsidR="005B3B26">
        <w:t>s</w:t>
      </w:r>
      <w:r w:rsidR="00D6724C">
        <w:t>even</w:t>
      </w:r>
      <w:r w:rsidR="005B3B26" w:rsidRPr="00845FD4">
        <w:t xml:space="preserve"> </w:t>
      </w:r>
      <w:r w:rsidRPr="00845FD4">
        <w:t>responses received.</w:t>
      </w:r>
    </w:p>
    <w:p w14:paraId="5100827B" w14:textId="1A2A727B" w:rsidR="00FF0C32" w:rsidRPr="00845FD4" w:rsidRDefault="00B47B3F" w:rsidP="008B3F8D">
      <w:pPr>
        <w:pStyle w:val="ListParagraph"/>
        <w:numPr>
          <w:ilvl w:val="1"/>
          <w:numId w:val="14"/>
        </w:numPr>
        <w:spacing w:line="360" w:lineRule="auto"/>
        <w:ind w:hanging="860"/>
        <w:jc w:val="both"/>
      </w:pPr>
      <w:r w:rsidRPr="00B47B3F">
        <w:t xml:space="preserve">Set out below are the questions that the Working Group sought views on, and a </w:t>
      </w:r>
      <w:r w:rsidR="00FF0C32" w:rsidRPr="00845FD4">
        <w:t>summary of the responses received</w:t>
      </w:r>
      <w:r w:rsidR="00AD36DF">
        <w:t>.</w:t>
      </w:r>
      <w:r w:rsidR="004C262E" w:rsidRPr="00284F86">
        <w:t xml:space="preserve"> </w:t>
      </w:r>
      <w:r w:rsidR="00FF0C32" w:rsidRPr="00284F86">
        <w:t xml:space="preserve">The full set of responses and the </w:t>
      </w:r>
      <w:r w:rsidR="0078738F" w:rsidRPr="00284F86">
        <w:t>Working Group</w:t>
      </w:r>
      <w:r w:rsidR="00FF0C32" w:rsidRPr="00284F86">
        <w:t xml:space="preserve">’s comments are provided in </w:t>
      </w:r>
      <w:r w:rsidR="00FF0C32" w:rsidRPr="00AD36DF">
        <w:rPr>
          <w:b/>
          <w:bCs/>
        </w:rPr>
        <w:t>Attachment</w:t>
      </w:r>
      <w:r w:rsidR="005445B1" w:rsidRPr="00AD36DF">
        <w:rPr>
          <w:b/>
          <w:bCs/>
        </w:rPr>
        <w:t xml:space="preserve"> </w:t>
      </w:r>
      <w:r w:rsidR="00284F86" w:rsidRPr="00AD36DF">
        <w:rPr>
          <w:b/>
          <w:bCs/>
        </w:rPr>
        <w:t>3</w:t>
      </w:r>
      <w:r w:rsidR="00FF0C32" w:rsidRPr="00284F86">
        <w:t>.</w:t>
      </w:r>
    </w:p>
    <w:p w14:paraId="1B9A8E37" w14:textId="4A0FC71B" w:rsidR="00845FD4" w:rsidRPr="00845FD4" w:rsidRDefault="00845FD4" w:rsidP="008B3F8D">
      <w:pPr>
        <w:pStyle w:val="Question"/>
        <w:ind w:hanging="860"/>
      </w:pPr>
      <w:r w:rsidRPr="00845FD4">
        <w:t>Question 1 -</w:t>
      </w:r>
      <w:r w:rsidR="00B41A9B">
        <w:t xml:space="preserve"> </w:t>
      </w:r>
      <w:r w:rsidR="00B41A9B" w:rsidRPr="00B41A9B">
        <w:t>Do you understand the intent of DCP 40</w:t>
      </w:r>
      <w:r w:rsidR="003504C6">
        <w:t>3</w:t>
      </w:r>
      <w:r w:rsidR="00B41A9B" w:rsidRPr="00B41A9B">
        <w:t>?</w:t>
      </w:r>
    </w:p>
    <w:p w14:paraId="5A016ECC" w14:textId="1BF932D6" w:rsidR="00397BC7" w:rsidRPr="00397BC7" w:rsidRDefault="00664485" w:rsidP="008B3F8D">
      <w:pPr>
        <w:pStyle w:val="ListParagraph"/>
        <w:numPr>
          <w:ilvl w:val="1"/>
          <w:numId w:val="14"/>
        </w:numPr>
        <w:spacing w:line="360" w:lineRule="auto"/>
        <w:ind w:hanging="860"/>
        <w:jc w:val="both"/>
      </w:pPr>
      <w:bookmarkStart w:id="12" w:name="_Hlk103765735"/>
      <w:r>
        <w:t>All respondents understood the intent</w:t>
      </w:r>
      <w:r w:rsidR="00B41A9B">
        <w:t xml:space="preserve"> with no additional comments made</w:t>
      </w:r>
      <w:r>
        <w:t>.</w:t>
      </w:r>
      <w:bookmarkEnd w:id="12"/>
    </w:p>
    <w:p w14:paraId="47647D07" w14:textId="6B405C9C" w:rsidR="00FF0C32" w:rsidRPr="00FF0C32" w:rsidRDefault="00FF0C32" w:rsidP="008B3F8D">
      <w:pPr>
        <w:pStyle w:val="Question"/>
        <w:ind w:hanging="860"/>
      </w:pPr>
      <w:r w:rsidRPr="00FF0C32">
        <w:t xml:space="preserve">Question 2 – </w:t>
      </w:r>
      <w:r w:rsidR="002577AC" w:rsidRPr="002577AC">
        <w:t>Do you support the principles of DCP403</w:t>
      </w:r>
      <w:r w:rsidR="00B41A9B" w:rsidRPr="00B41A9B">
        <w:t>?</w:t>
      </w:r>
    </w:p>
    <w:p w14:paraId="7D758E0B" w14:textId="5F9A40A4" w:rsidR="00B41A9B" w:rsidRPr="00681284" w:rsidRDefault="00B41A9B" w:rsidP="008B3F8D">
      <w:pPr>
        <w:pStyle w:val="ListParagraph"/>
        <w:numPr>
          <w:ilvl w:val="1"/>
          <w:numId w:val="14"/>
        </w:numPr>
        <w:spacing w:line="360" w:lineRule="auto"/>
        <w:ind w:hanging="860"/>
        <w:jc w:val="both"/>
      </w:pPr>
      <w:proofErr w:type="gramStart"/>
      <w:r w:rsidRPr="00B41A9B">
        <w:rPr>
          <w:bCs/>
        </w:rPr>
        <w:t xml:space="preserve">The </w:t>
      </w:r>
      <w:r w:rsidR="00755FA9">
        <w:rPr>
          <w:bCs/>
        </w:rPr>
        <w:t>majority of</w:t>
      </w:r>
      <w:proofErr w:type="gramEnd"/>
      <w:r w:rsidR="00755FA9">
        <w:rPr>
          <w:bCs/>
        </w:rPr>
        <w:t xml:space="preserve"> respondents </w:t>
      </w:r>
      <w:r w:rsidR="00681284">
        <w:rPr>
          <w:bCs/>
        </w:rPr>
        <w:t>(</w:t>
      </w:r>
      <w:r w:rsidR="00D6724C">
        <w:rPr>
          <w:bCs/>
        </w:rPr>
        <w:t>six)</w:t>
      </w:r>
      <w:r w:rsidR="00681284">
        <w:rPr>
          <w:bCs/>
        </w:rPr>
        <w:t xml:space="preserve"> agreed with the principles of the change.</w:t>
      </w:r>
    </w:p>
    <w:p w14:paraId="65A18E31" w14:textId="49D7B56E" w:rsidR="00A2069C" w:rsidRPr="00200A42" w:rsidRDefault="00681284" w:rsidP="008B3F8D">
      <w:pPr>
        <w:pStyle w:val="ListParagraph"/>
        <w:numPr>
          <w:ilvl w:val="1"/>
          <w:numId w:val="14"/>
        </w:numPr>
        <w:spacing w:line="360" w:lineRule="auto"/>
        <w:ind w:hanging="860"/>
        <w:jc w:val="both"/>
        <w:rPr>
          <w:rFonts w:cs="Arial"/>
          <w:szCs w:val="20"/>
        </w:rPr>
      </w:pPr>
      <w:r w:rsidRPr="00200A42">
        <w:rPr>
          <w:rFonts w:cs="Arial"/>
          <w:szCs w:val="20"/>
        </w:rPr>
        <w:t>One respondent</w:t>
      </w:r>
      <w:r w:rsidR="009A0A72" w:rsidRPr="00200A42">
        <w:rPr>
          <w:rFonts w:cs="Arial"/>
          <w:bCs/>
          <w:szCs w:val="20"/>
        </w:rPr>
        <w:t xml:space="preserve"> did no</w:t>
      </w:r>
      <w:r w:rsidR="00D6724C">
        <w:rPr>
          <w:rFonts w:cs="Arial"/>
          <w:bCs/>
          <w:szCs w:val="20"/>
        </w:rPr>
        <w:t>t</w:t>
      </w:r>
      <w:r w:rsidR="009A0A72" w:rsidRPr="00200A42">
        <w:rPr>
          <w:rFonts w:cs="Arial"/>
          <w:bCs/>
          <w:szCs w:val="20"/>
        </w:rPr>
        <w:t xml:space="preserve"> agree that </w:t>
      </w:r>
      <w:r w:rsidR="009671E0">
        <w:rPr>
          <w:rFonts w:cs="Arial"/>
          <w:bCs/>
          <w:szCs w:val="20"/>
        </w:rPr>
        <w:t>paragraph</w:t>
      </w:r>
      <w:r w:rsidR="009A0A72" w:rsidRPr="00200A42">
        <w:rPr>
          <w:rFonts w:cs="Arial"/>
          <w:bCs/>
          <w:szCs w:val="20"/>
        </w:rPr>
        <w:t xml:space="preserve"> </w:t>
      </w:r>
      <w:r w:rsidR="00D8638D">
        <w:rPr>
          <w:rFonts w:cs="Arial"/>
          <w:bCs/>
          <w:szCs w:val="20"/>
        </w:rPr>
        <w:t>(3.57 (9) in the</w:t>
      </w:r>
      <w:r w:rsidR="009A0A72" w:rsidRPr="00200A42">
        <w:rPr>
          <w:rFonts w:cs="Arial"/>
          <w:bCs/>
          <w:szCs w:val="20"/>
        </w:rPr>
        <w:t xml:space="preserve"> </w:t>
      </w:r>
      <w:r w:rsidR="00C875DC" w:rsidRPr="00200A42">
        <w:rPr>
          <w:rFonts w:cs="Arial"/>
          <w:bCs/>
          <w:szCs w:val="20"/>
        </w:rPr>
        <w:t>Ofgem’s</w:t>
      </w:r>
      <w:r w:rsidR="009A0A72" w:rsidRPr="00200A42">
        <w:rPr>
          <w:rFonts w:cs="Arial"/>
          <w:bCs/>
          <w:szCs w:val="20"/>
        </w:rPr>
        <w:t xml:space="preserve"> TCR decision provided a rationale for the proposal </w:t>
      </w:r>
      <w:proofErr w:type="gramStart"/>
      <w:r w:rsidR="009A0A72" w:rsidRPr="00200A42">
        <w:rPr>
          <w:rFonts w:cs="Arial"/>
          <w:bCs/>
          <w:szCs w:val="20"/>
        </w:rPr>
        <w:t xml:space="preserve">and </w:t>
      </w:r>
      <w:r w:rsidR="00D8638D">
        <w:rPr>
          <w:rFonts w:cs="Arial"/>
          <w:bCs/>
          <w:szCs w:val="20"/>
        </w:rPr>
        <w:t>also</w:t>
      </w:r>
      <w:proofErr w:type="gramEnd"/>
      <w:r w:rsidR="00D8638D">
        <w:rPr>
          <w:rFonts w:cs="Arial"/>
          <w:bCs/>
          <w:szCs w:val="20"/>
        </w:rPr>
        <w:t xml:space="preserve"> queried a lack of clarity within </w:t>
      </w:r>
      <w:r w:rsidR="009671E0">
        <w:rPr>
          <w:rFonts w:cs="Arial"/>
          <w:bCs/>
          <w:szCs w:val="20"/>
        </w:rPr>
        <w:t xml:space="preserve">paragraph </w:t>
      </w:r>
      <w:r w:rsidR="00D8638D">
        <w:rPr>
          <w:rFonts w:cs="Arial"/>
          <w:bCs/>
          <w:szCs w:val="20"/>
        </w:rPr>
        <w:t>3.57 (10) which also referred to redundancy. The respondent a</w:t>
      </w:r>
      <w:r w:rsidR="009A0A72" w:rsidRPr="00200A42">
        <w:rPr>
          <w:rFonts w:cs="Arial"/>
          <w:bCs/>
          <w:szCs w:val="20"/>
        </w:rPr>
        <w:t>sked that this is recorded in the change report.</w:t>
      </w:r>
      <w:r w:rsidR="00D8638D">
        <w:rPr>
          <w:rFonts w:cs="Arial"/>
          <w:bCs/>
          <w:szCs w:val="20"/>
        </w:rPr>
        <w:t xml:space="preserve"> </w:t>
      </w:r>
    </w:p>
    <w:p w14:paraId="2248BBAA" w14:textId="043BDBB5" w:rsidR="004C262E" w:rsidRPr="00845FD4" w:rsidRDefault="004C262E" w:rsidP="008B3F8D">
      <w:pPr>
        <w:pStyle w:val="Question"/>
        <w:ind w:hanging="860"/>
      </w:pPr>
      <w:r w:rsidRPr="00845FD4">
        <w:lastRenderedPageBreak/>
        <w:t xml:space="preserve">Question </w:t>
      </w:r>
      <w:r>
        <w:t>3</w:t>
      </w:r>
      <w:r w:rsidRPr="00845FD4">
        <w:t xml:space="preserve"> -</w:t>
      </w:r>
      <w:r w:rsidR="00B41A9B">
        <w:t xml:space="preserve"> </w:t>
      </w:r>
      <w:r w:rsidR="00C26033" w:rsidRPr="00AB0BA3">
        <w:rPr>
          <w:rFonts w:asciiTheme="minorHAnsi" w:hAnsiTheme="minorHAnsi" w:cstheme="minorHAnsi"/>
          <w:sz w:val="22"/>
          <w:szCs w:val="22"/>
        </w:rPr>
        <w:t xml:space="preserve">Do you consider that </w:t>
      </w:r>
      <w:r w:rsidR="003C1B1D">
        <w:rPr>
          <w:rFonts w:asciiTheme="minorHAnsi" w:hAnsiTheme="minorHAnsi" w:cstheme="minorHAnsi"/>
          <w:sz w:val="22"/>
          <w:szCs w:val="22"/>
        </w:rPr>
        <w:t>back-up</w:t>
      </w:r>
      <w:r w:rsidR="00C26033" w:rsidRPr="00AB0BA3">
        <w:rPr>
          <w:rFonts w:asciiTheme="minorHAnsi" w:hAnsiTheme="minorHAnsi" w:cstheme="minorHAnsi"/>
          <w:sz w:val="22"/>
          <w:szCs w:val="22"/>
        </w:rPr>
        <w:t xml:space="preserve"> connections should be exempt from residual charges? Please provide your rationale.</w:t>
      </w:r>
    </w:p>
    <w:p w14:paraId="5B541C75" w14:textId="0679D7E1" w:rsidR="004C262E" w:rsidRPr="0038381A" w:rsidRDefault="00180C4A" w:rsidP="0038381A">
      <w:pPr>
        <w:pStyle w:val="ListParagraph"/>
        <w:numPr>
          <w:ilvl w:val="1"/>
          <w:numId w:val="14"/>
        </w:numPr>
        <w:spacing w:line="360" w:lineRule="auto"/>
        <w:ind w:hanging="860"/>
        <w:jc w:val="both"/>
        <w:rPr>
          <w:bCs/>
        </w:rPr>
      </w:pPr>
      <w:r w:rsidRPr="0038381A">
        <w:rPr>
          <w:bCs/>
        </w:rPr>
        <w:t xml:space="preserve">The </w:t>
      </w:r>
      <w:r w:rsidR="003921E9" w:rsidRPr="0038381A">
        <w:rPr>
          <w:bCs/>
        </w:rPr>
        <w:t xml:space="preserve">majority of respondents (six) </w:t>
      </w:r>
      <w:r w:rsidR="00DF484A" w:rsidRPr="0038381A">
        <w:rPr>
          <w:bCs/>
        </w:rPr>
        <w:t>stated they believe</w:t>
      </w:r>
      <w:r w:rsidR="00973707" w:rsidRPr="0038381A">
        <w:rPr>
          <w:bCs/>
        </w:rPr>
        <w:t>d</w:t>
      </w:r>
      <w:r w:rsidR="00DF484A" w:rsidRPr="0038381A">
        <w:rPr>
          <w:bCs/>
        </w:rPr>
        <w:t xml:space="preserve"> </w:t>
      </w:r>
      <w:r w:rsidR="003C1B1D" w:rsidRPr="0038381A">
        <w:rPr>
          <w:bCs/>
        </w:rPr>
        <w:t>back-up</w:t>
      </w:r>
      <w:r w:rsidR="00DF484A" w:rsidRPr="0038381A">
        <w:rPr>
          <w:bCs/>
        </w:rPr>
        <w:t xml:space="preserve"> connections should be exempt from the residual charge</w:t>
      </w:r>
      <w:r w:rsidR="008576A1" w:rsidRPr="0038381A">
        <w:rPr>
          <w:bCs/>
        </w:rPr>
        <w:t>.</w:t>
      </w:r>
    </w:p>
    <w:p w14:paraId="7E7AA103" w14:textId="4C6922E8" w:rsidR="00C26033" w:rsidRPr="0038381A" w:rsidRDefault="008576A1" w:rsidP="0038381A">
      <w:pPr>
        <w:pStyle w:val="ListParagraph"/>
        <w:numPr>
          <w:ilvl w:val="1"/>
          <w:numId w:val="14"/>
        </w:numPr>
        <w:spacing w:line="360" w:lineRule="auto"/>
        <w:ind w:hanging="860"/>
        <w:jc w:val="both"/>
        <w:rPr>
          <w:bCs/>
        </w:rPr>
      </w:pPr>
      <w:r w:rsidRPr="0038381A">
        <w:rPr>
          <w:bCs/>
        </w:rPr>
        <w:t xml:space="preserve">The respondent who didn’t agree stated </w:t>
      </w:r>
      <w:r w:rsidR="00545878" w:rsidRPr="0038381A">
        <w:rPr>
          <w:bCs/>
        </w:rPr>
        <w:t xml:space="preserve">that Ofgem’s policy intent </w:t>
      </w:r>
      <w:r w:rsidR="006D3E76" w:rsidRPr="0038381A">
        <w:rPr>
          <w:bCs/>
        </w:rPr>
        <w:t>is not</w:t>
      </w:r>
      <w:r w:rsidR="00545878" w:rsidRPr="0038381A">
        <w:rPr>
          <w:bCs/>
        </w:rPr>
        <w:t xml:space="preserve"> clear on how sites which are banded based on their MIC, and which have redundant connections should be treated.</w:t>
      </w:r>
      <w:r w:rsidR="00694A0B" w:rsidRPr="0038381A">
        <w:rPr>
          <w:bCs/>
        </w:rPr>
        <w:t xml:space="preserve"> The same respondent also stated that in the example cited in the </w:t>
      </w:r>
      <w:r w:rsidR="0014008D" w:rsidRPr="0038381A">
        <w:rPr>
          <w:bCs/>
        </w:rPr>
        <w:t>CP</w:t>
      </w:r>
      <w:r w:rsidR="00694A0B" w:rsidRPr="0038381A">
        <w:rPr>
          <w:bCs/>
        </w:rPr>
        <w:t xml:space="preserve"> (</w:t>
      </w:r>
      <w:r w:rsidR="005053BD" w:rsidRPr="0038381A">
        <w:rPr>
          <w:bCs/>
        </w:rPr>
        <w:t xml:space="preserve">a site where a customer imports via a private network but maintains a </w:t>
      </w:r>
      <w:r w:rsidR="003C1B1D" w:rsidRPr="0038381A">
        <w:rPr>
          <w:bCs/>
        </w:rPr>
        <w:t>back-up</w:t>
      </w:r>
      <w:r w:rsidR="005053BD" w:rsidRPr="0038381A">
        <w:rPr>
          <w:bCs/>
        </w:rPr>
        <w:t xml:space="preserve"> connection to the distributor’s network), this could give this customer an advantage over </w:t>
      </w:r>
      <w:r w:rsidR="00C3512F" w:rsidRPr="0038381A">
        <w:rPr>
          <w:bCs/>
        </w:rPr>
        <w:t>sites which don’t have a back-up connection, especially to a network separate to their main suppl</w:t>
      </w:r>
      <w:r w:rsidR="00A02D39" w:rsidRPr="0038381A">
        <w:rPr>
          <w:bCs/>
        </w:rPr>
        <w:t xml:space="preserve">y so they </w:t>
      </w:r>
      <w:r w:rsidR="00B432B7" w:rsidRPr="0038381A">
        <w:rPr>
          <w:bCs/>
        </w:rPr>
        <w:t xml:space="preserve">should contribute </w:t>
      </w:r>
      <w:r w:rsidR="00A02D39" w:rsidRPr="0038381A">
        <w:rPr>
          <w:bCs/>
        </w:rPr>
        <w:t>via the residual charge, to the upkeep of the network which provides their back</w:t>
      </w:r>
      <w:r w:rsidR="00973707" w:rsidRPr="0038381A">
        <w:rPr>
          <w:bCs/>
        </w:rPr>
        <w:t>-</w:t>
      </w:r>
      <w:r w:rsidR="00A02D39" w:rsidRPr="0038381A">
        <w:rPr>
          <w:bCs/>
        </w:rPr>
        <w:t>up connection.</w:t>
      </w:r>
    </w:p>
    <w:p w14:paraId="26784123" w14:textId="5DD53B53" w:rsidR="00B432B7" w:rsidRPr="0038381A" w:rsidRDefault="0080706F" w:rsidP="0038381A">
      <w:pPr>
        <w:pStyle w:val="ListParagraph"/>
        <w:numPr>
          <w:ilvl w:val="1"/>
          <w:numId w:val="14"/>
        </w:numPr>
        <w:spacing w:line="360" w:lineRule="auto"/>
        <w:ind w:hanging="860"/>
        <w:jc w:val="both"/>
        <w:rPr>
          <w:bCs/>
        </w:rPr>
      </w:pPr>
      <w:r w:rsidRPr="0038381A">
        <w:rPr>
          <w:bCs/>
        </w:rPr>
        <w:t>One of the respondents stated that this change may impact DCP 389</w:t>
      </w:r>
      <w:r w:rsidR="0038381A">
        <w:rPr>
          <w:bCs/>
        </w:rPr>
        <w:t>.</w:t>
      </w:r>
    </w:p>
    <w:p w14:paraId="7214E2C4" w14:textId="1A287D8E" w:rsidR="00623BF4" w:rsidRPr="0038381A" w:rsidRDefault="0038381A" w:rsidP="0038381A">
      <w:pPr>
        <w:pStyle w:val="ListParagraph"/>
        <w:numPr>
          <w:ilvl w:val="1"/>
          <w:numId w:val="14"/>
        </w:numPr>
        <w:spacing w:line="360" w:lineRule="auto"/>
        <w:ind w:hanging="860"/>
        <w:jc w:val="both"/>
        <w:rPr>
          <w:bCs/>
        </w:rPr>
      </w:pPr>
      <w:r>
        <w:rPr>
          <w:bCs/>
        </w:rPr>
        <w:t xml:space="preserve">Another </w:t>
      </w:r>
      <w:r w:rsidR="000E2DAD" w:rsidRPr="0038381A">
        <w:rPr>
          <w:bCs/>
        </w:rPr>
        <w:t xml:space="preserve">respondent who </w:t>
      </w:r>
      <w:r w:rsidR="00200A42" w:rsidRPr="0038381A">
        <w:rPr>
          <w:bCs/>
        </w:rPr>
        <w:t xml:space="preserve">agreed that </w:t>
      </w:r>
      <w:r w:rsidR="003C1B1D" w:rsidRPr="0038381A">
        <w:rPr>
          <w:bCs/>
        </w:rPr>
        <w:t>back-up</w:t>
      </w:r>
      <w:r w:rsidR="00200A42" w:rsidRPr="0038381A">
        <w:rPr>
          <w:bCs/>
        </w:rPr>
        <w:t xml:space="preserve"> connections should be exempt from the residual charged </w:t>
      </w:r>
      <w:r>
        <w:rPr>
          <w:bCs/>
        </w:rPr>
        <w:t>stated</w:t>
      </w:r>
      <w:r w:rsidR="00200A42" w:rsidRPr="0038381A">
        <w:rPr>
          <w:bCs/>
        </w:rPr>
        <w:t xml:space="preserve"> that future work may be required to determine whether the provision of </w:t>
      </w:r>
      <w:r w:rsidR="003C1B1D" w:rsidRPr="0038381A">
        <w:rPr>
          <w:bCs/>
        </w:rPr>
        <w:t>back-up</w:t>
      </w:r>
      <w:r w:rsidR="00200A42" w:rsidRPr="0038381A">
        <w:rPr>
          <w:bCs/>
        </w:rPr>
        <w:t xml:space="preserve"> connections incurs costs that would be recovered through residual charges, and whether there are scenarios where </w:t>
      </w:r>
      <w:r w:rsidR="003C1B1D" w:rsidRPr="0038381A">
        <w:rPr>
          <w:bCs/>
        </w:rPr>
        <w:t>back-up</w:t>
      </w:r>
      <w:r w:rsidR="00200A42" w:rsidRPr="0038381A">
        <w:rPr>
          <w:bCs/>
        </w:rPr>
        <w:t xml:space="preserve"> connections should be liable for residual charges. </w:t>
      </w:r>
    </w:p>
    <w:p w14:paraId="44D49B15" w14:textId="3F6C046E" w:rsidR="004C262E" w:rsidRPr="00FF0C32" w:rsidRDefault="004C262E" w:rsidP="008B3F8D">
      <w:pPr>
        <w:pStyle w:val="Question"/>
        <w:ind w:hanging="860"/>
      </w:pPr>
      <w:r w:rsidRPr="00FF0C32">
        <w:t>Question</w:t>
      </w:r>
      <w:r w:rsidR="00112A28">
        <w:t xml:space="preserve"> 4</w:t>
      </w:r>
      <w:r w:rsidRPr="00FF0C32">
        <w:t xml:space="preserve"> –</w:t>
      </w:r>
      <w:r w:rsidR="009D1067">
        <w:t xml:space="preserve"> </w:t>
      </w:r>
      <w:r w:rsidR="00BF01B7" w:rsidRPr="00BF01B7">
        <w:t xml:space="preserve">Should a </w:t>
      </w:r>
      <w:r w:rsidR="0014008D">
        <w:t>S</w:t>
      </w:r>
      <w:r w:rsidR="00BF01B7" w:rsidRPr="00BF01B7">
        <w:t xml:space="preserve">ingle </w:t>
      </w:r>
      <w:r w:rsidR="0014008D">
        <w:t>S</w:t>
      </w:r>
      <w:r w:rsidR="00BF01B7" w:rsidRPr="00BF01B7">
        <w:t>ite be specific to one customer or multiple customers if within a private network? Please provide your rationale.</w:t>
      </w:r>
    </w:p>
    <w:p w14:paraId="2B4E41A8" w14:textId="64DAEDB1" w:rsidR="00853657" w:rsidRPr="00074A93" w:rsidRDefault="009D1067" w:rsidP="008B3F8D">
      <w:pPr>
        <w:pStyle w:val="ListParagraph"/>
        <w:numPr>
          <w:ilvl w:val="1"/>
          <w:numId w:val="14"/>
        </w:numPr>
        <w:spacing w:line="360" w:lineRule="auto"/>
        <w:ind w:hanging="860"/>
        <w:jc w:val="both"/>
      </w:pPr>
      <w:r w:rsidRPr="009D1067">
        <w:rPr>
          <w:bCs/>
        </w:rPr>
        <w:t>The majority of respondents</w:t>
      </w:r>
      <w:r w:rsidR="00074A93">
        <w:rPr>
          <w:bCs/>
        </w:rPr>
        <w:t xml:space="preserve"> (</w:t>
      </w:r>
      <w:r w:rsidR="006D3E76">
        <w:rPr>
          <w:bCs/>
        </w:rPr>
        <w:t>four</w:t>
      </w:r>
      <w:r w:rsidR="00074A93">
        <w:rPr>
          <w:bCs/>
        </w:rPr>
        <w:t>)</w:t>
      </w:r>
      <w:r w:rsidRPr="009D1067">
        <w:rPr>
          <w:bCs/>
        </w:rPr>
        <w:t xml:space="preserve"> </w:t>
      </w:r>
      <w:r w:rsidR="00105813">
        <w:rPr>
          <w:bCs/>
        </w:rPr>
        <w:t xml:space="preserve">stated that </w:t>
      </w:r>
      <w:r w:rsidR="00E249EC">
        <w:rPr>
          <w:bCs/>
        </w:rPr>
        <w:t xml:space="preserve">a </w:t>
      </w:r>
      <w:r w:rsidR="0014008D">
        <w:rPr>
          <w:bCs/>
        </w:rPr>
        <w:t>S</w:t>
      </w:r>
      <w:r w:rsidR="00E249EC">
        <w:rPr>
          <w:bCs/>
        </w:rPr>
        <w:t xml:space="preserve">ingle </w:t>
      </w:r>
      <w:r w:rsidR="0014008D">
        <w:rPr>
          <w:bCs/>
        </w:rPr>
        <w:t>S</w:t>
      </w:r>
      <w:r w:rsidR="00E249EC">
        <w:rPr>
          <w:bCs/>
        </w:rPr>
        <w:t xml:space="preserve">ite could be linked to </w:t>
      </w:r>
      <w:r w:rsidR="00074A93">
        <w:rPr>
          <w:bCs/>
        </w:rPr>
        <w:t xml:space="preserve">multiple customers. </w:t>
      </w:r>
    </w:p>
    <w:p w14:paraId="78F9AF19" w14:textId="442AAF4A" w:rsidR="00074A93" w:rsidRPr="00825226" w:rsidRDefault="00D64C76" w:rsidP="008B3F8D">
      <w:pPr>
        <w:pStyle w:val="ListParagraph"/>
        <w:numPr>
          <w:ilvl w:val="1"/>
          <w:numId w:val="14"/>
        </w:numPr>
        <w:spacing w:line="360" w:lineRule="auto"/>
        <w:ind w:hanging="860"/>
        <w:jc w:val="both"/>
      </w:pPr>
      <w:r>
        <w:rPr>
          <w:bCs/>
        </w:rPr>
        <w:t xml:space="preserve">One </w:t>
      </w:r>
      <w:r w:rsidR="00DC219C">
        <w:rPr>
          <w:bCs/>
        </w:rPr>
        <w:t xml:space="preserve">respondent stated that </w:t>
      </w:r>
      <w:r w:rsidR="00825226">
        <w:rPr>
          <w:bCs/>
        </w:rPr>
        <w:t>with</w:t>
      </w:r>
      <w:r w:rsidR="00825226" w:rsidRPr="00825226">
        <w:rPr>
          <w:bCs/>
        </w:rPr>
        <w:t xml:space="preserve"> limited visibility of arrangements on all private networks, this </w:t>
      </w:r>
      <w:r w:rsidR="00825226">
        <w:rPr>
          <w:bCs/>
        </w:rPr>
        <w:t>would</w:t>
      </w:r>
      <w:r w:rsidR="00825226" w:rsidRPr="00825226">
        <w:rPr>
          <w:bCs/>
        </w:rPr>
        <w:t xml:space="preserve"> be difficult to assess</w:t>
      </w:r>
      <w:r w:rsidR="00825226">
        <w:rPr>
          <w:bCs/>
        </w:rPr>
        <w:t>.</w:t>
      </w:r>
    </w:p>
    <w:p w14:paraId="6438AE9D" w14:textId="1E656CFB" w:rsidR="00825226" w:rsidRPr="0071207A" w:rsidRDefault="00825226" w:rsidP="008B3F8D">
      <w:pPr>
        <w:pStyle w:val="ListParagraph"/>
        <w:numPr>
          <w:ilvl w:val="1"/>
          <w:numId w:val="14"/>
        </w:numPr>
        <w:spacing w:line="360" w:lineRule="auto"/>
        <w:ind w:hanging="860"/>
        <w:jc w:val="both"/>
      </w:pPr>
      <w:r>
        <w:rPr>
          <w:bCs/>
        </w:rPr>
        <w:t xml:space="preserve">Another </w:t>
      </w:r>
      <w:r w:rsidR="005C0CD3">
        <w:rPr>
          <w:bCs/>
        </w:rPr>
        <w:t xml:space="preserve">respondent </w:t>
      </w:r>
      <w:r>
        <w:rPr>
          <w:bCs/>
        </w:rPr>
        <w:t xml:space="preserve">didn’t </w:t>
      </w:r>
      <w:r w:rsidR="00E13AE6">
        <w:rPr>
          <w:bCs/>
        </w:rPr>
        <w:t xml:space="preserve">state a preference but mentioned that </w:t>
      </w:r>
      <w:r w:rsidR="008A1679" w:rsidRPr="008A1679">
        <w:rPr>
          <w:bCs/>
        </w:rPr>
        <w:t xml:space="preserve">future changes to industry arrangements for a private network </w:t>
      </w:r>
      <w:r w:rsidR="00356244">
        <w:rPr>
          <w:bCs/>
        </w:rPr>
        <w:t xml:space="preserve">may need to consider impacts to DCP 328. </w:t>
      </w:r>
    </w:p>
    <w:p w14:paraId="390FD149" w14:textId="223CE981" w:rsidR="0071207A" w:rsidRPr="00277209" w:rsidRDefault="0071207A" w:rsidP="008B3F8D">
      <w:pPr>
        <w:pStyle w:val="ListParagraph"/>
        <w:numPr>
          <w:ilvl w:val="1"/>
          <w:numId w:val="14"/>
        </w:numPr>
        <w:spacing w:line="360" w:lineRule="auto"/>
        <w:ind w:hanging="860"/>
        <w:jc w:val="both"/>
        <w:rPr>
          <w:rFonts w:cs="Arial"/>
          <w:szCs w:val="20"/>
        </w:rPr>
      </w:pPr>
      <w:r w:rsidRPr="007F366C">
        <w:rPr>
          <w:rFonts w:cs="Arial"/>
          <w:bCs/>
          <w:szCs w:val="20"/>
        </w:rPr>
        <w:t xml:space="preserve">Another respondent stated </w:t>
      </w:r>
      <w:r w:rsidR="0038381A">
        <w:rPr>
          <w:rFonts w:cs="Arial"/>
          <w:bCs/>
          <w:szCs w:val="20"/>
        </w:rPr>
        <w:t>that t</w:t>
      </w:r>
      <w:r w:rsidRPr="007F366C">
        <w:rPr>
          <w:rFonts w:cs="Arial"/>
          <w:bCs/>
          <w:szCs w:val="20"/>
        </w:rPr>
        <w:t xml:space="preserve">he TCR definition of a </w:t>
      </w:r>
      <w:r w:rsidR="0014008D">
        <w:rPr>
          <w:rFonts w:cs="Arial"/>
          <w:bCs/>
          <w:szCs w:val="20"/>
        </w:rPr>
        <w:t>S</w:t>
      </w:r>
      <w:r w:rsidRPr="007F366C">
        <w:rPr>
          <w:rFonts w:cs="Arial"/>
          <w:bCs/>
          <w:szCs w:val="20"/>
        </w:rPr>
        <w:t>ingle Site is not defined in terms of customers but in terms of non-domestic premises that are connected to the distribution system pursuant to a single Connection Agreement.</w:t>
      </w:r>
      <w:r w:rsidR="00A307BA" w:rsidRPr="007F366C">
        <w:rPr>
          <w:rFonts w:cs="Arial"/>
          <w:bCs/>
          <w:szCs w:val="20"/>
        </w:rPr>
        <w:t xml:space="preserve"> This led them to believe that the term ‘customer’ is not relevant’ in this change context and </w:t>
      </w:r>
      <w:r w:rsidR="00DB10DD" w:rsidRPr="007F366C">
        <w:rPr>
          <w:rFonts w:cs="Arial"/>
          <w:bCs/>
          <w:szCs w:val="20"/>
        </w:rPr>
        <w:t xml:space="preserve">attempts to include this </w:t>
      </w:r>
      <w:r w:rsidR="00B81A48" w:rsidRPr="007F366C">
        <w:rPr>
          <w:rFonts w:cs="Arial"/>
          <w:bCs/>
          <w:szCs w:val="20"/>
        </w:rPr>
        <w:t>term</w:t>
      </w:r>
      <w:r w:rsidR="00A307BA" w:rsidRPr="007F366C">
        <w:rPr>
          <w:rFonts w:cs="Arial"/>
          <w:bCs/>
          <w:szCs w:val="20"/>
        </w:rPr>
        <w:t xml:space="preserve"> </w:t>
      </w:r>
      <w:r w:rsidR="00DB10DD" w:rsidRPr="007F366C">
        <w:rPr>
          <w:rFonts w:cs="Arial"/>
          <w:bCs/>
          <w:szCs w:val="20"/>
        </w:rPr>
        <w:t>could materially affect the implementation of the TCR’s policy intent, which may go beyond the scope of this proposal</w:t>
      </w:r>
      <w:r w:rsidR="002F36CD" w:rsidRPr="007F366C">
        <w:rPr>
          <w:rFonts w:cs="Arial"/>
          <w:bCs/>
          <w:szCs w:val="20"/>
        </w:rPr>
        <w:t>.</w:t>
      </w:r>
    </w:p>
    <w:p w14:paraId="60BE05CA" w14:textId="7C108010" w:rsidR="004C262E" w:rsidRPr="00845FD4" w:rsidRDefault="004C262E" w:rsidP="008B3F8D">
      <w:pPr>
        <w:pStyle w:val="Question"/>
        <w:ind w:hanging="860"/>
      </w:pPr>
      <w:r w:rsidRPr="00845FD4">
        <w:t xml:space="preserve">Question </w:t>
      </w:r>
      <w:r>
        <w:t>5</w:t>
      </w:r>
      <w:r w:rsidRPr="00845FD4">
        <w:t xml:space="preserve"> - </w:t>
      </w:r>
      <w:r w:rsidR="00120516" w:rsidRPr="00837C12">
        <w:rPr>
          <w:rFonts w:asciiTheme="minorHAnsi" w:hAnsiTheme="minorHAnsi" w:cstheme="minorHAnsi"/>
          <w:sz w:val="22"/>
          <w:szCs w:val="22"/>
        </w:rPr>
        <w:t>Do you consider that the proposed solution meets the TCR decision on redundant connection capacity? Please provide your rationale.</w:t>
      </w:r>
    </w:p>
    <w:p w14:paraId="54F1D8F4" w14:textId="594B73D4" w:rsidR="00F16EF0" w:rsidRDefault="00CC6151" w:rsidP="008B3F8D">
      <w:pPr>
        <w:pStyle w:val="ListParagraph"/>
        <w:numPr>
          <w:ilvl w:val="1"/>
          <w:numId w:val="14"/>
        </w:numPr>
        <w:spacing w:line="360" w:lineRule="auto"/>
        <w:ind w:hanging="860"/>
        <w:jc w:val="both"/>
        <w:rPr>
          <w:bCs/>
        </w:rPr>
      </w:pPr>
      <w:r w:rsidRPr="00CC6151">
        <w:rPr>
          <w:bCs/>
        </w:rPr>
        <w:t>A m</w:t>
      </w:r>
      <w:r w:rsidR="00981F00">
        <w:rPr>
          <w:bCs/>
        </w:rPr>
        <w:t xml:space="preserve">ajority of respondents </w:t>
      </w:r>
      <w:r w:rsidR="00006DAA">
        <w:rPr>
          <w:bCs/>
        </w:rPr>
        <w:t>(</w:t>
      </w:r>
      <w:r w:rsidR="00746EB7">
        <w:rPr>
          <w:bCs/>
        </w:rPr>
        <w:t>five</w:t>
      </w:r>
      <w:r w:rsidR="00006DAA">
        <w:rPr>
          <w:bCs/>
        </w:rPr>
        <w:t>)</w:t>
      </w:r>
      <w:r w:rsidR="0027227C">
        <w:rPr>
          <w:bCs/>
        </w:rPr>
        <w:t xml:space="preserve"> stated that they believed the solution met the TCR decision on redundant capacity.</w:t>
      </w:r>
    </w:p>
    <w:p w14:paraId="7E936AEF" w14:textId="2244FE7F" w:rsidR="00746EB7" w:rsidRDefault="00746EB7" w:rsidP="008B3F8D">
      <w:pPr>
        <w:pStyle w:val="ListParagraph"/>
        <w:numPr>
          <w:ilvl w:val="1"/>
          <w:numId w:val="14"/>
        </w:numPr>
        <w:spacing w:line="360" w:lineRule="auto"/>
        <w:ind w:hanging="860"/>
        <w:jc w:val="both"/>
        <w:rPr>
          <w:bCs/>
        </w:rPr>
      </w:pPr>
      <w:r>
        <w:rPr>
          <w:bCs/>
        </w:rPr>
        <w:t>Two</w:t>
      </w:r>
      <w:r w:rsidR="005C0CD3">
        <w:rPr>
          <w:bCs/>
        </w:rPr>
        <w:t xml:space="preserve"> respondents</w:t>
      </w:r>
      <w:r>
        <w:rPr>
          <w:bCs/>
        </w:rPr>
        <w:t xml:space="preserve"> stated that they did not agree that the proposed solution met the TCR decision.</w:t>
      </w:r>
    </w:p>
    <w:p w14:paraId="30F1035E" w14:textId="0947B7AB" w:rsidR="00746EB7" w:rsidRDefault="006D200F" w:rsidP="008B3F8D">
      <w:pPr>
        <w:pStyle w:val="ListParagraph"/>
        <w:numPr>
          <w:ilvl w:val="1"/>
          <w:numId w:val="14"/>
        </w:numPr>
        <w:spacing w:line="360" w:lineRule="auto"/>
        <w:ind w:hanging="860"/>
        <w:jc w:val="both"/>
        <w:rPr>
          <w:bCs/>
        </w:rPr>
      </w:pPr>
      <w:r>
        <w:rPr>
          <w:bCs/>
        </w:rPr>
        <w:t xml:space="preserve">One of the respondents who didn’t agree stated that </w:t>
      </w:r>
      <w:r w:rsidR="005C0CD3" w:rsidRPr="006D200F">
        <w:rPr>
          <w:bCs/>
        </w:rPr>
        <w:t>principally</w:t>
      </w:r>
      <w:r w:rsidRPr="006D200F">
        <w:rPr>
          <w:bCs/>
        </w:rPr>
        <w:t xml:space="preserve">, the introduction of a </w:t>
      </w:r>
      <w:r w:rsidR="003C1B1D">
        <w:rPr>
          <w:bCs/>
        </w:rPr>
        <w:t>Back-up</w:t>
      </w:r>
      <w:r w:rsidRPr="006D200F">
        <w:rPr>
          <w:bCs/>
        </w:rPr>
        <w:t xml:space="preserve"> Connection Site definition is flawed because </w:t>
      </w:r>
      <w:r w:rsidR="003C1B1D">
        <w:rPr>
          <w:bCs/>
        </w:rPr>
        <w:t>back-up</w:t>
      </w:r>
      <w:r w:rsidRPr="006D200F">
        <w:rPr>
          <w:bCs/>
        </w:rPr>
        <w:t xml:space="preserve"> connections are additional connections to a </w:t>
      </w:r>
      <w:r w:rsidR="0014008D">
        <w:rPr>
          <w:bCs/>
        </w:rPr>
        <w:t>S</w:t>
      </w:r>
      <w:r w:rsidRPr="006D200F">
        <w:rPr>
          <w:bCs/>
        </w:rPr>
        <w:t xml:space="preserve">ingle </w:t>
      </w:r>
      <w:r w:rsidR="0014008D">
        <w:rPr>
          <w:bCs/>
        </w:rPr>
        <w:t>S</w:t>
      </w:r>
      <w:r w:rsidRPr="006D200F">
        <w:rPr>
          <w:bCs/>
        </w:rPr>
        <w:t xml:space="preserve">ite and should not affect the charges for all connections to a site.  </w:t>
      </w:r>
      <w:r w:rsidR="007A4A34">
        <w:rPr>
          <w:bCs/>
        </w:rPr>
        <w:t xml:space="preserve">They also stated that </w:t>
      </w:r>
      <w:r w:rsidR="007A4A34">
        <w:rPr>
          <w:bCs/>
        </w:rPr>
        <w:lastRenderedPageBreak/>
        <w:t xml:space="preserve">they </w:t>
      </w:r>
      <w:r w:rsidR="007A4A34" w:rsidRPr="007A4A34">
        <w:rPr>
          <w:bCs/>
        </w:rPr>
        <w:t>believe</w:t>
      </w:r>
      <w:r w:rsidR="007A4A34">
        <w:rPr>
          <w:bCs/>
        </w:rPr>
        <w:t>d</w:t>
      </w:r>
      <w:r w:rsidR="007A4A34" w:rsidRPr="007A4A34">
        <w:rPr>
          <w:bCs/>
        </w:rPr>
        <w:t xml:space="preserve"> the </w:t>
      </w:r>
      <w:r w:rsidR="00C81208">
        <w:rPr>
          <w:bCs/>
        </w:rPr>
        <w:t>W</w:t>
      </w:r>
      <w:r w:rsidR="007A4A34" w:rsidRPr="007A4A34">
        <w:rPr>
          <w:bCs/>
        </w:rPr>
        <w:t xml:space="preserve">orking </w:t>
      </w:r>
      <w:r w:rsidR="00C81208">
        <w:rPr>
          <w:bCs/>
        </w:rPr>
        <w:t>G</w:t>
      </w:r>
      <w:r w:rsidR="007A4A34" w:rsidRPr="007A4A34">
        <w:rPr>
          <w:bCs/>
        </w:rPr>
        <w:t xml:space="preserve">roup should not introduce arrangements for private networks operating under a licence exemption as part of this change, as this was not part of the TCR decision. </w:t>
      </w:r>
      <w:r w:rsidR="008526FF">
        <w:rPr>
          <w:bCs/>
        </w:rPr>
        <w:t xml:space="preserve">This respondent provided an alternative draft of legal text in </w:t>
      </w:r>
      <w:r w:rsidR="00E03E28">
        <w:rPr>
          <w:bCs/>
        </w:rPr>
        <w:t xml:space="preserve">which can be found in </w:t>
      </w:r>
      <w:r w:rsidR="00E03E28" w:rsidRPr="00E03E28">
        <w:rPr>
          <w:b/>
        </w:rPr>
        <w:t xml:space="preserve">attachment </w:t>
      </w:r>
      <w:r w:rsidR="00AD36DF">
        <w:rPr>
          <w:b/>
        </w:rPr>
        <w:t>3</w:t>
      </w:r>
      <w:r w:rsidR="00E03E28">
        <w:rPr>
          <w:b/>
        </w:rPr>
        <w:t xml:space="preserve"> </w:t>
      </w:r>
      <w:r w:rsidR="00E03E28" w:rsidRPr="00E03E28">
        <w:rPr>
          <w:bCs/>
        </w:rPr>
        <w:t>of the collated consultation response document.</w:t>
      </w:r>
      <w:r w:rsidR="007E67F0">
        <w:rPr>
          <w:bCs/>
        </w:rPr>
        <w:t xml:space="preserve"> </w:t>
      </w:r>
    </w:p>
    <w:p w14:paraId="46C5EAF5" w14:textId="5893CA1B" w:rsidR="007E67F0" w:rsidRPr="00F16EF0" w:rsidRDefault="00A066B0" w:rsidP="008B3F8D">
      <w:pPr>
        <w:pStyle w:val="ListParagraph"/>
        <w:numPr>
          <w:ilvl w:val="1"/>
          <w:numId w:val="14"/>
        </w:numPr>
        <w:spacing w:line="360" w:lineRule="auto"/>
        <w:ind w:hanging="860"/>
        <w:jc w:val="both"/>
        <w:rPr>
          <w:bCs/>
        </w:rPr>
      </w:pPr>
      <w:r>
        <w:rPr>
          <w:bCs/>
        </w:rPr>
        <w:t xml:space="preserve">The other respondent who </w:t>
      </w:r>
      <w:r w:rsidR="00B15F53">
        <w:rPr>
          <w:bCs/>
        </w:rPr>
        <w:t>didn’t believe the solution met the TCR decision stated that they’d laid their answers as to why in question 6</w:t>
      </w:r>
      <w:r w:rsidR="00C81208">
        <w:rPr>
          <w:bCs/>
        </w:rPr>
        <w:t xml:space="preserve"> below</w:t>
      </w:r>
      <w:r w:rsidR="00B15F53">
        <w:rPr>
          <w:bCs/>
        </w:rPr>
        <w:t>.</w:t>
      </w:r>
    </w:p>
    <w:p w14:paraId="5A6A8A4F" w14:textId="3BCABD83" w:rsidR="004C262E" w:rsidRPr="00FF0C32" w:rsidRDefault="004C262E" w:rsidP="008B3F8D">
      <w:pPr>
        <w:pStyle w:val="Question"/>
        <w:ind w:hanging="860"/>
      </w:pPr>
      <w:r w:rsidRPr="00FF0C32">
        <w:t xml:space="preserve">Question </w:t>
      </w:r>
      <w:r>
        <w:t xml:space="preserve">6 </w:t>
      </w:r>
      <w:r w:rsidRPr="00FF0C32">
        <w:t>–</w:t>
      </w:r>
      <w:r w:rsidR="007C790C" w:rsidRPr="007C790C">
        <w:rPr>
          <w:rFonts w:asciiTheme="minorHAnsi" w:hAnsiTheme="minorHAnsi" w:cstheme="minorHAnsi"/>
          <w:sz w:val="22"/>
          <w:szCs w:val="22"/>
        </w:rPr>
        <w:t xml:space="preserve"> </w:t>
      </w:r>
      <w:r w:rsidR="007C790C" w:rsidRPr="00837C12">
        <w:rPr>
          <w:rFonts w:asciiTheme="minorHAnsi" w:hAnsiTheme="minorHAnsi" w:cstheme="minorHAnsi"/>
          <w:sz w:val="22"/>
          <w:szCs w:val="22"/>
        </w:rPr>
        <w:t>Should the introduction of a subset to a Final Demand Site result in the allocation to a zero-charging band? Please provide your rationale</w:t>
      </w:r>
      <w:r w:rsidR="004E1D1B">
        <w:rPr>
          <w:rFonts w:asciiTheme="minorHAnsi" w:hAnsiTheme="minorHAnsi" w:cstheme="minorHAnsi"/>
          <w:sz w:val="22"/>
          <w:szCs w:val="22"/>
        </w:rPr>
        <w:t>.</w:t>
      </w:r>
    </w:p>
    <w:p w14:paraId="3A5437B3" w14:textId="1906758D" w:rsidR="000F1FBF" w:rsidRDefault="00D522A2" w:rsidP="00C36B55">
      <w:pPr>
        <w:pStyle w:val="ListParagraph"/>
        <w:numPr>
          <w:ilvl w:val="1"/>
          <w:numId w:val="14"/>
        </w:numPr>
        <w:spacing w:line="360" w:lineRule="auto"/>
        <w:ind w:hanging="860"/>
        <w:jc w:val="both"/>
      </w:pPr>
      <w:r>
        <w:t>Four respondents believed that</w:t>
      </w:r>
      <w:r w:rsidR="00464E42">
        <w:t xml:space="preserve"> the</w:t>
      </w:r>
      <w:r>
        <w:t xml:space="preserve"> </w:t>
      </w:r>
      <w:r w:rsidR="008927DF">
        <w:t>introduction of a subset to a Final Demand Site</w:t>
      </w:r>
      <w:r w:rsidR="00464E42">
        <w:t xml:space="preserve"> </w:t>
      </w:r>
      <w:r w:rsidR="007351FD">
        <w:t xml:space="preserve">should result in the allocation to a </w:t>
      </w:r>
      <w:r w:rsidR="00C36B55">
        <w:t>zero-charging</w:t>
      </w:r>
      <w:r w:rsidR="007351FD">
        <w:t xml:space="preserve"> band.</w:t>
      </w:r>
    </w:p>
    <w:p w14:paraId="32839293" w14:textId="7BE3298D" w:rsidR="007351FD" w:rsidRPr="00AD7BC3" w:rsidRDefault="00E02A2B" w:rsidP="00C36B55">
      <w:pPr>
        <w:pStyle w:val="ListParagraph"/>
        <w:numPr>
          <w:ilvl w:val="1"/>
          <w:numId w:val="14"/>
        </w:numPr>
        <w:spacing w:line="360" w:lineRule="auto"/>
        <w:ind w:hanging="860"/>
        <w:jc w:val="both"/>
      </w:pPr>
      <w:r>
        <w:t>One respondent</w:t>
      </w:r>
      <w:r w:rsidR="00934AF9">
        <w:t xml:space="preserve"> who stated no said</w:t>
      </w:r>
      <w:r>
        <w:t xml:space="preserve"> that t</w:t>
      </w:r>
      <w:r w:rsidRPr="00E02A2B">
        <w:t xml:space="preserve">his could introduce further complex change into a market already going through significant change and with the </w:t>
      </w:r>
      <w:proofErr w:type="spellStart"/>
      <w:r w:rsidRPr="00E02A2B">
        <w:t>DUoS</w:t>
      </w:r>
      <w:proofErr w:type="spellEnd"/>
      <w:r w:rsidRPr="00E02A2B">
        <w:t xml:space="preserve"> SCR still to come</w:t>
      </w:r>
      <w:r w:rsidR="004F5A7A">
        <w:t xml:space="preserve">. </w:t>
      </w:r>
    </w:p>
    <w:p w14:paraId="3C41BF20" w14:textId="27D8674F" w:rsidR="00AD7BC3" w:rsidRDefault="00685B34" w:rsidP="00C36B55">
      <w:pPr>
        <w:pStyle w:val="ListParagraph"/>
        <w:numPr>
          <w:ilvl w:val="1"/>
          <w:numId w:val="14"/>
        </w:numPr>
        <w:spacing w:line="360" w:lineRule="auto"/>
        <w:ind w:hanging="860"/>
        <w:jc w:val="both"/>
      </w:pPr>
      <w:r>
        <w:t>Another respo</w:t>
      </w:r>
      <w:r w:rsidR="00556559">
        <w:t>ndent who replied no</w:t>
      </w:r>
      <w:r w:rsidR="00556559" w:rsidRPr="00556559">
        <w:t xml:space="preserve"> believe</w:t>
      </w:r>
      <w:r w:rsidR="00556559">
        <w:t>d</w:t>
      </w:r>
      <w:r w:rsidR="00556559" w:rsidRPr="00556559">
        <w:t xml:space="preserve"> the introduction of a subset to a Final Demand Site to be outside the scope of the TCR Direction. The approach of introducing a subset to a Final Demand Site excludes instances where the </w:t>
      </w:r>
      <w:r w:rsidR="003C1B1D">
        <w:t>back-up</w:t>
      </w:r>
      <w:r w:rsidR="00556559" w:rsidRPr="00556559">
        <w:t xml:space="preserve"> and primary connection to a site are under the same connection agreement, we believe a simpler more direct approach to identify the </w:t>
      </w:r>
      <w:r w:rsidR="003C1B1D">
        <w:t>back-up</w:t>
      </w:r>
      <w:r w:rsidR="00556559" w:rsidRPr="00556559">
        <w:t xml:space="preserve"> connection element is more appropriate.</w:t>
      </w:r>
      <w:r w:rsidR="0060498D">
        <w:t xml:space="preserve"> </w:t>
      </w:r>
    </w:p>
    <w:p w14:paraId="08EE9126" w14:textId="1C1ABDA1" w:rsidR="00673901" w:rsidRPr="00E45140" w:rsidRDefault="00C90C2D" w:rsidP="00C36B55">
      <w:pPr>
        <w:pStyle w:val="ListParagraph"/>
        <w:numPr>
          <w:ilvl w:val="1"/>
          <w:numId w:val="14"/>
        </w:numPr>
        <w:spacing w:line="360" w:lineRule="auto"/>
        <w:ind w:hanging="860"/>
        <w:jc w:val="both"/>
      </w:pPr>
      <w:r>
        <w:t xml:space="preserve">The Third and final respondent who </w:t>
      </w:r>
      <w:r w:rsidR="00C904AA">
        <w:t xml:space="preserve">replied no stated </w:t>
      </w:r>
      <w:r w:rsidR="00B8579D">
        <w:t xml:space="preserve">they believed the proposed approach does not seem workable. </w:t>
      </w:r>
      <w:proofErr w:type="gramStart"/>
      <w:r w:rsidR="00B8579D">
        <w:t>For the purpose of</w:t>
      </w:r>
      <w:proofErr w:type="gramEnd"/>
      <w:r w:rsidR="00B8579D">
        <w:t xml:space="preserve"> the TCR, Single Site means one or more Non-Domestic Premises that are connected to the distribution system pursuant to a single Connection Agreement. </w:t>
      </w:r>
      <w:r w:rsidR="006A1565">
        <w:t>They also noted as the proposal concerns sites which have more than one connection agreement (for both a main and a redundant connection), under the TCR, such sites cannot be Single Sites.</w:t>
      </w:r>
    </w:p>
    <w:p w14:paraId="4BE9A5EB" w14:textId="14F37430" w:rsidR="004C262E" w:rsidRPr="00845FD4" w:rsidRDefault="004C262E" w:rsidP="008B3F8D">
      <w:pPr>
        <w:pStyle w:val="Question"/>
        <w:ind w:hanging="860"/>
      </w:pPr>
      <w:r w:rsidRPr="00845FD4">
        <w:t xml:space="preserve">Question </w:t>
      </w:r>
      <w:r>
        <w:t>7</w:t>
      </w:r>
      <w:r w:rsidRPr="00845FD4">
        <w:t xml:space="preserve"> -</w:t>
      </w:r>
      <w:r w:rsidR="00650F1C">
        <w:t xml:space="preserve"> </w:t>
      </w:r>
      <w:r w:rsidR="00BC77A9" w:rsidRPr="00837C12">
        <w:rPr>
          <w:rFonts w:asciiTheme="minorHAnsi" w:hAnsiTheme="minorHAnsi" w:cstheme="minorHAnsi"/>
          <w:sz w:val="22"/>
          <w:szCs w:val="22"/>
        </w:rPr>
        <w:t>If the Back Up Connection Site is connected to a different GSP to the main connection, should it be exempt from residual charges? Please provide your rationale.</w:t>
      </w:r>
      <w:r w:rsidR="00650F1C" w:rsidRPr="00650F1C">
        <w:t>?</w:t>
      </w:r>
    </w:p>
    <w:p w14:paraId="545BE05C" w14:textId="5553745D" w:rsidR="00CF4CA5" w:rsidRPr="00231BD5" w:rsidRDefault="00835B9B" w:rsidP="008B3F8D">
      <w:pPr>
        <w:pStyle w:val="ListParagraph"/>
        <w:numPr>
          <w:ilvl w:val="1"/>
          <w:numId w:val="14"/>
        </w:numPr>
        <w:spacing w:line="360" w:lineRule="auto"/>
        <w:ind w:hanging="860"/>
        <w:jc w:val="both"/>
      </w:pPr>
      <w:r>
        <w:rPr>
          <w:bCs/>
        </w:rPr>
        <w:t>Six</w:t>
      </w:r>
      <w:r w:rsidR="00255C02">
        <w:rPr>
          <w:bCs/>
        </w:rPr>
        <w:t xml:space="preserve"> of the respondents believed that if the Back Up Connection is connected to a different GSP to the main connection, they </w:t>
      </w:r>
      <w:r w:rsidR="00255C02" w:rsidRPr="00255C02">
        <w:rPr>
          <w:b/>
        </w:rPr>
        <w:t>should not</w:t>
      </w:r>
      <w:r w:rsidR="00255C02">
        <w:rPr>
          <w:b/>
        </w:rPr>
        <w:t xml:space="preserve"> </w:t>
      </w:r>
      <w:r w:rsidR="00255C02">
        <w:rPr>
          <w:bCs/>
        </w:rPr>
        <w:t xml:space="preserve">be exempt </w:t>
      </w:r>
      <w:r w:rsidR="00231BD5">
        <w:rPr>
          <w:bCs/>
        </w:rPr>
        <w:t>from residual charges.</w:t>
      </w:r>
    </w:p>
    <w:p w14:paraId="64F90395" w14:textId="675E1110" w:rsidR="00E47DB0" w:rsidRPr="00255C02" w:rsidRDefault="00231BD5" w:rsidP="008B3F8D">
      <w:pPr>
        <w:pStyle w:val="ListParagraph"/>
        <w:numPr>
          <w:ilvl w:val="1"/>
          <w:numId w:val="14"/>
        </w:numPr>
        <w:spacing w:line="360" w:lineRule="auto"/>
        <w:ind w:hanging="860"/>
        <w:jc w:val="both"/>
      </w:pPr>
      <w:r>
        <w:rPr>
          <w:bCs/>
        </w:rPr>
        <w:t xml:space="preserve">One respondent </w:t>
      </w:r>
      <w:r w:rsidR="00E87590">
        <w:rPr>
          <w:bCs/>
        </w:rPr>
        <w:t xml:space="preserve">stated they believed it should be </w:t>
      </w:r>
      <w:r w:rsidR="00BA0232">
        <w:rPr>
          <w:bCs/>
        </w:rPr>
        <w:t>exempt</w:t>
      </w:r>
      <w:r w:rsidR="00E87590">
        <w:rPr>
          <w:bCs/>
        </w:rPr>
        <w:t xml:space="preserve"> </w:t>
      </w:r>
      <w:r w:rsidR="00BA0232">
        <w:rPr>
          <w:bCs/>
        </w:rPr>
        <w:t xml:space="preserve">stated yes, </w:t>
      </w:r>
      <w:r w:rsidR="00BA0232" w:rsidRPr="00BA0232">
        <w:rPr>
          <w:bCs/>
        </w:rPr>
        <w:t xml:space="preserve">as it doesn’t matter where the </w:t>
      </w:r>
      <w:r w:rsidR="003C1B1D">
        <w:rPr>
          <w:bCs/>
        </w:rPr>
        <w:t>back-up</w:t>
      </w:r>
      <w:r w:rsidR="00BA0232" w:rsidRPr="00BA0232">
        <w:rPr>
          <w:bCs/>
        </w:rPr>
        <w:t xml:space="preserve"> connection is located</w:t>
      </w:r>
      <w:r w:rsidR="00BA0232">
        <w:rPr>
          <w:bCs/>
        </w:rPr>
        <w:t>.</w:t>
      </w:r>
    </w:p>
    <w:p w14:paraId="4B1CCDAA" w14:textId="7277AD01" w:rsidR="004C262E" w:rsidRPr="00FF0C32" w:rsidRDefault="004C262E" w:rsidP="008B3F8D">
      <w:pPr>
        <w:pStyle w:val="Question"/>
        <w:ind w:hanging="860"/>
      </w:pPr>
      <w:r w:rsidRPr="00FF0C32">
        <w:t xml:space="preserve">Question </w:t>
      </w:r>
      <w:r>
        <w:t>8</w:t>
      </w:r>
      <w:r w:rsidRPr="00FF0C32">
        <w:t xml:space="preserve"> –</w:t>
      </w:r>
      <w:r w:rsidR="009A1852" w:rsidRPr="009A1852">
        <w:t xml:space="preserve"> </w:t>
      </w:r>
      <w:r w:rsidR="003742A9" w:rsidRPr="003742A9">
        <w:t>Do you consider that the proposal better facilitates the DCUSA General Objectives? If so, please detail which of the General Objectives you believe are better facilitated and provide supporting reasons. If not, please provide supporting reasons.</w:t>
      </w:r>
    </w:p>
    <w:p w14:paraId="01951F58" w14:textId="2F986590" w:rsidR="00C81208" w:rsidRPr="00CC56B1" w:rsidRDefault="00C81208" w:rsidP="00C81208">
      <w:pPr>
        <w:pStyle w:val="ListParagraph"/>
        <w:numPr>
          <w:ilvl w:val="1"/>
          <w:numId w:val="54"/>
        </w:numPr>
        <w:rPr>
          <w:i/>
          <w:iCs/>
        </w:rPr>
      </w:pPr>
      <w:r>
        <w:rPr>
          <w:bCs/>
        </w:rPr>
        <w:t>The table below captures each respondents</w:t>
      </w:r>
      <w:r w:rsidR="00C36B55">
        <w:rPr>
          <w:bCs/>
        </w:rPr>
        <w:t>’</w:t>
      </w:r>
      <w:r>
        <w:rPr>
          <w:bCs/>
        </w:rPr>
        <w:t xml:space="preserve"> views on if any of the DCUSA General Objectives are better facilitated.</w:t>
      </w:r>
    </w:p>
    <w:tbl>
      <w:tblPr>
        <w:tblW w:w="5960" w:type="dxa"/>
        <w:tblInd w:w="836"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701"/>
        <w:gridCol w:w="880"/>
        <w:gridCol w:w="821"/>
        <w:gridCol w:w="850"/>
        <w:gridCol w:w="851"/>
        <w:gridCol w:w="857"/>
      </w:tblGrid>
      <w:tr w:rsidR="00C36B55" w:rsidRPr="0060253F" w14:paraId="6586AE34" w14:textId="77777777" w:rsidTr="009E07CE">
        <w:trPr>
          <w:cantSplit/>
          <w:trHeight w:val="689"/>
        </w:trPr>
        <w:tc>
          <w:tcPr>
            <w:tcW w:w="5960" w:type="dxa"/>
            <w:gridSpan w:val="6"/>
          </w:tcPr>
          <w:p w14:paraId="05714592" w14:textId="047D07ED" w:rsidR="00C36B55" w:rsidRPr="00185811" w:rsidRDefault="00C81208" w:rsidP="00C36B55">
            <w:pPr>
              <w:ind w:left="113" w:right="113" w:hanging="16"/>
              <w:jc w:val="center"/>
              <w:rPr>
                <w:b/>
                <w:szCs w:val="20"/>
              </w:rPr>
            </w:pPr>
            <w:r w:rsidRPr="002D06C5">
              <w:rPr>
                <w:bCs/>
              </w:rPr>
              <w:t xml:space="preserve"> </w:t>
            </w:r>
            <w:r w:rsidR="00C36B55">
              <w:rPr>
                <w:b/>
                <w:szCs w:val="20"/>
              </w:rPr>
              <w:t>General Objectives</w:t>
            </w:r>
          </w:p>
        </w:tc>
      </w:tr>
      <w:tr w:rsidR="00C81208" w:rsidRPr="0060253F" w14:paraId="09FD28E5" w14:textId="77777777" w:rsidTr="009E07CE">
        <w:trPr>
          <w:cantSplit/>
          <w:trHeight w:val="689"/>
        </w:trPr>
        <w:tc>
          <w:tcPr>
            <w:tcW w:w="1701" w:type="dxa"/>
          </w:tcPr>
          <w:p w14:paraId="4ECC983A" w14:textId="64AC9FF1" w:rsidR="00C81208" w:rsidRPr="00DE7ED9" w:rsidRDefault="00C36B55" w:rsidP="00AE0CAB">
            <w:pPr>
              <w:pStyle w:val="Heading4"/>
              <w:rPr>
                <w:sz w:val="18"/>
                <w:szCs w:val="18"/>
              </w:rPr>
            </w:pPr>
            <w:r w:rsidRPr="00C36B55">
              <w:rPr>
                <w:color w:val="auto"/>
                <w:sz w:val="18"/>
                <w:szCs w:val="18"/>
              </w:rPr>
              <w:lastRenderedPageBreak/>
              <w:t>Responder</w:t>
            </w:r>
          </w:p>
        </w:tc>
        <w:tc>
          <w:tcPr>
            <w:tcW w:w="880" w:type="dxa"/>
          </w:tcPr>
          <w:p w14:paraId="19F8CAB4" w14:textId="77777777" w:rsidR="00C81208" w:rsidRPr="00185811" w:rsidRDefault="00C81208" w:rsidP="00AE0CAB">
            <w:pPr>
              <w:ind w:left="113" w:right="113"/>
              <w:rPr>
                <w:b/>
                <w:szCs w:val="20"/>
              </w:rPr>
            </w:pPr>
            <w:r w:rsidRPr="00185811">
              <w:rPr>
                <w:b/>
                <w:szCs w:val="20"/>
              </w:rPr>
              <w:t>1</w:t>
            </w:r>
          </w:p>
        </w:tc>
        <w:tc>
          <w:tcPr>
            <w:tcW w:w="821" w:type="dxa"/>
          </w:tcPr>
          <w:p w14:paraId="788528DD" w14:textId="77777777" w:rsidR="00C81208" w:rsidRPr="00185811" w:rsidRDefault="00C81208" w:rsidP="00AE0CAB">
            <w:pPr>
              <w:ind w:left="113" w:right="113"/>
              <w:rPr>
                <w:b/>
                <w:szCs w:val="20"/>
              </w:rPr>
            </w:pPr>
            <w:r w:rsidRPr="00185811">
              <w:rPr>
                <w:b/>
                <w:szCs w:val="20"/>
              </w:rPr>
              <w:t>2</w:t>
            </w:r>
          </w:p>
        </w:tc>
        <w:tc>
          <w:tcPr>
            <w:tcW w:w="850" w:type="dxa"/>
          </w:tcPr>
          <w:p w14:paraId="277D9F72" w14:textId="77777777" w:rsidR="00C81208" w:rsidRPr="00185811" w:rsidRDefault="00C81208" w:rsidP="00AE0CAB">
            <w:pPr>
              <w:ind w:left="113" w:right="113"/>
              <w:rPr>
                <w:b/>
                <w:szCs w:val="20"/>
              </w:rPr>
            </w:pPr>
            <w:r w:rsidRPr="00185811">
              <w:rPr>
                <w:b/>
                <w:szCs w:val="20"/>
              </w:rPr>
              <w:t>3</w:t>
            </w:r>
          </w:p>
        </w:tc>
        <w:tc>
          <w:tcPr>
            <w:tcW w:w="851" w:type="dxa"/>
          </w:tcPr>
          <w:p w14:paraId="195AA751" w14:textId="77777777" w:rsidR="00C81208" w:rsidRPr="00185811" w:rsidRDefault="00C81208" w:rsidP="00AE0CAB">
            <w:pPr>
              <w:ind w:left="113" w:right="113"/>
              <w:rPr>
                <w:b/>
                <w:szCs w:val="20"/>
              </w:rPr>
            </w:pPr>
            <w:r w:rsidRPr="00185811">
              <w:rPr>
                <w:b/>
                <w:szCs w:val="20"/>
              </w:rPr>
              <w:t>4</w:t>
            </w:r>
          </w:p>
        </w:tc>
        <w:tc>
          <w:tcPr>
            <w:tcW w:w="853" w:type="dxa"/>
          </w:tcPr>
          <w:p w14:paraId="45D18C2B" w14:textId="77777777" w:rsidR="00C81208" w:rsidRPr="00185811" w:rsidRDefault="00C81208" w:rsidP="00AE0CAB">
            <w:pPr>
              <w:ind w:left="113" w:right="113"/>
              <w:rPr>
                <w:b/>
                <w:szCs w:val="20"/>
              </w:rPr>
            </w:pPr>
            <w:r w:rsidRPr="00185811">
              <w:rPr>
                <w:b/>
                <w:szCs w:val="20"/>
              </w:rPr>
              <w:t>5</w:t>
            </w:r>
          </w:p>
        </w:tc>
      </w:tr>
      <w:tr w:rsidR="00C81208" w:rsidRPr="00EB32BB" w14:paraId="31E28C1B" w14:textId="77777777" w:rsidTr="009E07CE">
        <w:trPr>
          <w:cantSplit/>
          <w:trHeight w:val="397"/>
        </w:trPr>
        <w:tc>
          <w:tcPr>
            <w:tcW w:w="1701" w:type="dxa"/>
          </w:tcPr>
          <w:p w14:paraId="50168ED7" w14:textId="4B958B57" w:rsidR="00C81208" w:rsidRPr="00DE7ED9" w:rsidRDefault="00C81208" w:rsidP="00AE0CAB">
            <w:pPr>
              <w:pStyle w:val="BodyText"/>
              <w:rPr>
                <w:rFonts w:cs="Arial"/>
                <w:b/>
                <w:bCs/>
                <w:noProof/>
                <w:sz w:val="18"/>
                <w:szCs w:val="18"/>
              </w:rPr>
            </w:pPr>
            <w:r>
              <w:rPr>
                <w:rFonts w:cs="Arial"/>
                <w:b/>
                <w:bCs/>
                <w:sz w:val="18"/>
                <w:szCs w:val="18"/>
              </w:rPr>
              <w:t>Responder 1</w:t>
            </w:r>
          </w:p>
        </w:tc>
        <w:tc>
          <w:tcPr>
            <w:tcW w:w="880" w:type="dxa"/>
          </w:tcPr>
          <w:p w14:paraId="0C72AA0C" w14:textId="77777777" w:rsidR="00C81208" w:rsidRPr="004155E5" w:rsidRDefault="00C81208" w:rsidP="00C81208">
            <w:pPr>
              <w:ind w:left="113" w:right="113"/>
              <w:jc w:val="center"/>
              <w:rPr>
                <w:rFonts w:cs="Arial"/>
              </w:rPr>
            </w:pPr>
            <w:r>
              <w:rPr>
                <w:rFonts w:cs="Arial"/>
              </w:rPr>
              <w:t>X</w:t>
            </w:r>
          </w:p>
        </w:tc>
        <w:tc>
          <w:tcPr>
            <w:tcW w:w="821" w:type="dxa"/>
          </w:tcPr>
          <w:p w14:paraId="25F23CF7" w14:textId="77777777" w:rsidR="00C81208" w:rsidRPr="004155E5" w:rsidRDefault="00C81208" w:rsidP="00C81208">
            <w:pPr>
              <w:ind w:left="113" w:right="113"/>
              <w:jc w:val="center"/>
              <w:rPr>
                <w:rFonts w:cs="Arial"/>
              </w:rPr>
            </w:pPr>
            <w:r>
              <w:rPr>
                <w:rFonts w:cs="Arial"/>
              </w:rPr>
              <w:t>X</w:t>
            </w:r>
          </w:p>
        </w:tc>
        <w:tc>
          <w:tcPr>
            <w:tcW w:w="850" w:type="dxa"/>
          </w:tcPr>
          <w:p w14:paraId="5919A8D2" w14:textId="77777777" w:rsidR="00C81208" w:rsidRPr="004155E5" w:rsidRDefault="00C81208" w:rsidP="00C81208">
            <w:pPr>
              <w:ind w:left="113" w:right="113"/>
              <w:jc w:val="center"/>
              <w:rPr>
                <w:rFonts w:cs="Arial"/>
              </w:rPr>
            </w:pPr>
            <w:r>
              <w:rPr>
                <w:rFonts w:cs="Arial"/>
              </w:rPr>
              <w:t>X</w:t>
            </w:r>
          </w:p>
        </w:tc>
        <w:tc>
          <w:tcPr>
            <w:tcW w:w="851" w:type="dxa"/>
          </w:tcPr>
          <w:p w14:paraId="486E5901" w14:textId="77777777" w:rsidR="00C81208" w:rsidRPr="00EB32BB" w:rsidRDefault="00C81208" w:rsidP="00C81208">
            <w:pPr>
              <w:ind w:left="113" w:right="113"/>
              <w:jc w:val="center"/>
            </w:pPr>
          </w:p>
        </w:tc>
        <w:tc>
          <w:tcPr>
            <w:tcW w:w="853" w:type="dxa"/>
          </w:tcPr>
          <w:p w14:paraId="4C595799" w14:textId="77777777" w:rsidR="00C81208" w:rsidRPr="00EB32BB" w:rsidRDefault="00C81208" w:rsidP="00C81208">
            <w:pPr>
              <w:ind w:left="113" w:right="113"/>
              <w:jc w:val="center"/>
            </w:pPr>
          </w:p>
        </w:tc>
      </w:tr>
      <w:tr w:rsidR="00C81208" w:rsidRPr="00EB32BB" w14:paraId="3393E591" w14:textId="77777777" w:rsidTr="009E07CE">
        <w:trPr>
          <w:cantSplit/>
          <w:trHeight w:val="397"/>
        </w:trPr>
        <w:tc>
          <w:tcPr>
            <w:tcW w:w="1701" w:type="dxa"/>
          </w:tcPr>
          <w:p w14:paraId="5B25B5F5" w14:textId="74D8074A" w:rsidR="00C81208" w:rsidRPr="00DE7ED9" w:rsidRDefault="00C81208" w:rsidP="00AE0CAB">
            <w:pPr>
              <w:pStyle w:val="BodyText"/>
              <w:rPr>
                <w:rFonts w:cs="Arial"/>
                <w:b/>
                <w:bCs/>
                <w:noProof/>
                <w:sz w:val="18"/>
                <w:szCs w:val="18"/>
              </w:rPr>
            </w:pPr>
            <w:r>
              <w:rPr>
                <w:rFonts w:cs="Arial"/>
                <w:b/>
                <w:bCs/>
                <w:sz w:val="18"/>
                <w:szCs w:val="18"/>
              </w:rPr>
              <w:t>Responder 2</w:t>
            </w:r>
          </w:p>
        </w:tc>
        <w:tc>
          <w:tcPr>
            <w:tcW w:w="880" w:type="dxa"/>
          </w:tcPr>
          <w:p w14:paraId="50C26327" w14:textId="77777777" w:rsidR="00C81208" w:rsidRPr="004155E5" w:rsidRDefault="00C81208" w:rsidP="00C81208">
            <w:pPr>
              <w:ind w:left="113" w:right="113"/>
              <w:jc w:val="center"/>
              <w:rPr>
                <w:rFonts w:cs="Arial"/>
              </w:rPr>
            </w:pPr>
            <w:r>
              <w:rPr>
                <w:rFonts w:cs="Arial"/>
              </w:rPr>
              <w:t>X</w:t>
            </w:r>
          </w:p>
        </w:tc>
        <w:tc>
          <w:tcPr>
            <w:tcW w:w="821" w:type="dxa"/>
          </w:tcPr>
          <w:p w14:paraId="4C629F44" w14:textId="77777777" w:rsidR="00C81208" w:rsidRPr="004155E5" w:rsidRDefault="00C81208" w:rsidP="00C81208">
            <w:pPr>
              <w:ind w:left="113" w:right="113"/>
              <w:jc w:val="center"/>
              <w:rPr>
                <w:rFonts w:cs="Arial"/>
              </w:rPr>
            </w:pPr>
          </w:p>
        </w:tc>
        <w:tc>
          <w:tcPr>
            <w:tcW w:w="850" w:type="dxa"/>
          </w:tcPr>
          <w:p w14:paraId="7E84D435" w14:textId="77777777" w:rsidR="00C81208" w:rsidRPr="004155E5" w:rsidRDefault="00C81208" w:rsidP="00C81208">
            <w:pPr>
              <w:ind w:left="113" w:right="113"/>
              <w:jc w:val="center"/>
              <w:rPr>
                <w:rFonts w:cs="Arial"/>
              </w:rPr>
            </w:pPr>
            <w:r>
              <w:rPr>
                <w:rFonts w:cs="Arial"/>
              </w:rPr>
              <w:t>X</w:t>
            </w:r>
          </w:p>
        </w:tc>
        <w:tc>
          <w:tcPr>
            <w:tcW w:w="851" w:type="dxa"/>
          </w:tcPr>
          <w:p w14:paraId="48CDF3A8" w14:textId="77777777" w:rsidR="00C81208" w:rsidRPr="00EB32BB" w:rsidRDefault="00C81208" w:rsidP="00C81208">
            <w:pPr>
              <w:ind w:left="113" w:right="113"/>
              <w:jc w:val="center"/>
            </w:pPr>
          </w:p>
        </w:tc>
        <w:tc>
          <w:tcPr>
            <w:tcW w:w="853" w:type="dxa"/>
          </w:tcPr>
          <w:p w14:paraId="20095E5B" w14:textId="77777777" w:rsidR="00C81208" w:rsidRPr="00EB32BB" w:rsidRDefault="00C81208" w:rsidP="00C81208">
            <w:pPr>
              <w:ind w:left="113" w:right="113"/>
              <w:jc w:val="center"/>
            </w:pPr>
          </w:p>
        </w:tc>
      </w:tr>
      <w:tr w:rsidR="00C81208" w14:paraId="24613CFE" w14:textId="77777777" w:rsidTr="009E07CE">
        <w:trPr>
          <w:cantSplit/>
          <w:trHeight w:val="397"/>
        </w:trPr>
        <w:tc>
          <w:tcPr>
            <w:tcW w:w="1701" w:type="dxa"/>
          </w:tcPr>
          <w:p w14:paraId="4BDAAFEF" w14:textId="7C97054F" w:rsidR="00C81208" w:rsidRPr="00DE7ED9" w:rsidRDefault="00C81208" w:rsidP="00AE0CAB">
            <w:pPr>
              <w:pStyle w:val="BodyText"/>
              <w:ind w:left="546" w:hanging="546"/>
              <w:rPr>
                <w:rFonts w:cs="Arial"/>
                <w:b/>
                <w:bCs/>
                <w:noProof/>
                <w:sz w:val="18"/>
                <w:szCs w:val="18"/>
              </w:rPr>
            </w:pPr>
            <w:r>
              <w:rPr>
                <w:rFonts w:cs="Arial"/>
                <w:b/>
                <w:bCs/>
                <w:sz w:val="18"/>
                <w:szCs w:val="18"/>
              </w:rPr>
              <w:t>Responder 3</w:t>
            </w:r>
          </w:p>
        </w:tc>
        <w:tc>
          <w:tcPr>
            <w:tcW w:w="880" w:type="dxa"/>
          </w:tcPr>
          <w:p w14:paraId="1F9C4FE0" w14:textId="77777777" w:rsidR="00C81208" w:rsidRPr="004155E5" w:rsidRDefault="00C81208" w:rsidP="00C81208">
            <w:pPr>
              <w:ind w:left="113" w:right="113"/>
              <w:jc w:val="center"/>
              <w:rPr>
                <w:rFonts w:cs="Arial"/>
              </w:rPr>
            </w:pPr>
            <w:r>
              <w:rPr>
                <w:rFonts w:cs="Arial"/>
              </w:rPr>
              <w:t>X</w:t>
            </w:r>
          </w:p>
        </w:tc>
        <w:tc>
          <w:tcPr>
            <w:tcW w:w="821" w:type="dxa"/>
          </w:tcPr>
          <w:p w14:paraId="4AB0F501" w14:textId="77777777" w:rsidR="00C81208" w:rsidRPr="004155E5" w:rsidRDefault="00C81208" w:rsidP="00C81208">
            <w:pPr>
              <w:ind w:left="113" w:right="113"/>
              <w:jc w:val="center"/>
              <w:rPr>
                <w:rFonts w:cs="Arial"/>
              </w:rPr>
            </w:pPr>
            <w:r>
              <w:rPr>
                <w:rFonts w:cs="Arial"/>
              </w:rPr>
              <w:t>X</w:t>
            </w:r>
          </w:p>
        </w:tc>
        <w:tc>
          <w:tcPr>
            <w:tcW w:w="850" w:type="dxa"/>
          </w:tcPr>
          <w:p w14:paraId="01B3FCC9" w14:textId="77777777" w:rsidR="00C81208" w:rsidRPr="004155E5" w:rsidRDefault="00C81208" w:rsidP="00C81208">
            <w:pPr>
              <w:ind w:left="113" w:right="113"/>
              <w:jc w:val="center"/>
              <w:rPr>
                <w:rFonts w:cs="Arial"/>
              </w:rPr>
            </w:pPr>
            <w:r>
              <w:rPr>
                <w:rFonts w:cs="Arial"/>
              </w:rPr>
              <w:t>X</w:t>
            </w:r>
          </w:p>
        </w:tc>
        <w:tc>
          <w:tcPr>
            <w:tcW w:w="851" w:type="dxa"/>
          </w:tcPr>
          <w:p w14:paraId="70F56131" w14:textId="77777777" w:rsidR="00C81208" w:rsidRDefault="00C81208" w:rsidP="00C81208">
            <w:pPr>
              <w:ind w:left="113" w:right="113"/>
              <w:jc w:val="center"/>
            </w:pPr>
            <w:r>
              <w:t>X</w:t>
            </w:r>
          </w:p>
        </w:tc>
        <w:tc>
          <w:tcPr>
            <w:tcW w:w="853" w:type="dxa"/>
          </w:tcPr>
          <w:p w14:paraId="109E7B29" w14:textId="77777777" w:rsidR="00C81208" w:rsidRDefault="00C81208" w:rsidP="00C81208">
            <w:pPr>
              <w:ind w:left="113" w:right="113"/>
              <w:jc w:val="center"/>
            </w:pPr>
          </w:p>
        </w:tc>
      </w:tr>
      <w:tr w:rsidR="00C81208" w14:paraId="60AEE607" w14:textId="77777777" w:rsidTr="009E07CE">
        <w:trPr>
          <w:cantSplit/>
          <w:trHeight w:val="397"/>
        </w:trPr>
        <w:tc>
          <w:tcPr>
            <w:tcW w:w="1701" w:type="dxa"/>
          </w:tcPr>
          <w:p w14:paraId="416D9BAA" w14:textId="2CD8D64A" w:rsidR="00C81208" w:rsidRPr="00DE7ED9" w:rsidRDefault="00C81208" w:rsidP="00AE0CAB">
            <w:pPr>
              <w:pStyle w:val="BodyText"/>
              <w:ind w:left="546" w:hanging="546"/>
              <w:rPr>
                <w:rFonts w:cs="Arial"/>
                <w:b/>
                <w:bCs/>
                <w:noProof/>
                <w:sz w:val="18"/>
                <w:szCs w:val="18"/>
              </w:rPr>
            </w:pPr>
            <w:r>
              <w:rPr>
                <w:rFonts w:cs="Arial"/>
                <w:b/>
                <w:bCs/>
                <w:sz w:val="18"/>
                <w:szCs w:val="18"/>
              </w:rPr>
              <w:t>Responder 4</w:t>
            </w:r>
          </w:p>
        </w:tc>
        <w:tc>
          <w:tcPr>
            <w:tcW w:w="880" w:type="dxa"/>
          </w:tcPr>
          <w:p w14:paraId="24F995DC" w14:textId="77777777" w:rsidR="00C81208" w:rsidRDefault="00C81208" w:rsidP="00C81208">
            <w:pPr>
              <w:jc w:val="center"/>
              <w:rPr>
                <w:rFonts w:cs="Arial"/>
              </w:rPr>
            </w:pPr>
            <w:r>
              <w:rPr>
                <w:rFonts w:cs="Arial"/>
              </w:rPr>
              <w:t>X</w:t>
            </w:r>
          </w:p>
        </w:tc>
        <w:tc>
          <w:tcPr>
            <w:tcW w:w="821" w:type="dxa"/>
          </w:tcPr>
          <w:p w14:paraId="15F6EF3E" w14:textId="77777777" w:rsidR="00C81208" w:rsidRDefault="00C81208" w:rsidP="00C81208">
            <w:pPr>
              <w:jc w:val="center"/>
              <w:rPr>
                <w:rFonts w:cs="Arial"/>
              </w:rPr>
            </w:pPr>
            <w:r>
              <w:rPr>
                <w:rFonts w:cs="Arial"/>
              </w:rPr>
              <w:t>X</w:t>
            </w:r>
          </w:p>
        </w:tc>
        <w:tc>
          <w:tcPr>
            <w:tcW w:w="850" w:type="dxa"/>
          </w:tcPr>
          <w:p w14:paraId="3D44DA97" w14:textId="77777777" w:rsidR="00C81208" w:rsidRDefault="00C81208" w:rsidP="00C81208">
            <w:pPr>
              <w:jc w:val="center"/>
              <w:rPr>
                <w:rFonts w:cs="Arial"/>
              </w:rPr>
            </w:pPr>
            <w:r>
              <w:rPr>
                <w:rFonts w:cs="Arial"/>
              </w:rPr>
              <w:t>X</w:t>
            </w:r>
          </w:p>
        </w:tc>
        <w:tc>
          <w:tcPr>
            <w:tcW w:w="851" w:type="dxa"/>
          </w:tcPr>
          <w:p w14:paraId="1582AE1F" w14:textId="77777777" w:rsidR="00C81208" w:rsidRDefault="00C81208" w:rsidP="00C81208">
            <w:pPr>
              <w:jc w:val="center"/>
            </w:pPr>
          </w:p>
        </w:tc>
        <w:tc>
          <w:tcPr>
            <w:tcW w:w="853" w:type="dxa"/>
          </w:tcPr>
          <w:p w14:paraId="515E97E1" w14:textId="77777777" w:rsidR="00C81208" w:rsidRDefault="00C81208" w:rsidP="00C81208">
            <w:pPr>
              <w:jc w:val="center"/>
            </w:pPr>
          </w:p>
        </w:tc>
      </w:tr>
      <w:tr w:rsidR="00C81208" w14:paraId="36356579" w14:textId="77777777" w:rsidTr="009E07CE">
        <w:trPr>
          <w:cantSplit/>
          <w:trHeight w:val="397"/>
        </w:trPr>
        <w:tc>
          <w:tcPr>
            <w:tcW w:w="1701" w:type="dxa"/>
          </w:tcPr>
          <w:p w14:paraId="30BB8504" w14:textId="724F13B4" w:rsidR="00C81208" w:rsidRPr="00DE7ED9" w:rsidRDefault="00C81208" w:rsidP="00AE0CAB">
            <w:pPr>
              <w:pStyle w:val="BodyText"/>
              <w:ind w:left="546" w:hanging="546"/>
              <w:rPr>
                <w:rFonts w:cs="Arial"/>
                <w:b/>
                <w:bCs/>
                <w:noProof/>
                <w:sz w:val="18"/>
                <w:szCs w:val="18"/>
              </w:rPr>
            </w:pPr>
            <w:r>
              <w:rPr>
                <w:rFonts w:cs="Arial"/>
                <w:b/>
                <w:bCs/>
                <w:sz w:val="18"/>
                <w:szCs w:val="18"/>
              </w:rPr>
              <w:t>Responder 5</w:t>
            </w:r>
          </w:p>
        </w:tc>
        <w:tc>
          <w:tcPr>
            <w:tcW w:w="880" w:type="dxa"/>
          </w:tcPr>
          <w:p w14:paraId="24EAC891" w14:textId="77777777" w:rsidR="00C81208" w:rsidRDefault="00C81208" w:rsidP="00C81208">
            <w:pPr>
              <w:ind w:left="113" w:right="113"/>
              <w:jc w:val="center"/>
              <w:rPr>
                <w:rFonts w:cs="Arial"/>
              </w:rPr>
            </w:pPr>
            <w:r>
              <w:rPr>
                <w:rFonts w:cs="Arial"/>
              </w:rPr>
              <w:t>X</w:t>
            </w:r>
          </w:p>
        </w:tc>
        <w:tc>
          <w:tcPr>
            <w:tcW w:w="821" w:type="dxa"/>
          </w:tcPr>
          <w:p w14:paraId="5E1D1B8B" w14:textId="77777777" w:rsidR="00C81208" w:rsidRDefault="00C81208" w:rsidP="00C81208">
            <w:pPr>
              <w:ind w:left="113" w:right="113"/>
              <w:jc w:val="center"/>
              <w:rPr>
                <w:rFonts w:cs="Arial"/>
              </w:rPr>
            </w:pPr>
            <w:r>
              <w:rPr>
                <w:rFonts w:cs="Arial"/>
              </w:rPr>
              <w:t>X</w:t>
            </w:r>
          </w:p>
        </w:tc>
        <w:tc>
          <w:tcPr>
            <w:tcW w:w="850" w:type="dxa"/>
          </w:tcPr>
          <w:p w14:paraId="1DB69E88" w14:textId="77777777" w:rsidR="00C81208" w:rsidRDefault="00C81208" w:rsidP="00C81208">
            <w:pPr>
              <w:ind w:left="113" w:right="113"/>
              <w:jc w:val="center"/>
              <w:rPr>
                <w:rFonts w:cs="Arial"/>
              </w:rPr>
            </w:pPr>
            <w:r>
              <w:rPr>
                <w:rFonts w:cs="Arial"/>
              </w:rPr>
              <w:t>X</w:t>
            </w:r>
          </w:p>
        </w:tc>
        <w:tc>
          <w:tcPr>
            <w:tcW w:w="851" w:type="dxa"/>
          </w:tcPr>
          <w:p w14:paraId="01EC84A0" w14:textId="77777777" w:rsidR="00C81208" w:rsidRDefault="00C81208" w:rsidP="00C81208">
            <w:pPr>
              <w:ind w:left="113" w:right="113"/>
              <w:jc w:val="center"/>
            </w:pPr>
          </w:p>
        </w:tc>
        <w:tc>
          <w:tcPr>
            <w:tcW w:w="853" w:type="dxa"/>
          </w:tcPr>
          <w:p w14:paraId="69A8B0F5" w14:textId="77777777" w:rsidR="00C81208" w:rsidRDefault="00C81208" w:rsidP="00C81208">
            <w:pPr>
              <w:ind w:left="113" w:right="113"/>
              <w:jc w:val="center"/>
            </w:pPr>
          </w:p>
        </w:tc>
      </w:tr>
      <w:tr w:rsidR="00C81208" w14:paraId="26C279E8" w14:textId="77777777" w:rsidTr="009E07CE">
        <w:trPr>
          <w:cantSplit/>
          <w:trHeight w:val="397"/>
        </w:trPr>
        <w:tc>
          <w:tcPr>
            <w:tcW w:w="1701" w:type="dxa"/>
          </w:tcPr>
          <w:p w14:paraId="3982A681" w14:textId="312A0D87" w:rsidR="00C81208" w:rsidRPr="00DE7ED9" w:rsidRDefault="00C81208" w:rsidP="00AE0CAB">
            <w:pPr>
              <w:pStyle w:val="BodyText"/>
              <w:ind w:left="546" w:hanging="546"/>
              <w:rPr>
                <w:rFonts w:cs="Arial"/>
                <w:b/>
                <w:bCs/>
                <w:noProof/>
                <w:sz w:val="18"/>
                <w:szCs w:val="18"/>
              </w:rPr>
            </w:pPr>
            <w:r>
              <w:rPr>
                <w:rFonts w:cs="Arial"/>
                <w:b/>
                <w:bCs/>
                <w:sz w:val="18"/>
                <w:szCs w:val="18"/>
              </w:rPr>
              <w:t>Responder 6</w:t>
            </w:r>
          </w:p>
        </w:tc>
        <w:tc>
          <w:tcPr>
            <w:tcW w:w="880" w:type="dxa"/>
          </w:tcPr>
          <w:p w14:paraId="643A6AA5" w14:textId="77777777" w:rsidR="00C81208" w:rsidRDefault="00C81208" w:rsidP="00C81208">
            <w:pPr>
              <w:ind w:left="113" w:right="113"/>
              <w:jc w:val="center"/>
              <w:rPr>
                <w:rFonts w:cs="Arial"/>
              </w:rPr>
            </w:pPr>
          </w:p>
        </w:tc>
        <w:tc>
          <w:tcPr>
            <w:tcW w:w="821" w:type="dxa"/>
          </w:tcPr>
          <w:p w14:paraId="301A163B" w14:textId="77777777" w:rsidR="00C81208" w:rsidRDefault="00C81208" w:rsidP="00C81208">
            <w:pPr>
              <w:ind w:left="113" w:right="113"/>
              <w:jc w:val="center"/>
              <w:rPr>
                <w:rFonts w:cs="Arial"/>
              </w:rPr>
            </w:pPr>
          </w:p>
        </w:tc>
        <w:tc>
          <w:tcPr>
            <w:tcW w:w="850" w:type="dxa"/>
          </w:tcPr>
          <w:p w14:paraId="73D3AA8D" w14:textId="77777777" w:rsidR="00C81208" w:rsidRDefault="00C81208" w:rsidP="00C81208">
            <w:pPr>
              <w:ind w:left="113" w:right="113"/>
              <w:jc w:val="center"/>
              <w:rPr>
                <w:rFonts w:cs="Arial"/>
              </w:rPr>
            </w:pPr>
          </w:p>
        </w:tc>
        <w:tc>
          <w:tcPr>
            <w:tcW w:w="851" w:type="dxa"/>
          </w:tcPr>
          <w:p w14:paraId="1A42CA40" w14:textId="77777777" w:rsidR="00C81208" w:rsidRDefault="00C81208" w:rsidP="00C81208">
            <w:pPr>
              <w:ind w:left="113" w:right="113"/>
              <w:jc w:val="center"/>
            </w:pPr>
          </w:p>
        </w:tc>
        <w:tc>
          <w:tcPr>
            <w:tcW w:w="853" w:type="dxa"/>
          </w:tcPr>
          <w:p w14:paraId="0F55C9CD" w14:textId="77777777" w:rsidR="00C81208" w:rsidRDefault="00C81208" w:rsidP="00C81208">
            <w:pPr>
              <w:ind w:left="113" w:right="113"/>
              <w:jc w:val="center"/>
            </w:pPr>
          </w:p>
        </w:tc>
      </w:tr>
      <w:tr w:rsidR="00C81208" w14:paraId="0C2EF182" w14:textId="77777777" w:rsidTr="009E07CE">
        <w:trPr>
          <w:cantSplit/>
          <w:trHeight w:val="397"/>
        </w:trPr>
        <w:tc>
          <w:tcPr>
            <w:tcW w:w="1701" w:type="dxa"/>
          </w:tcPr>
          <w:p w14:paraId="0DCB93B9" w14:textId="361BDC0B" w:rsidR="00C81208" w:rsidRPr="00DE7ED9" w:rsidRDefault="00C81208" w:rsidP="00AE0CAB">
            <w:pPr>
              <w:pStyle w:val="BodyText"/>
              <w:ind w:left="546" w:hanging="546"/>
              <w:rPr>
                <w:rFonts w:cs="Arial"/>
                <w:b/>
                <w:bCs/>
                <w:noProof/>
                <w:sz w:val="18"/>
                <w:szCs w:val="18"/>
              </w:rPr>
            </w:pPr>
            <w:r>
              <w:rPr>
                <w:rFonts w:cs="Arial"/>
                <w:b/>
                <w:bCs/>
                <w:sz w:val="18"/>
                <w:szCs w:val="18"/>
              </w:rPr>
              <w:t>Responder7</w:t>
            </w:r>
          </w:p>
        </w:tc>
        <w:tc>
          <w:tcPr>
            <w:tcW w:w="880" w:type="dxa"/>
          </w:tcPr>
          <w:p w14:paraId="55EEDCE6" w14:textId="77777777" w:rsidR="00C81208" w:rsidRDefault="00C81208" w:rsidP="00C81208">
            <w:pPr>
              <w:ind w:left="113" w:right="113"/>
              <w:jc w:val="center"/>
              <w:rPr>
                <w:rFonts w:cs="Arial"/>
              </w:rPr>
            </w:pPr>
            <w:r>
              <w:rPr>
                <w:rFonts w:cs="Arial"/>
              </w:rPr>
              <w:t>X</w:t>
            </w:r>
          </w:p>
        </w:tc>
        <w:tc>
          <w:tcPr>
            <w:tcW w:w="821" w:type="dxa"/>
          </w:tcPr>
          <w:p w14:paraId="479D4257" w14:textId="77777777" w:rsidR="00C81208" w:rsidRDefault="00C81208" w:rsidP="00C81208">
            <w:pPr>
              <w:ind w:left="113" w:right="113"/>
              <w:jc w:val="center"/>
              <w:rPr>
                <w:rFonts w:cs="Arial"/>
              </w:rPr>
            </w:pPr>
            <w:r>
              <w:rPr>
                <w:rFonts w:cs="Arial"/>
              </w:rPr>
              <w:t>X</w:t>
            </w:r>
          </w:p>
        </w:tc>
        <w:tc>
          <w:tcPr>
            <w:tcW w:w="850" w:type="dxa"/>
          </w:tcPr>
          <w:p w14:paraId="7706D4D3" w14:textId="77777777" w:rsidR="00C81208" w:rsidRDefault="00C81208" w:rsidP="00C81208">
            <w:pPr>
              <w:ind w:left="113" w:right="113"/>
              <w:jc w:val="center"/>
              <w:rPr>
                <w:rFonts w:cs="Arial"/>
              </w:rPr>
            </w:pPr>
            <w:r>
              <w:rPr>
                <w:rFonts w:cs="Arial"/>
              </w:rPr>
              <w:t>X</w:t>
            </w:r>
          </w:p>
        </w:tc>
        <w:tc>
          <w:tcPr>
            <w:tcW w:w="851" w:type="dxa"/>
          </w:tcPr>
          <w:p w14:paraId="5C1F9EF5" w14:textId="77777777" w:rsidR="00C81208" w:rsidRDefault="00C81208" w:rsidP="00C81208">
            <w:pPr>
              <w:ind w:left="113" w:right="113"/>
              <w:jc w:val="center"/>
            </w:pPr>
          </w:p>
        </w:tc>
        <w:tc>
          <w:tcPr>
            <w:tcW w:w="853" w:type="dxa"/>
          </w:tcPr>
          <w:p w14:paraId="44220408" w14:textId="77777777" w:rsidR="00C81208" w:rsidRDefault="00C81208" w:rsidP="00C81208">
            <w:pPr>
              <w:ind w:left="113" w:right="113"/>
              <w:jc w:val="center"/>
            </w:pPr>
          </w:p>
        </w:tc>
      </w:tr>
    </w:tbl>
    <w:p w14:paraId="0CBEDB16" w14:textId="60395EB0" w:rsidR="00C36B55" w:rsidRPr="00C36B55" w:rsidRDefault="00C36B55" w:rsidP="00C81208">
      <w:pPr>
        <w:pStyle w:val="ListParagraph"/>
        <w:numPr>
          <w:ilvl w:val="1"/>
          <w:numId w:val="14"/>
        </w:numPr>
        <w:spacing w:before="240" w:after="240" w:line="360" w:lineRule="auto"/>
        <w:ind w:left="862" w:hanging="862"/>
        <w:jc w:val="both"/>
      </w:pPr>
      <w:r>
        <w:t>The respondent</w:t>
      </w:r>
      <w:r w:rsidRPr="00C36B55">
        <w:t xml:space="preserve"> believe</w:t>
      </w:r>
      <w:r>
        <w:t>d</w:t>
      </w:r>
      <w:r w:rsidRPr="00C36B55">
        <w:t xml:space="preserve"> this change will better facilitate DCUSA Charging objectives 1-4</w:t>
      </w:r>
      <w:r>
        <w:t xml:space="preserve"> a</w:t>
      </w:r>
      <w:r w:rsidRPr="00C36B55">
        <w:t>s it is a fairer representation o</w:t>
      </w:r>
      <w:r>
        <w:t>f</w:t>
      </w:r>
      <w:r w:rsidRPr="00C36B55">
        <w:t xml:space="preserve"> the </w:t>
      </w:r>
      <w:r w:rsidR="009E07CE" w:rsidRPr="00C36B55">
        <w:t>costs,</w:t>
      </w:r>
      <w:r w:rsidRPr="00C36B55">
        <w:t xml:space="preserve"> </w:t>
      </w:r>
      <w:r>
        <w:t>they</w:t>
      </w:r>
      <w:r w:rsidRPr="00C36B55">
        <w:t xml:space="preserve"> would expect to incur by the DNO for a site with a back</w:t>
      </w:r>
      <w:r>
        <w:t>-</w:t>
      </w:r>
      <w:r w:rsidRPr="00C36B55">
        <w:t>up connection, currently charging the customer twice contravenes those objectives</w:t>
      </w:r>
      <w:r>
        <w:t>.</w:t>
      </w:r>
    </w:p>
    <w:p w14:paraId="41C29572" w14:textId="1EFDE174" w:rsidR="001F65EF" w:rsidRPr="00CF4CA5" w:rsidRDefault="001F65EF" w:rsidP="00C81208">
      <w:pPr>
        <w:pStyle w:val="ListParagraph"/>
        <w:numPr>
          <w:ilvl w:val="1"/>
          <w:numId w:val="14"/>
        </w:numPr>
        <w:spacing w:before="240" w:after="240" w:line="360" w:lineRule="auto"/>
        <w:ind w:left="862" w:hanging="862"/>
        <w:jc w:val="both"/>
        <w:rPr>
          <w:i/>
          <w:iCs/>
        </w:rPr>
      </w:pPr>
      <w:r>
        <w:t>The Working Group will consider the objectives further under section 7.</w:t>
      </w:r>
    </w:p>
    <w:p w14:paraId="587499F6" w14:textId="3EEC49DE" w:rsidR="004C262E" w:rsidRPr="00845FD4" w:rsidRDefault="004C262E" w:rsidP="008B3F8D">
      <w:pPr>
        <w:pStyle w:val="Question"/>
        <w:ind w:hanging="860"/>
      </w:pPr>
      <w:r w:rsidRPr="00845FD4">
        <w:t xml:space="preserve">Question </w:t>
      </w:r>
      <w:r>
        <w:t>9</w:t>
      </w:r>
      <w:r w:rsidRPr="00845FD4">
        <w:t xml:space="preserve"> -</w:t>
      </w:r>
      <w:r w:rsidR="007D1EAD">
        <w:t xml:space="preserve"> </w:t>
      </w:r>
      <w:r w:rsidR="007D1C84" w:rsidRPr="00837C12">
        <w:rPr>
          <w:rFonts w:asciiTheme="minorHAnsi" w:hAnsiTheme="minorHAnsi" w:cstheme="minorHAnsi"/>
          <w:sz w:val="22"/>
          <w:szCs w:val="22"/>
        </w:rPr>
        <w:t>Are you aware of any wider industry developments that may impact upon or be impacted by this CP?</w:t>
      </w:r>
    </w:p>
    <w:p w14:paraId="0C50E49F" w14:textId="11076062" w:rsidR="004C262E" w:rsidRDefault="001E3E66" w:rsidP="008B3F8D">
      <w:pPr>
        <w:pStyle w:val="ListParagraph"/>
        <w:numPr>
          <w:ilvl w:val="1"/>
          <w:numId w:val="14"/>
        </w:numPr>
        <w:spacing w:line="360" w:lineRule="auto"/>
        <w:ind w:hanging="860"/>
        <w:jc w:val="both"/>
      </w:pPr>
      <w:r>
        <w:t>Four</w:t>
      </w:r>
      <w:r w:rsidR="001354DF">
        <w:t xml:space="preserve"> respondents believed that there are no wider industry developments that could be impacted by this CP</w:t>
      </w:r>
      <w:r w:rsidR="007D1EAD">
        <w:t>.</w:t>
      </w:r>
    </w:p>
    <w:p w14:paraId="0F1B9F66" w14:textId="77777777" w:rsidR="009E07CE" w:rsidRDefault="009E07CE" w:rsidP="008B3F8D">
      <w:pPr>
        <w:pStyle w:val="ListParagraph"/>
        <w:numPr>
          <w:ilvl w:val="1"/>
          <w:numId w:val="14"/>
        </w:numPr>
        <w:spacing w:line="360" w:lineRule="auto"/>
        <w:ind w:hanging="860"/>
        <w:jc w:val="both"/>
      </w:pPr>
      <w:r>
        <w:t>R</w:t>
      </w:r>
      <w:r w:rsidR="00961B05">
        <w:t>espondent</w:t>
      </w:r>
      <w:r>
        <w:t>s who</w:t>
      </w:r>
      <w:r w:rsidR="00961B05">
        <w:t xml:space="preserve"> </w:t>
      </w:r>
      <w:r>
        <w:t>believed there may be wider industry developments cited:</w:t>
      </w:r>
    </w:p>
    <w:p w14:paraId="6626E735" w14:textId="311272D1" w:rsidR="009E07CE" w:rsidRDefault="00961B05" w:rsidP="009E07CE">
      <w:pPr>
        <w:pStyle w:val="ListParagraph"/>
        <w:numPr>
          <w:ilvl w:val="0"/>
          <w:numId w:val="55"/>
        </w:numPr>
        <w:spacing w:line="360" w:lineRule="auto"/>
        <w:ind w:left="1701" w:hanging="850"/>
        <w:jc w:val="both"/>
      </w:pPr>
      <w:r w:rsidRPr="00961B05">
        <w:t xml:space="preserve">DCP 389 ‘TCR - Clarification on exceptional circumstances and allocation review for new sites’ </w:t>
      </w:r>
    </w:p>
    <w:p w14:paraId="74E799E3" w14:textId="0E336930" w:rsidR="001354DF" w:rsidRDefault="0099038B" w:rsidP="009E07CE">
      <w:pPr>
        <w:pStyle w:val="ListParagraph"/>
        <w:numPr>
          <w:ilvl w:val="0"/>
          <w:numId w:val="55"/>
        </w:numPr>
        <w:spacing w:line="360" w:lineRule="auto"/>
        <w:ind w:left="1701" w:hanging="850"/>
        <w:jc w:val="both"/>
      </w:pPr>
      <w:r>
        <w:t xml:space="preserve">DCP </w:t>
      </w:r>
      <w:r w:rsidR="00961B05" w:rsidRPr="00961B05">
        <w:t>328 ‘Use of System Charging for private networks with competition in supply</w:t>
      </w:r>
      <w:r w:rsidR="007D654E">
        <w:t xml:space="preserve">’ </w:t>
      </w:r>
    </w:p>
    <w:p w14:paraId="25D13CBE" w14:textId="416093CA" w:rsidR="009E07CE" w:rsidRDefault="00817086" w:rsidP="009E07CE">
      <w:pPr>
        <w:pStyle w:val="ListParagraph"/>
        <w:numPr>
          <w:ilvl w:val="0"/>
          <w:numId w:val="55"/>
        </w:numPr>
        <w:spacing w:line="360" w:lineRule="auto"/>
        <w:ind w:left="1701" w:hanging="850"/>
        <w:jc w:val="both"/>
      </w:pPr>
      <w:r w:rsidRPr="00AE3074">
        <w:t>licence exemption</w:t>
      </w:r>
      <w:r w:rsidR="00AE3074" w:rsidRPr="00AE3074">
        <w:t xml:space="preserve"> review</w:t>
      </w:r>
      <w:r w:rsidR="009E07CE">
        <w:t>; and</w:t>
      </w:r>
    </w:p>
    <w:p w14:paraId="776F5BBD" w14:textId="3575A2F3" w:rsidR="00B822F8" w:rsidRDefault="009E07CE" w:rsidP="009E07CE">
      <w:pPr>
        <w:pStyle w:val="ListParagraph"/>
        <w:numPr>
          <w:ilvl w:val="0"/>
          <w:numId w:val="55"/>
        </w:numPr>
        <w:spacing w:line="360" w:lineRule="auto"/>
        <w:ind w:left="1701" w:hanging="850"/>
        <w:jc w:val="both"/>
      </w:pPr>
      <w:r>
        <w:t>t</w:t>
      </w:r>
      <w:r w:rsidR="00AE3074" w:rsidRPr="00AE3074">
        <w:t xml:space="preserve">he </w:t>
      </w:r>
      <w:proofErr w:type="spellStart"/>
      <w:r w:rsidR="00AE3074" w:rsidRPr="00AE3074">
        <w:t>DUoS</w:t>
      </w:r>
      <w:proofErr w:type="spellEnd"/>
      <w:r w:rsidR="00AE3074" w:rsidRPr="00AE3074">
        <w:t xml:space="preserve"> SC</w:t>
      </w:r>
      <w:r>
        <w:t>R</w:t>
      </w:r>
      <w:r w:rsidR="00FF7E67">
        <w:t>.</w:t>
      </w:r>
      <w:r w:rsidR="00AE3074">
        <w:t xml:space="preserve"> </w:t>
      </w:r>
    </w:p>
    <w:p w14:paraId="676394D7" w14:textId="5A8966A0" w:rsidR="00A95234" w:rsidRPr="002962E4" w:rsidRDefault="009E07CE" w:rsidP="008B3F8D">
      <w:pPr>
        <w:pStyle w:val="ListParagraph"/>
        <w:numPr>
          <w:ilvl w:val="1"/>
          <w:numId w:val="14"/>
        </w:numPr>
        <w:spacing w:line="360" w:lineRule="auto"/>
        <w:ind w:hanging="860"/>
        <w:jc w:val="both"/>
        <w:rPr>
          <w:rFonts w:cs="Arial"/>
          <w:szCs w:val="20"/>
        </w:rPr>
      </w:pPr>
      <w:r>
        <w:rPr>
          <w:rFonts w:cs="Arial"/>
          <w:szCs w:val="20"/>
        </w:rPr>
        <w:t>One</w:t>
      </w:r>
      <w:r w:rsidR="00B822F8" w:rsidRPr="002962E4">
        <w:rPr>
          <w:rFonts w:cs="Arial"/>
          <w:szCs w:val="20"/>
        </w:rPr>
        <w:t xml:space="preserve"> respondent </w:t>
      </w:r>
      <w:r w:rsidR="00E168A0" w:rsidRPr="002962E4">
        <w:rPr>
          <w:rFonts w:cs="Arial"/>
          <w:szCs w:val="20"/>
        </w:rPr>
        <w:t xml:space="preserve">stated that </w:t>
      </w:r>
      <w:r w:rsidR="00B851BD" w:rsidRPr="002962E4">
        <w:rPr>
          <w:rFonts w:cs="Arial"/>
          <w:szCs w:val="20"/>
        </w:rPr>
        <w:t xml:space="preserve">they </w:t>
      </w:r>
      <w:r w:rsidR="00B851BD" w:rsidRPr="002962E4">
        <w:rPr>
          <w:rFonts w:cs="Arial"/>
          <w:bCs/>
          <w:szCs w:val="20"/>
        </w:rPr>
        <w:t xml:space="preserve">considered that the proposal may not be in line with Ofgem’s TCR intent. </w:t>
      </w:r>
    </w:p>
    <w:p w14:paraId="165F504D" w14:textId="5EF1B131" w:rsidR="004C262E" w:rsidRPr="00FF0C32" w:rsidRDefault="004C262E" w:rsidP="008B3F8D">
      <w:pPr>
        <w:pStyle w:val="Question"/>
        <w:ind w:hanging="860"/>
      </w:pPr>
      <w:r w:rsidRPr="00FF0C32">
        <w:t>Question</w:t>
      </w:r>
      <w:r>
        <w:t xml:space="preserve"> 10</w:t>
      </w:r>
      <w:r w:rsidRPr="00FF0C32">
        <w:t xml:space="preserve"> –</w:t>
      </w:r>
      <w:r w:rsidR="00FF328C" w:rsidRPr="00FF328C">
        <w:t xml:space="preserve"> </w:t>
      </w:r>
      <w:r w:rsidR="00E73276" w:rsidRPr="00837C12">
        <w:rPr>
          <w:rFonts w:asciiTheme="minorHAnsi" w:hAnsiTheme="minorHAnsi" w:cstheme="minorHAnsi"/>
          <w:sz w:val="22"/>
          <w:szCs w:val="22"/>
        </w:rPr>
        <w:t>What date do you believe this change proposal should be implemented? Please provide your rationale.</w:t>
      </w:r>
    </w:p>
    <w:p w14:paraId="0809C917" w14:textId="77777777" w:rsidR="009E07CE" w:rsidRDefault="009E07CE" w:rsidP="008B3F8D">
      <w:pPr>
        <w:pStyle w:val="ListParagraph"/>
        <w:numPr>
          <w:ilvl w:val="1"/>
          <w:numId w:val="14"/>
        </w:numPr>
        <w:spacing w:line="360" w:lineRule="auto"/>
        <w:ind w:hanging="860"/>
        <w:jc w:val="both"/>
      </w:pPr>
      <w:r>
        <w:t>There were a variety of dates proposed by respondents. These were:</w:t>
      </w:r>
    </w:p>
    <w:p w14:paraId="2C69D4BC" w14:textId="62895851" w:rsidR="004C262E" w:rsidRDefault="00D85174" w:rsidP="009E07CE">
      <w:pPr>
        <w:pStyle w:val="ListParagraph"/>
        <w:numPr>
          <w:ilvl w:val="0"/>
          <w:numId w:val="56"/>
        </w:numPr>
        <w:tabs>
          <w:tab w:val="left" w:pos="1701"/>
        </w:tabs>
        <w:spacing w:line="360" w:lineRule="auto"/>
        <w:ind w:left="1701" w:hanging="850"/>
        <w:jc w:val="both"/>
      </w:pPr>
      <w:r>
        <w:t>as</w:t>
      </w:r>
      <w:r w:rsidR="00E503EE" w:rsidRPr="00E503EE">
        <w:t xml:space="preserve"> soon as possible with changes in tariffs backdated to Apr</w:t>
      </w:r>
      <w:r w:rsidR="00941D5F">
        <w:t xml:space="preserve">il </w:t>
      </w:r>
      <w:proofErr w:type="gramStart"/>
      <w:r w:rsidR="00941D5F">
        <w:t>20</w:t>
      </w:r>
      <w:r w:rsidR="00E503EE" w:rsidRPr="00E503EE">
        <w:t>22</w:t>
      </w:r>
      <w:r w:rsidR="009E07CE">
        <w:t>;</w:t>
      </w:r>
      <w:proofErr w:type="gramEnd"/>
    </w:p>
    <w:p w14:paraId="6E894088" w14:textId="77777777" w:rsidR="009E07CE" w:rsidRDefault="009E07CE" w:rsidP="009E07CE">
      <w:pPr>
        <w:pStyle w:val="ListParagraph"/>
        <w:numPr>
          <w:ilvl w:val="0"/>
          <w:numId w:val="56"/>
        </w:numPr>
        <w:tabs>
          <w:tab w:val="left" w:pos="1701"/>
        </w:tabs>
        <w:spacing w:line="360" w:lineRule="auto"/>
        <w:ind w:left="1701" w:hanging="850"/>
        <w:jc w:val="both"/>
      </w:pPr>
      <w:r>
        <w:t xml:space="preserve">April </w:t>
      </w:r>
      <w:proofErr w:type="gramStart"/>
      <w:r>
        <w:t>2023;</w:t>
      </w:r>
      <w:proofErr w:type="gramEnd"/>
    </w:p>
    <w:p w14:paraId="7E21E1BE" w14:textId="2637A776" w:rsidR="00E43F7C" w:rsidRDefault="009E07CE" w:rsidP="009E07CE">
      <w:pPr>
        <w:pStyle w:val="ListParagraph"/>
        <w:numPr>
          <w:ilvl w:val="0"/>
          <w:numId w:val="56"/>
        </w:numPr>
        <w:tabs>
          <w:tab w:val="left" w:pos="1701"/>
        </w:tabs>
        <w:spacing w:line="360" w:lineRule="auto"/>
        <w:ind w:left="1701" w:hanging="850"/>
        <w:jc w:val="both"/>
      </w:pPr>
      <w:proofErr w:type="gramStart"/>
      <w:r>
        <w:lastRenderedPageBreak/>
        <w:t>As soon as possible;</w:t>
      </w:r>
      <w:proofErr w:type="gramEnd"/>
      <w:r>
        <w:t xml:space="preserve"> and </w:t>
      </w:r>
    </w:p>
    <w:p w14:paraId="384E9AEA" w14:textId="4008A637" w:rsidR="002077DD" w:rsidRDefault="002766BC" w:rsidP="009E07CE">
      <w:pPr>
        <w:pStyle w:val="ListParagraph"/>
        <w:numPr>
          <w:ilvl w:val="0"/>
          <w:numId w:val="56"/>
        </w:numPr>
        <w:tabs>
          <w:tab w:val="left" w:pos="1701"/>
        </w:tabs>
        <w:spacing w:line="360" w:lineRule="auto"/>
        <w:ind w:left="1701" w:hanging="850"/>
        <w:jc w:val="both"/>
      </w:pPr>
      <w:r w:rsidRPr="002766BC">
        <w:t xml:space="preserve">this proposal should </w:t>
      </w:r>
      <w:r w:rsidR="00BA719A">
        <w:t xml:space="preserve">not </w:t>
      </w:r>
      <w:r w:rsidRPr="002766BC">
        <w:t>be implemented as it stands.</w:t>
      </w:r>
    </w:p>
    <w:p w14:paraId="20602EFD" w14:textId="5DC0E87B" w:rsidR="002766BC" w:rsidRPr="00E45140" w:rsidRDefault="002766BC" w:rsidP="008B3F8D">
      <w:pPr>
        <w:pStyle w:val="ListParagraph"/>
        <w:numPr>
          <w:ilvl w:val="1"/>
          <w:numId w:val="14"/>
        </w:numPr>
        <w:spacing w:line="360" w:lineRule="auto"/>
        <w:ind w:hanging="860"/>
        <w:jc w:val="both"/>
      </w:pPr>
      <w:r>
        <w:t xml:space="preserve">The Working Groups response to the above implementation dates can be found in </w:t>
      </w:r>
      <w:r w:rsidR="00BA719A">
        <w:t>section 9 below.</w:t>
      </w:r>
    </w:p>
    <w:p w14:paraId="7312EE2F" w14:textId="62DB7D0E" w:rsidR="004C262E" w:rsidRPr="00845FD4" w:rsidRDefault="004C262E" w:rsidP="008B3F8D">
      <w:pPr>
        <w:pStyle w:val="Question"/>
        <w:ind w:hanging="860"/>
      </w:pPr>
      <w:r w:rsidRPr="00845FD4">
        <w:t xml:space="preserve">Question </w:t>
      </w:r>
      <w:r>
        <w:t>11</w:t>
      </w:r>
      <w:r w:rsidRPr="00845FD4">
        <w:t xml:space="preserve"> </w:t>
      </w:r>
      <w:r w:rsidR="00863C5E" w:rsidRPr="002F4A50">
        <w:rPr>
          <w:rFonts w:asciiTheme="minorHAnsi" w:hAnsiTheme="minorHAnsi" w:cstheme="minorHAnsi"/>
          <w:sz w:val="22"/>
          <w:szCs w:val="22"/>
        </w:rPr>
        <w:t>Do you have any comments on the proposed legal text?</w:t>
      </w:r>
    </w:p>
    <w:p w14:paraId="2622CA86" w14:textId="11CE4494" w:rsidR="004C262E" w:rsidRDefault="00E75DD3" w:rsidP="008B3F8D">
      <w:pPr>
        <w:pStyle w:val="ListParagraph"/>
        <w:numPr>
          <w:ilvl w:val="1"/>
          <w:numId w:val="14"/>
        </w:numPr>
        <w:spacing w:line="360" w:lineRule="auto"/>
        <w:ind w:hanging="860"/>
        <w:jc w:val="both"/>
      </w:pPr>
      <w:r>
        <w:t>Four respondents had no comment on the legal text</w:t>
      </w:r>
      <w:r w:rsidR="00986F38">
        <w:t>.</w:t>
      </w:r>
    </w:p>
    <w:p w14:paraId="312996BE" w14:textId="030C73CF" w:rsidR="00986F38" w:rsidRDefault="004E4F32" w:rsidP="008B3F8D">
      <w:pPr>
        <w:pStyle w:val="ListParagraph"/>
        <w:numPr>
          <w:ilvl w:val="1"/>
          <w:numId w:val="14"/>
        </w:numPr>
        <w:spacing w:line="360" w:lineRule="auto"/>
        <w:ind w:hanging="860"/>
        <w:jc w:val="both"/>
      </w:pPr>
      <w:r>
        <w:t>One respondent stated they didn’t believe the d</w:t>
      </w:r>
      <w:r w:rsidRPr="004E4F32">
        <w:t xml:space="preserve">efinition of a </w:t>
      </w:r>
      <w:r w:rsidR="003C1B1D">
        <w:t>Back-up</w:t>
      </w:r>
      <w:r w:rsidRPr="004E4F32">
        <w:t xml:space="preserve"> site perhaps </w:t>
      </w:r>
      <w:r>
        <w:t>was</w:t>
      </w:r>
      <w:r w:rsidRPr="004E4F32">
        <w:t xml:space="preserve"> clear</w:t>
      </w:r>
      <w:r w:rsidR="004969DC">
        <w:t xml:space="preserve"> and that t</w:t>
      </w:r>
      <w:r w:rsidR="004969DC" w:rsidRPr="004969DC">
        <w:t>he use of the term ‘site’ is perhaps confusing as they are not separate ‘sites’ they are separate connections to the same site.</w:t>
      </w:r>
    </w:p>
    <w:p w14:paraId="2CC2F459" w14:textId="3EFBEA8C" w:rsidR="004969DC" w:rsidRDefault="00E0713D" w:rsidP="008B3F8D">
      <w:pPr>
        <w:pStyle w:val="ListParagraph"/>
        <w:numPr>
          <w:ilvl w:val="1"/>
          <w:numId w:val="14"/>
        </w:numPr>
        <w:spacing w:line="360" w:lineRule="auto"/>
        <w:ind w:hanging="860"/>
        <w:jc w:val="both"/>
      </w:pPr>
      <w:r>
        <w:t>Another respondent provided an alternative draft of the legal text</w:t>
      </w:r>
      <w:r w:rsidR="00AE490E">
        <w:t xml:space="preserve">, which can be found in </w:t>
      </w:r>
      <w:r w:rsidR="00AE490E" w:rsidRPr="00AE490E">
        <w:rPr>
          <w:b/>
          <w:bCs/>
        </w:rPr>
        <w:t>Attachment 3</w:t>
      </w:r>
      <w:r w:rsidR="006446A9">
        <w:rPr>
          <w:b/>
          <w:bCs/>
        </w:rPr>
        <w:t xml:space="preserve">. </w:t>
      </w:r>
      <w:r w:rsidR="006446A9" w:rsidRPr="00E44DF1">
        <w:t xml:space="preserve">They stated that there is no such thing as a </w:t>
      </w:r>
      <w:r w:rsidR="003C1B1D">
        <w:t>back-up</w:t>
      </w:r>
      <w:r w:rsidR="006446A9" w:rsidRPr="00E44DF1">
        <w:t xml:space="preserve"> connection site, only </w:t>
      </w:r>
      <w:r w:rsidR="003C1B1D">
        <w:t>back-up</w:t>
      </w:r>
      <w:r w:rsidR="00864BF2" w:rsidRPr="00E44DF1">
        <w:t xml:space="preserve"> connection to </w:t>
      </w:r>
      <w:r w:rsidR="0014008D">
        <w:t>S</w:t>
      </w:r>
      <w:r w:rsidR="00864BF2" w:rsidRPr="00E44DF1">
        <w:t xml:space="preserve">ingle </w:t>
      </w:r>
      <w:r w:rsidR="0014008D">
        <w:t>S</w:t>
      </w:r>
      <w:r w:rsidR="00864BF2" w:rsidRPr="00E44DF1">
        <w:t xml:space="preserve">ites </w:t>
      </w:r>
      <w:r w:rsidR="00E44DF1" w:rsidRPr="00E44DF1">
        <w:t>which should not incur residual charges.</w:t>
      </w:r>
    </w:p>
    <w:p w14:paraId="142E4A9C" w14:textId="60C33095" w:rsidR="00BA719A" w:rsidRPr="00002699" w:rsidRDefault="008D656E" w:rsidP="008B3F8D">
      <w:pPr>
        <w:pStyle w:val="ListParagraph"/>
        <w:numPr>
          <w:ilvl w:val="1"/>
          <w:numId w:val="14"/>
        </w:numPr>
        <w:spacing w:line="360" w:lineRule="auto"/>
        <w:ind w:hanging="860"/>
        <w:jc w:val="both"/>
      </w:pPr>
      <w:r>
        <w:t xml:space="preserve">Another </w:t>
      </w:r>
      <w:r w:rsidR="001935E8">
        <w:t>respondent stated that they didn’t believe the text to be workable</w:t>
      </w:r>
      <w:r w:rsidR="004F24F8">
        <w:t>.</w:t>
      </w:r>
    </w:p>
    <w:p w14:paraId="19E8396C" w14:textId="630A2300" w:rsidR="005A21BE" w:rsidRDefault="00B47B3F" w:rsidP="001021F6">
      <w:pPr>
        <w:pStyle w:val="Heading03"/>
      </w:pPr>
      <w:bookmarkStart w:id="13" w:name="_Toc110371101"/>
      <w:bookmarkStart w:id="14" w:name="_Toc113465294"/>
      <w:bookmarkEnd w:id="13"/>
      <w:r w:rsidRPr="00443D57">
        <w:t>Working Group Conclusions &amp; Final Solutio</w:t>
      </w:r>
      <w:bookmarkStart w:id="15" w:name="_Toc318967199"/>
      <w:r w:rsidR="005A21BE">
        <w:t>n</w:t>
      </w:r>
      <w:bookmarkEnd w:id="14"/>
    </w:p>
    <w:p w14:paraId="49E6BEE0" w14:textId="1748F760" w:rsidR="00E25E4A" w:rsidRDefault="00E25E4A" w:rsidP="008B3F8D">
      <w:pPr>
        <w:pStyle w:val="ListParagraph"/>
        <w:numPr>
          <w:ilvl w:val="1"/>
          <w:numId w:val="14"/>
        </w:numPr>
        <w:spacing w:line="360" w:lineRule="auto"/>
        <w:ind w:hanging="860"/>
        <w:jc w:val="both"/>
      </w:pPr>
      <w:r w:rsidRPr="00E25E4A">
        <w:t xml:space="preserve">After consideration of the consultation responses, the Working Group </w:t>
      </w:r>
      <w:r w:rsidR="00BA719A">
        <w:t xml:space="preserve">agreed that parties understood the intent and, in </w:t>
      </w:r>
      <w:r w:rsidR="004F24F8">
        <w:t>most</w:t>
      </w:r>
      <w:r w:rsidR="00BA719A">
        <w:t xml:space="preserve"> cases, the principles of the CP. The Working Group </w:t>
      </w:r>
      <w:r w:rsidRPr="00E25E4A">
        <w:t>identified the following areas for further consideration:</w:t>
      </w:r>
    </w:p>
    <w:p w14:paraId="375B5F3F" w14:textId="2999A5C9" w:rsidR="000F0C0A" w:rsidRPr="00720BEA" w:rsidRDefault="00973707" w:rsidP="004F24F8">
      <w:pPr>
        <w:pStyle w:val="ListParagraph"/>
        <w:numPr>
          <w:ilvl w:val="0"/>
          <w:numId w:val="48"/>
        </w:numPr>
        <w:spacing w:line="360" w:lineRule="auto"/>
        <w:ind w:left="1701" w:hanging="850"/>
        <w:jc w:val="both"/>
      </w:pPr>
      <w:r w:rsidRPr="00973707">
        <w:t xml:space="preserve">References to redundancy in the </w:t>
      </w:r>
      <w:r w:rsidR="00720BEA" w:rsidRPr="00973707">
        <w:t xml:space="preserve">Ofgem’s TCR decision </w:t>
      </w:r>
      <w:proofErr w:type="gramStart"/>
      <w:r w:rsidRPr="00973707">
        <w:t>document;</w:t>
      </w:r>
      <w:proofErr w:type="gramEnd"/>
    </w:p>
    <w:p w14:paraId="1C9F9FB2" w14:textId="2617E3A0" w:rsidR="00720BEA" w:rsidRDefault="00973707" w:rsidP="004F24F8">
      <w:pPr>
        <w:pStyle w:val="ListParagraph"/>
        <w:numPr>
          <w:ilvl w:val="0"/>
          <w:numId w:val="48"/>
        </w:numPr>
        <w:spacing w:line="360" w:lineRule="auto"/>
        <w:ind w:left="1701" w:hanging="850"/>
        <w:jc w:val="both"/>
      </w:pPr>
      <w:r>
        <w:t>Do</w:t>
      </w:r>
      <w:r w:rsidR="00720BEA" w:rsidRPr="00720BEA">
        <w:t xml:space="preserve"> </w:t>
      </w:r>
      <w:r w:rsidR="003C1B1D">
        <w:t>back-up</w:t>
      </w:r>
      <w:r w:rsidR="00720BEA" w:rsidRPr="00720BEA">
        <w:t xml:space="preserve"> connections incurs costs that would be recovered through residual </w:t>
      </w:r>
      <w:proofErr w:type="gramStart"/>
      <w:r w:rsidR="00720BEA" w:rsidRPr="00720BEA">
        <w:t>charges</w:t>
      </w:r>
      <w:r w:rsidR="0038381A">
        <w:t>;</w:t>
      </w:r>
      <w:proofErr w:type="gramEnd"/>
    </w:p>
    <w:p w14:paraId="531BBE53" w14:textId="77777777" w:rsidR="00C81208" w:rsidRDefault="00230BCD" w:rsidP="004F24F8">
      <w:pPr>
        <w:pStyle w:val="ListParagraph"/>
        <w:numPr>
          <w:ilvl w:val="0"/>
          <w:numId w:val="48"/>
        </w:numPr>
        <w:spacing w:line="360" w:lineRule="auto"/>
        <w:ind w:left="1701" w:hanging="850"/>
        <w:jc w:val="both"/>
      </w:pPr>
      <w:r>
        <w:t xml:space="preserve">Wider industry </w:t>
      </w:r>
      <w:proofErr w:type="gramStart"/>
      <w:r>
        <w:t>impacts</w:t>
      </w:r>
      <w:r w:rsidR="0038381A">
        <w:t>;</w:t>
      </w:r>
      <w:proofErr w:type="gramEnd"/>
      <w:r w:rsidR="0038381A">
        <w:t xml:space="preserve"> </w:t>
      </w:r>
    </w:p>
    <w:p w14:paraId="6537C9CE" w14:textId="765A23E3" w:rsidR="00230BCD" w:rsidRDefault="00C81208" w:rsidP="004F24F8">
      <w:pPr>
        <w:pStyle w:val="ListParagraph"/>
        <w:numPr>
          <w:ilvl w:val="0"/>
          <w:numId w:val="48"/>
        </w:numPr>
        <w:spacing w:line="360" w:lineRule="auto"/>
        <w:ind w:left="1701" w:hanging="850"/>
        <w:jc w:val="both"/>
      </w:pPr>
      <w:r>
        <w:t xml:space="preserve">Connections to more than one GSP; </w:t>
      </w:r>
      <w:r w:rsidR="0038381A">
        <w:t>and</w:t>
      </w:r>
    </w:p>
    <w:p w14:paraId="375FB416" w14:textId="5D0721A8" w:rsidR="00302864" w:rsidRDefault="00302864" w:rsidP="004F24F8">
      <w:pPr>
        <w:pStyle w:val="ListParagraph"/>
        <w:numPr>
          <w:ilvl w:val="0"/>
          <w:numId w:val="48"/>
        </w:numPr>
        <w:spacing w:line="360" w:lineRule="auto"/>
        <w:ind w:left="1701" w:hanging="850"/>
        <w:jc w:val="both"/>
      </w:pPr>
      <w:r>
        <w:t>Review of all proposed legal drafting</w:t>
      </w:r>
      <w:r w:rsidR="00393132">
        <w:t>.</w:t>
      </w:r>
    </w:p>
    <w:p w14:paraId="60A4F6AF" w14:textId="300ACE50" w:rsidR="0073739B" w:rsidRPr="00973707" w:rsidRDefault="00973707" w:rsidP="00B133D9">
      <w:pPr>
        <w:spacing w:line="360" w:lineRule="auto"/>
        <w:ind w:left="-142" w:firstLine="142"/>
        <w:jc w:val="both"/>
        <w:rPr>
          <w:b/>
        </w:rPr>
      </w:pPr>
      <w:r w:rsidRPr="00973707">
        <w:rPr>
          <w:rFonts w:asciiTheme="minorHAnsi" w:hAnsiTheme="minorHAnsi" w:cstheme="minorHAnsi"/>
          <w:b/>
          <w:sz w:val="22"/>
          <w:szCs w:val="22"/>
        </w:rPr>
        <w:t>References to redundancy in the Ofgem’s TCR decision document</w:t>
      </w:r>
    </w:p>
    <w:p w14:paraId="4EAD74EC" w14:textId="0735A11C" w:rsidR="00846746" w:rsidRDefault="00EE54E8" w:rsidP="008B3F8D">
      <w:pPr>
        <w:pStyle w:val="ListParagraph"/>
        <w:numPr>
          <w:ilvl w:val="1"/>
          <w:numId w:val="14"/>
        </w:numPr>
        <w:spacing w:line="360" w:lineRule="auto"/>
        <w:ind w:hanging="860"/>
        <w:jc w:val="both"/>
      </w:pPr>
      <w:r>
        <w:t>Redundancy is quoted within one paragraph in</w:t>
      </w:r>
      <w:r w:rsidR="007D7032">
        <w:t xml:space="preserve"> Ofgem’s TCR decision </w:t>
      </w:r>
      <w:r>
        <w:t xml:space="preserve">document </w:t>
      </w:r>
      <w:r w:rsidR="00481C52">
        <w:t>(</w:t>
      </w:r>
      <w:r w:rsidR="00A76E60" w:rsidRPr="00A76E60">
        <w:t xml:space="preserve">paragraph </w:t>
      </w:r>
      <w:r w:rsidR="009671E0">
        <w:t>3.</w:t>
      </w:r>
      <w:r>
        <w:t xml:space="preserve">57 subsection </w:t>
      </w:r>
      <w:r w:rsidR="00A76E60" w:rsidRPr="00A76E60">
        <w:t>9 and subsection 10</w:t>
      </w:r>
      <w:r w:rsidR="00A76E60">
        <w:t>)</w:t>
      </w:r>
      <w:r>
        <w:t xml:space="preserve">. To clarify the queries raised by the respondent throughout their response to the consultation </w:t>
      </w:r>
      <w:r w:rsidR="005D0FA1">
        <w:t xml:space="preserve">the Working Group </w:t>
      </w:r>
      <w:r w:rsidR="0073739B">
        <w:t>sought guidance</w:t>
      </w:r>
      <w:r w:rsidR="005D0FA1">
        <w:t xml:space="preserve"> from Ofgem</w:t>
      </w:r>
      <w:r w:rsidR="002104F3">
        <w:t>.</w:t>
      </w:r>
    </w:p>
    <w:p w14:paraId="488D82C7" w14:textId="4FBB68F2" w:rsidR="002104F3" w:rsidRDefault="002104F3" w:rsidP="008B3F8D">
      <w:pPr>
        <w:pStyle w:val="ListParagraph"/>
        <w:numPr>
          <w:ilvl w:val="1"/>
          <w:numId w:val="14"/>
        </w:numPr>
        <w:spacing w:line="360" w:lineRule="auto"/>
        <w:ind w:hanging="860"/>
        <w:jc w:val="both"/>
      </w:pPr>
      <w:r>
        <w:t>In respon</w:t>
      </w:r>
      <w:r w:rsidR="00973707">
        <w:t xml:space="preserve">se to paragraph </w:t>
      </w:r>
      <w:r w:rsidR="009671E0">
        <w:t>3.</w:t>
      </w:r>
      <w:r w:rsidR="00973707">
        <w:t>57 (</w:t>
      </w:r>
      <w:r w:rsidR="00973707" w:rsidRPr="00973707">
        <w:t>9) Ofgem</w:t>
      </w:r>
      <w:r w:rsidR="00973707">
        <w:t>’s</w:t>
      </w:r>
      <w:r w:rsidR="00973707" w:rsidRPr="00973707">
        <w:t xml:space="preserve"> intent </w:t>
      </w:r>
      <w:r w:rsidR="00973707">
        <w:t xml:space="preserve">is to not </w:t>
      </w:r>
      <w:r w:rsidR="00973707" w:rsidRPr="00973707">
        <w:t>charge for redundancy but reiterated that the capacity must not be exceeded, and that sufficient evidence need</w:t>
      </w:r>
      <w:r w:rsidR="00973707">
        <w:t>ed</w:t>
      </w:r>
      <w:r w:rsidR="00973707" w:rsidRPr="00973707">
        <w:t xml:space="preserve"> to be provided. The reference to consumption was referring to the total consumption across all connections within the band</w:t>
      </w:r>
      <w:r w:rsidR="00973707">
        <w:t>.</w:t>
      </w:r>
    </w:p>
    <w:p w14:paraId="6659DF8A" w14:textId="240CA5A5" w:rsidR="00EE54E8" w:rsidRDefault="00EE54E8" w:rsidP="008B3F8D">
      <w:pPr>
        <w:pStyle w:val="ListParagraph"/>
        <w:numPr>
          <w:ilvl w:val="1"/>
          <w:numId w:val="14"/>
        </w:numPr>
        <w:spacing w:line="360" w:lineRule="auto"/>
        <w:ind w:hanging="860"/>
        <w:jc w:val="both"/>
      </w:pPr>
      <w:commentRangeStart w:id="16"/>
      <w:r>
        <w:t xml:space="preserve">In response to paragraph </w:t>
      </w:r>
      <w:r w:rsidR="009671E0">
        <w:t>3.</w:t>
      </w:r>
      <w:r>
        <w:t>57 (</w:t>
      </w:r>
      <w:r w:rsidRPr="00973707">
        <w:t>9) Ofgem</w:t>
      </w:r>
      <w:commentRangeEnd w:id="16"/>
      <w:r w:rsidR="00FF7E67">
        <w:rPr>
          <w:rStyle w:val="CommentReference"/>
        </w:rPr>
        <w:commentReference w:id="16"/>
      </w:r>
      <w:r>
        <w:t>…………………</w:t>
      </w:r>
    </w:p>
    <w:p w14:paraId="00F48CE3" w14:textId="2063D83A" w:rsidR="00973707" w:rsidRDefault="00973707" w:rsidP="00973707">
      <w:pPr>
        <w:spacing w:line="360" w:lineRule="auto"/>
        <w:jc w:val="both"/>
      </w:pPr>
      <w:r w:rsidRPr="00973707">
        <w:rPr>
          <w:b/>
          <w:bCs/>
        </w:rPr>
        <w:t>Do back-up connections incurs costs that would be recovered through residual charges</w:t>
      </w:r>
      <w:r w:rsidRPr="00720BEA">
        <w:t xml:space="preserve"> </w:t>
      </w:r>
    </w:p>
    <w:p w14:paraId="52DCD72D" w14:textId="77777777" w:rsidR="00EE54E8" w:rsidRPr="00EE54E8" w:rsidRDefault="0079399F" w:rsidP="008B3F8D">
      <w:pPr>
        <w:pStyle w:val="ListParagraph"/>
        <w:numPr>
          <w:ilvl w:val="1"/>
          <w:numId w:val="14"/>
        </w:numPr>
        <w:spacing w:line="360" w:lineRule="auto"/>
        <w:ind w:hanging="860"/>
        <w:jc w:val="both"/>
      </w:pPr>
      <w:r w:rsidRPr="0079399F">
        <w:lastRenderedPageBreak/>
        <w:t xml:space="preserve">The Working Group considered the comments about whether </w:t>
      </w:r>
      <w:r>
        <w:t>f</w:t>
      </w:r>
      <w:r w:rsidRPr="0079399F">
        <w:t xml:space="preserve">uture work may be required to determine whether the provision of </w:t>
      </w:r>
      <w:r w:rsidR="003C1B1D">
        <w:t>back-up</w:t>
      </w:r>
      <w:r w:rsidRPr="0079399F">
        <w:t xml:space="preserve"> connections</w:t>
      </w:r>
      <w:r w:rsidR="008174D9">
        <w:t xml:space="preserve"> </w:t>
      </w:r>
      <w:r w:rsidR="00EE54E8" w:rsidRPr="0038381A">
        <w:rPr>
          <w:bCs/>
        </w:rPr>
        <w:t xml:space="preserve">incurs costs that would be recovered through residual charges, and whether there are scenarios where back-up connections should be liable for residual charges. </w:t>
      </w:r>
    </w:p>
    <w:p w14:paraId="2464B853" w14:textId="7CCD6A82" w:rsidR="00846746" w:rsidRPr="00973707" w:rsidRDefault="00EE54E8" w:rsidP="008B3F8D">
      <w:pPr>
        <w:pStyle w:val="ListParagraph"/>
        <w:numPr>
          <w:ilvl w:val="1"/>
          <w:numId w:val="14"/>
        </w:numPr>
        <w:spacing w:line="360" w:lineRule="auto"/>
        <w:ind w:hanging="860"/>
        <w:jc w:val="both"/>
      </w:pPr>
      <w:r>
        <w:rPr>
          <w:bCs/>
        </w:rPr>
        <w:t xml:space="preserve">The view of the Working Group was that </w:t>
      </w:r>
      <w:r w:rsidR="00996869">
        <w:t>this would</w:t>
      </w:r>
      <w:r w:rsidR="008174D9">
        <w:t xml:space="preserve"> </w:t>
      </w:r>
      <w:r w:rsidR="00996869" w:rsidRPr="00996869">
        <w:t xml:space="preserve">require a </w:t>
      </w:r>
      <w:r>
        <w:t xml:space="preserve">separate </w:t>
      </w:r>
      <w:r w:rsidR="0014008D">
        <w:t>CP</w:t>
      </w:r>
      <w:r w:rsidR="00996869" w:rsidRPr="00996869">
        <w:t xml:space="preserve"> </w:t>
      </w:r>
      <w:r>
        <w:t>because it was</w:t>
      </w:r>
      <w:r w:rsidR="00996869" w:rsidRPr="00996869">
        <w:t xml:space="preserve"> deemed out of scope since the intent of this change </w:t>
      </w:r>
      <w:r w:rsidR="002104F3">
        <w:t>is</w:t>
      </w:r>
      <w:r w:rsidR="00996869" w:rsidRPr="00996869">
        <w:t xml:space="preserve"> to align </w:t>
      </w:r>
      <w:r>
        <w:t>the change</w:t>
      </w:r>
      <w:r w:rsidR="00996869" w:rsidRPr="00996869">
        <w:t xml:space="preserve"> to the TCR decision document</w:t>
      </w:r>
      <w:r>
        <w:t xml:space="preserve"> and not reopen wh</w:t>
      </w:r>
      <w:r w:rsidR="00E0517D">
        <w:t>ere the costs come from.</w:t>
      </w:r>
    </w:p>
    <w:p w14:paraId="6ABAAE7F" w14:textId="3497C8F2" w:rsidR="002104F3" w:rsidRPr="0038381A" w:rsidRDefault="002104F3" w:rsidP="00973707">
      <w:pPr>
        <w:spacing w:line="360" w:lineRule="auto"/>
        <w:jc w:val="both"/>
        <w:rPr>
          <w:b/>
          <w:bCs/>
        </w:rPr>
      </w:pPr>
      <w:r w:rsidRPr="0038381A">
        <w:rPr>
          <w:b/>
          <w:bCs/>
        </w:rPr>
        <w:t>Wider industry impacts</w:t>
      </w:r>
    </w:p>
    <w:p w14:paraId="6285B3D0" w14:textId="77777777" w:rsidR="00FF7E67" w:rsidRDefault="00FF7E67" w:rsidP="008B3F8D">
      <w:pPr>
        <w:pStyle w:val="ListParagraph"/>
        <w:numPr>
          <w:ilvl w:val="1"/>
          <w:numId w:val="14"/>
        </w:numPr>
        <w:spacing w:line="360" w:lineRule="auto"/>
        <w:ind w:hanging="860"/>
        <w:jc w:val="both"/>
      </w:pPr>
      <w:r>
        <w:t>Respondents</w:t>
      </w:r>
      <w:r w:rsidR="00230BCD">
        <w:t xml:space="preserve"> </w:t>
      </w:r>
      <w:r>
        <w:t xml:space="preserve">identified </w:t>
      </w:r>
      <w:proofErr w:type="gramStart"/>
      <w:r>
        <w:t>a number of</w:t>
      </w:r>
      <w:proofErr w:type="gramEnd"/>
      <w:r>
        <w:t xml:space="preserve"> areas that may need to be considered further, these were:</w:t>
      </w:r>
    </w:p>
    <w:p w14:paraId="3B601B7E" w14:textId="484547E6" w:rsidR="00FF7E67" w:rsidRDefault="00FF7E67" w:rsidP="00FF7E67">
      <w:pPr>
        <w:pStyle w:val="ListParagraph"/>
        <w:numPr>
          <w:ilvl w:val="0"/>
          <w:numId w:val="57"/>
        </w:numPr>
        <w:spacing w:line="360" w:lineRule="auto"/>
        <w:ind w:left="1701" w:hanging="850"/>
        <w:jc w:val="both"/>
      </w:pPr>
      <w:r w:rsidRPr="00961B05">
        <w:t xml:space="preserve">DCP 389 ‘TCR - Clarification on exceptional circumstances and allocation review for new </w:t>
      </w:r>
      <w:proofErr w:type="gramStart"/>
      <w:r w:rsidRPr="00961B05">
        <w:t>sites</w:t>
      </w:r>
      <w:r>
        <w:t>’;</w:t>
      </w:r>
      <w:proofErr w:type="gramEnd"/>
    </w:p>
    <w:p w14:paraId="150F44C9" w14:textId="77777777" w:rsidR="00FF7E67" w:rsidRDefault="00FF7E67" w:rsidP="00FF7E67">
      <w:pPr>
        <w:pStyle w:val="ListParagraph"/>
        <w:numPr>
          <w:ilvl w:val="0"/>
          <w:numId w:val="57"/>
        </w:numPr>
        <w:spacing w:line="360" w:lineRule="auto"/>
        <w:ind w:left="1701" w:hanging="850"/>
        <w:jc w:val="both"/>
      </w:pPr>
      <w:r>
        <w:t xml:space="preserve">DCP </w:t>
      </w:r>
      <w:r w:rsidRPr="00961B05">
        <w:t>328 ‘Use of System Charging for private networks with competition in supply</w:t>
      </w:r>
      <w:r>
        <w:t xml:space="preserve">’ </w:t>
      </w:r>
    </w:p>
    <w:p w14:paraId="05CE98B5" w14:textId="77777777" w:rsidR="00FF7E67" w:rsidRDefault="00FF7E67" w:rsidP="00FF7E67">
      <w:pPr>
        <w:pStyle w:val="ListParagraph"/>
        <w:numPr>
          <w:ilvl w:val="0"/>
          <w:numId w:val="57"/>
        </w:numPr>
        <w:spacing w:line="360" w:lineRule="auto"/>
        <w:ind w:left="1701" w:hanging="850"/>
        <w:jc w:val="both"/>
      </w:pPr>
      <w:r w:rsidRPr="00AE3074">
        <w:t>licence exemption review</w:t>
      </w:r>
      <w:r>
        <w:t>; and</w:t>
      </w:r>
    </w:p>
    <w:p w14:paraId="24E419C6" w14:textId="196CC0E8" w:rsidR="00FF7E67" w:rsidRDefault="00FF7E67" w:rsidP="00FF7E67">
      <w:pPr>
        <w:pStyle w:val="ListParagraph"/>
        <w:numPr>
          <w:ilvl w:val="0"/>
          <w:numId w:val="57"/>
        </w:numPr>
        <w:spacing w:line="360" w:lineRule="auto"/>
        <w:ind w:left="1701" w:hanging="850"/>
        <w:jc w:val="both"/>
      </w:pPr>
      <w:r>
        <w:t>t</w:t>
      </w:r>
      <w:r w:rsidRPr="00AE3074">
        <w:t xml:space="preserve">he </w:t>
      </w:r>
      <w:proofErr w:type="spellStart"/>
      <w:r w:rsidRPr="00AE3074">
        <w:t>DUoS</w:t>
      </w:r>
      <w:proofErr w:type="spellEnd"/>
      <w:r w:rsidRPr="00AE3074">
        <w:t xml:space="preserve"> SC</w:t>
      </w:r>
      <w:r>
        <w:t>R.</w:t>
      </w:r>
    </w:p>
    <w:p w14:paraId="3DB7C1AD" w14:textId="2E20062B" w:rsidR="00230BCD" w:rsidRDefault="00FF7E67" w:rsidP="008B3F8D">
      <w:pPr>
        <w:pStyle w:val="ListParagraph"/>
        <w:numPr>
          <w:ilvl w:val="1"/>
          <w:numId w:val="14"/>
        </w:numPr>
        <w:spacing w:line="360" w:lineRule="auto"/>
        <w:ind w:hanging="860"/>
        <w:jc w:val="both"/>
      </w:pPr>
      <w:r>
        <w:t xml:space="preserve">The Working group </w:t>
      </w:r>
      <w:r w:rsidR="00230BCD">
        <w:t xml:space="preserve">reviewed </w:t>
      </w:r>
      <w:r>
        <w:t>this change against each of the areas identified above and provide the following understanding.</w:t>
      </w:r>
    </w:p>
    <w:p w14:paraId="0E5205E9" w14:textId="19437985" w:rsidR="00FF7E67" w:rsidRDefault="00FF7E67" w:rsidP="008B3F8D">
      <w:pPr>
        <w:pStyle w:val="ListParagraph"/>
        <w:numPr>
          <w:ilvl w:val="1"/>
          <w:numId w:val="14"/>
        </w:numPr>
        <w:spacing w:line="360" w:lineRule="auto"/>
        <w:ind w:hanging="860"/>
        <w:jc w:val="both"/>
      </w:pPr>
      <w:r>
        <w:t>DCP389 impacts schedule 32 but not the sections covered by this CP. The Working Group also agreed that this change can be progressed in isolation and has no impact on DCP389.</w:t>
      </w:r>
    </w:p>
    <w:p w14:paraId="737EB4FC" w14:textId="72ED2284" w:rsidR="00044779" w:rsidRDefault="00FF7E67" w:rsidP="008B3F8D">
      <w:pPr>
        <w:pStyle w:val="ListParagraph"/>
        <w:numPr>
          <w:ilvl w:val="1"/>
          <w:numId w:val="14"/>
        </w:numPr>
        <w:spacing w:line="360" w:lineRule="auto"/>
        <w:ind w:hanging="860"/>
        <w:jc w:val="both"/>
      </w:pPr>
      <w:r>
        <w:t xml:space="preserve">Similarly, </w:t>
      </w:r>
      <w:r w:rsidR="002104F3">
        <w:t>DCP328, whilst</w:t>
      </w:r>
      <w:r w:rsidR="00044779">
        <w:t xml:space="preserve"> it does </w:t>
      </w:r>
      <w:r w:rsidR="002104F3">
        <w:t>consider</w:t>
      </w:r>
      <w:r w:rsidR="00044779">
        <w:t xml:space="preserve"> how residual</w:t>
      </w:r>
      <w:r w:rsidR="002104F3">
        <w:t xml:space="preserve"> charges</w:t>
      </w:r>
      <w:r w:rsidR="00044779">
        <w:t xml:space="preserve"> are catered for on a private network,</w:t>
      </w:r>
      <w:r w:rsidR="002104F3">
        <w:t xml:space="preserve"> </w:t>
      </w:r>
      <w:r w:rsidR="00044779">
        <w:t xml:space="preserve">it does not consider any exemption to them and as such does not impact this </w:t>
      </w:r>
      <w:r w:rsidR="0014008D">
        <w:t>CP</w:t>
      </w:r>
      <w:r w:rsidR="00044779">
        <w:t>.</w:t>
      </w:r>
    </w:p>
    <w:p w14:paraId="2062B981" w14:textId="692AD39A" w:rsidR="002104F3" w:rsidRDefault="00FF7E67" w:rsidP="008B3F8D">
      <w:pPr>
        <w:pStyle w:val="ListParagraph"/>
        <w:numPr>
          <w:ilvl w:val="1"/>
          <w:numId w:val="14"/>
        </w:numPr>
        <w:spacing w:line="360" w:lineRule="auto"/>
        <w:ind w:hanging="860"/>
        <w:jc w:val="both"/>
      </w:pPr>
      <w:r>
        <w:t>The BEIS licence review is reviewing who is exempt rather than any potential impact on this CP and its findings have yet to be published.</w:t>
      </w:r>
    </w:p>
    <w:p w14:paraId="6C233244" w14:textId="45CD785E" w:rsidR="00044779" w:rsidRDefault="00044779" w:rsidP="008B3F8D">
      <w:pPr>
        <w:pStyle w:val="ListParagraph"/>
        <w:numPr>
          <w:ilvl w:val="1"/>
          <w:numId w:val="14"/>
        </w:numPr>
        <w:spacing w:line="360" w:lineRule="auto"/>
        <w:ind w:hanging="860"/>
        <w:jc w:val="both"/>
      </w:pPr>
      <w:r>
        <w:t xml:space="preserve">The </w:t>
      </w:r>
      <w:proofErr w:type="spellStart"/>
      <w:r>
        <w:t>DUoS</w:t>
      </w:r>
      <w:proofErr w:type="spellEnd"/>
      <w:r>
        <w:t xml:space="preserve"> SCR is still with Ofgem</w:t>
      </w:r>
      <w:r w:rsidR="00FF7E67">
        <w:t>,</w:t>
      </w:r>
      <w:r>
        <w:t xml:space="preserve"> so it is unknown </w:t>
      </w:r>
      <w:r w:rsidR="00FF7E67">
        <w:t>regarding</w:t>
      </w:r>
      <w:r>
        <w:t xml:space="preserve"> its interaction with residual charges </w:t>
      </w:r>
      <w:r w:rsidR="00AF62B8">
        <w:t>if any.</w:t>
      </w:r>
      <w:r>
        <w:t xml:space="preserve"> </w:t>
      </w:r>
    </w:p>
    <w:p w14:paraId="0941B9F6" w14:textId="605EF4FD" w:rsidR="00C81208" w:rsidRPr="00C81208" w:rsidRDefault="00C81208" w:rsidP="00C81208">
      <w:pPr>
        <w:spacing w:line="360" w:lineRule="auto"/>
        <w:jc w:val="both"/>
        <w:rPr>
          <w:b/>
          <w:bCs/>
        </w:rPr>
      </w:pPr>
      <w:r w:rsidRPr="00C81208">
        <w:rPr>
          <w:b/>
          <w:bCs/>
        </w:rPr>
        <w:t>Connections to more than one GSP</w:t>
      </w:r>
    </w:p>
    <w:p w14:paraId="284DD6D0" w14:textId="5A13136A" w:rsidR="00C81208" w:rsidRPr="00DE682A" w:rsidRDefault="00DE682A" w:rsidP="008B3F8D">
      <w:pPr>
        <w:pStyle w:val="ListParagraph"/>
        <w:numPr>
          <w:ilvl w:val="1"/>
          <w:numId w:val="14"/>
        </w:numPr>
        <w:spacing w:line="360" w:lineRule="auto"/>
        <w:ind w:hanging="860"/>
        <w:jc w:val="both"/>
      </w:pPr>
      <w:r>
        <w:t xml:space="preserve">All respondents to the consultation agreed that if the back up connection is from a different GSP then a charge for residual should be applied. There was only one respondent who thought otherwise stating that </w:t>
      </w:r>
      <w:r w:rsidRPr="00BA0232">
        <w:rPr>
          <w:bCs/>
        </w:rPr>
        <w:t xml:space="preserve">it doesn’t matter where the </w:t>
      </w:r>
      <w:r>
        <w:rPr>
          <w:bCs/>
        </w:rPr>
        <w:t>back-up</w:t>
      </w:r>
      <w:r w:rsidRPr="00BA0232">
        <w:rPr>
          <w:bCs/>
        </w:rPr>
        <w:t xml:space="preserve"> connection is located</w:t>
      </w:r>
      <w:r>
        <w:rPr>
          <w:bCs/>
        </w:rPr>
        <w:t xml:space="preserve">. </w:t>
      </w:r>
    </w:p>
    <w:p w14:paraId="28DCA299" w14:textId="492F800F" w:rsidR="00DE682A" w:rsidRDefault="00DE682A" w:rsidP="008B3F8D">
      <w:pPr>
        <w:pStyle w:val="ListParagraph"/>
        <w:numPr>
          <w:ilvl w:val="1"/>
          <w:numId w:val="14"/>
        </w:numPr>
        <w:spacing w:line="360" w:lineRule="auto"/>
        <w:ind w:hanging="860"/>
        <w:jc w:val="both"/>
      </w:pPr>
      <w:r>
        <w:rPr>
          <w:bCs/>
        </w:rPr>
        <w:t xml:space="preserve">The Working Group reviewed the Ofgem TCR decision document and found no reference to GSP.  However, based on Ofgem’s </w:t>
      </w:r>
      <w:r w:rsidRPr="00973707">
        <w:t xml:space="preserve">intent </w:t>
      </w:r>
      <w:r>
        <w:t xml:space="preserve">being not to </w:t>
      </w:r>
      <w:r w:rsidRPr="00973707">
        <w:t>charge for redundancy</w:t>
      </w:r>
      <w:r>
        <w:t xml:space="preserve"> there was a concern that the CP may be rejected or sent back. A suggestion was </w:t>
      </w:r>
      <w:r w:rsidR="00B24972">
        <w:t xml:space="preserve">made </w:t>
      </w:r>
      <w:r>
        <w:t xml:space="preserve">that an alternate CP could accompany this </w:t>
      </w:r>
      <w:r w:rsidR="00B24972">
        <w:t xml:space="preserve">to cover both scenarios. </w:t>
      </w:r>
    </w:p>
    <w:p w14:paraId="3E50A859" w14:textId="2A57A1B9" w:rsidR="00B24972" w:rsidRDefault="00B24972" w:rsidP="008B3F8D">
      <w:pPr>
        <w:pStyle w:val="ListParagraph"/>
        <w:numPr>
          <w:ilvl w:val="1"/>
          <w:numId w:val="14"/>
        </w:numPr>
        <w:spacing w:line="360" w:lineRule="auto"/>
        <w:ind w:hanging="860"/>
        <w:jc w:val="both"/>
      </w:pPr>
      <w:r>
        <w:t xml:space="preserve">Prior to agreeing to this approach, Ofgem was asked to seek clarification as to whether GSP was considered in their decision to not charge for redundancy. </w:t>
      </w:r>
      <w:commentRangeStart w:id="17"/>
      <w:r>
        <w:t xml:space="preserve">The Ofgem response………………. </w:t>
      </w:r>
    </w:p>
    <w:p w14:paraId="7EE3ECD4" w14:textId="450D412C" w:rsidR="00B24972" w:rsidRDefault="00B24972" w:rsidP="008B3F8D">
      <w:pPr>
        <w:pStyle w:val="ListParagraph"/>
        <w:numPr>
          <w:ilvl w:val="1"/>
          <w:numId w:val="14"/>
        </w:numPr>
        <w:spacing w:line="360" w:lineRule="auto"/>
        <w:ind w:hanging="860"/>
        <w:jc w:val="both"/>
      </w:pPr>
      <w:r>
        <w:t xml:space="preserve">The Working Group………………………… </w:t>
      </w:r>
      <w:commentRangeEnd w:id="17"/>
      <w:r w:rsidR="00E048BD">
        <w:rPr>
          <w:rStyle w:val="CommentReference"/>
        </w:rPr>
        <w:commentReference w:id="17"/>
      </w:r>
    </w:p>
    <w:p w14:paraId="3652BBBD" w14:textId="13B7D615" w:rsidR="001043F1" w:rsidRDefault="001043F1" w:rsidP="00B133D9">
      <w:pPr>
        <w:spacing w:line="360" w:lineRule="auto"/>
        <w:ind w:left="284" w:hanging="284"/>
        <w:jc w:val="both"/>
        <w:rPr>
          <w:b/>
          <w:bCs/>
        </w:rPr>
      </w:pPr>
      <w:r w:rsidRPr="00AF62B8">
        <w:rPr>
          <w:b/>
          <w:bCs/>
        </w:rPr>
        <w:lastRenderedPageBreak/>
        <w:t>Review of legal text</w:t>
      </w:r>
    </w:p>
    <w:p w14:paraId="1B01B120" w14:textId="2BB7E047" w:rsidR="00587971" w:rsidRDefault="00587971" w:rsidP="00587971">
      <w:pPr>
        <w:pStyle w:val="ListParagraph"/>
        <w:numPr>
          <w:ilvl w:val="1"/>
          <w:numId w:val="14"/>
        </w:numPr>
        <w:spacing w:line="360" w:lineRule="auto"/>
        <w:ind w:hanging="860"/>
        <w:jc w:val="both"/>
      </w:pPr>
      <w:r>
        <w:t xml:space="preserve">The Working Group reviewed the feedback on the consultation proposed definitions together with the alternative proposals raised by the respondents </w:t>
      </w:r>
      <w:r w:rsidR="00B24972">
        <w:t xml:space="preserve">and the one previously raised by the Working Group covered under paragraph 4.30 </w:t>
      </w:r>
      <w:r w:rsidR="009671E0">
        <w:t xml:space="preserve">above </w:t>
      </w:r>
      <w:r>
        <w:t xml:space="preserve">and agreed that the proposed definitions of </w:t>
      </w:r>
      <w:r w:rsidR="003C1B1D">
        <w:t>Back-up</w:t>
      </w:r>
      <w:r w:rsidRPr="00260067">
        <w:t xml:space="preserve"> Connection Site </w:t>
      </w:r>
      <w:r>
        <w:t>and</w:t>
      </w:r>
      <w:r w:rsidRPr="00260067">
        <w:t xml:space="preserve"> Licence Exempt Back-Up Connection Site</w:t>
      </w:r>
      <w:r>
        <w:t xml:space="preserve"> were not appropriate.</w:t>
      </w:r>
    </w:p>
    <w:p w14:paraId="5BDB9FFE" w14:textId="1EEBD50E" w:rsidR="00194176" w:rsidRDefault="00587971" w:rsidP="007416E9">
      <w:pPr>
        <w:pStyle w:val="ListParagraph"/>
        <w:numPr>
          <w:ilvl w:val="1"/>
          <w:numId w:val="14"/>
        </w:numPr>
        <w:spacing w:line="360" w:lineRule="auto"/>
        <w:ind w:left="851" w:hanging="851"/>
        <w:jc w:val="both"/>
      </w:pPr>
      <w:r>
        <w:t xml:space="preserve">The Working Group worked with the legal advisor to develop the </w:t>
      </w:r>
      <w:r w:rsidR="007B7733">
        <w:t xml:space="preserve">legal </w:t>
      </w:r>
      <w:r>
        <w:t xml:space="preserve">text to </w:t>
      </w:r>
      <w:r w:rsidR="007B7733">
        <w:t xml:space="preserve">amend the current definition of Single Site and add a new definition of Back-up connection together with a refinement to the scope </w:t>
      </w:r>
      <w:r w:rsidR="00A41FCE">
        <w:t>o</w:t>
      </w:r>
      <w:r w:rsidR="007B7733">
        <w:t>f schedule 32 and to the re-classification section to ensure that the back</w:t>
      </w:r>
      <w:r w:rsidR="00A41FCE">
        <w:t>-</w:t>
      </w:r>
      <w:r w:rsidR="007B7733">
        <w:t>up connection does no incur residual charges.</w:t>
      </w:r>
      <w:bookmarkStart w:id="18" w:name="_Toc318967200"/>
      <w:bookmarkEnd w:id="15"/>
    </w:p>
    <w:p w14:paraId="58592DB6" w14:textId="27329AD3" w:rsidR="00B24972" w:rsidRDefault="00B24972" w:rsidP="007416E9">
      <w:pPr>
        <w:pStyle w:val="ListParagraph"/>
        <w:numPr>
          <w:ilvl w:val="1"/>
          <w:numId w:val="14"/>
        </w:numPr>
        <w:spacing w:line="360" w:lineRule="auto"/>
        <w:ind w:left="851" w:hanging="851"/>
        <w:jc w:val="both"/>
      </w:pPr>
      <w:r>
        <w:t xml:space="preserve">The criteria to support the back-up connection was taken from the Ofgem decision document paragraph </w:t>
      </w:r>
      <w:r w:rsidR="009671E0">
        <w:t>3</w:t>
      </w:r>
      <w:r>
        <w:t>.57 (9)</w:t>
      </w:r>
      <w:r w:rsidR="009671E0">
        <w:t>.</w:t>
      </w:r>
    </w:p>
    <w:p w14:paraId="41B572EA" w14:textId="19891C7F" w:rsidR="00263600" w:rsidRPr="00EB32BB" w:rsidRDefault="00E27FED" w:rsidP="00293C2D">
      <w:pPr>
        <w:pStyle w:val="Heading03"/>
        <w:ind w:left="567" w:hanging="567"/>
      </w:pPr>
      <w:bookmarkStart w:id="19" w:name="_Toc113465295"/>
      <w:r>
        <w:t>Re</w:t>
      </w:r>
      <w:r w:rsidR="00263600" w:rsidRPr="00EB32BB">
        <w:t>levant</w:t>
      </w:r>
      <w:r w:rsidR="00551BF6">
        <w:t xml:space="preserve"> </w:t>
      </w:r>
      <w:r w:rsidR="00263600" w:rsidRPr="00EB32BB">
        <w:t>Objectives</w:t>
      </w:r>
      <w:bookmarkEnd w:id="18"/>
      <w:bookmarkEnd w:id="19"/>
    </w:p>
    <w:p w14:paraId="69064722" w14:textId="77777777" w:rsidR="00F04DA2" w:rsidRDefault="00F04DA2" w:rsidP="001E6639">
      <w:pPr>
        <w:pStyle w:val="Heading4"/>
      </w:pPr>
      <w:r w:rsidRPr="00F04DA2">
        <w:t>A</w:t>
      </w:r>
      <w:r>
        <w:t>ssessment A</w:t>
      </w:r>
      <w:r w:rsidRPr="00F04DA2">
        <w:t xml:space="preserve">gainst the </w:t>
      </w:r>
      <w:r>
        <w:t>DCUSA O</w:t>
      </w:r>
      <w:r w:rsidRPr="00F04DA2">
        <w:t>bjectives</w:t>
      </w:r>
    </w:p>
    <w:p w14:paraId="30E3D22C" w14:textId="4093E7F9" w:rsidR="00F04DA2" w:rsidRPr="00293C2D" w:rsidRDefault="00056DDB" w:rsidP="002D1E91">
      <w:pPr>
        <w:pStyle w:val="ListParagraph"/>
        <w:numPr>
          <w:ilvl w:val="1"/>
          <w:numId w:val="14"/>
        </w:numPr>
        <w:spacing w:line="360" w:lineRule="auto"/>
        <w:ind w:hanging="860"/>
        <w:jc w:val="both"/>
      </w:pPr>
      <w:r w:rsidRPr="00293C2D">
        <w:t xml:space="preserve">For a DCUSA </w:t>
      </w:r>
      <w:r w:rsidR="0014008D">
        <w:t>CP</w:t>
      </w:r>
      <w:r w:rsidRPr="00293C2D">
        <w:t xml:space="preserve"> to be approved it must be demonstrated that it better facilitates the DCUSA Objectives. There are five General Objectives and six Charging Objectives. The full list of objectives is documented in the CP form provided </w:t>
      </w:r>
      <w:r w:rsidRPr="00284F86">
        <w:t xml:space="preserve">as </w:t>
      </w:r>
      <w:r w:rsidRPr="00796DA8">
        <w:rPr>
          <w:b/>
          <w:bCs/>
        </w:rPr>
        <w:t xml:space="preserve">Attachment </w:t>
      </w:r>
      <w:r w:rsidR="00284F86" w:rsidRPr="00796DA8">
        <w:rPr>
          <w:b/>
          <w:bCs/>
        </w:rPr>
        <w:t>4</w:t>
      </w:r>
      <w:r w:rsidRPr="00796DA8">
        <w:rPr>
          <w:b/>
          <w:bCs/>
        </w:rPr>
        <w:t>.</w:t>
      </w:r>
    </w:p>
    <w:p w14:paraId="2F02AE43" w14:textId="0B66AB3F" w:rsidR="003B5723" w:rsidRPr="00293C2D" w:rsidRDefault="00E64783" w:rsidP="002D1E91">
      <w:pPr>
        <w:pStyle w:val="ListParagraph"/>
        <w:numPr>
          <w:ilvl w:val="1"/>
          <w:numId w:val="14"/>
        </w:numPr>
        <w:spacing w:line="360" w:lineRule="auto"/>
        <w:ind w:hanging="860"/>
        <w:jc w:val="both"/>
      </w:pPr>
      <w:r w:rsidRPr="00293C2D">
        <w:t>The Working Group considers that the following DCUSA Objectives are better facilitated by DCP 40</w:t>
      </w:r>
      <w:r w:rsidR="00796DA8">
        <w:t>3</w:t>
      </w:r>
      <w:r w:rsidRPr="00293C2D">
        <w:t>.</w:t>
      </w:r>
    </w:p>
    <w:tbl>
      <w:tblPr>
        <w:tblW w:w="5001"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81"/>
        <w:gridCol w:w="7505"/>
        <w:gridCol w:w="1142"/>
      </w:tblGrid>
      <w:tr w:rsidR="009671E0" w:rsidRPr="0060253F" w14:paraId="3440178D" w14:textId="77777777" w:rsidTr="009671E0">
        <w:trPr>
          <w:cantSplit/>
          <w:trHeight w:val="397"/>
        </w:trPr>
        <w:tc>
          <w:tcPr>
            <w:tcW w:w="365" w:type="pct"/>
            <w:tcBorders>
              <w:top w:val="single" w:sz="8" w:space="0" w:color="CCE0DA"/>
              <w:left w:val="single" w:sz="12" w:space="0" w:color="CCE0DA"/>
              <w:bottom w:val="single" w:sz="8" w:space="0" w:color="CCE0DA"/>
              <w:right w:val="single" w:sz="8" w:space="0" w:color="CCE0DA"/>
            </w:tcBorders>
          </w:tcPr>
          <w:p w14:paraId="215185C1" w14:textId="77777777" w:rsidR="009671E0" w:rsidRPr="001E4BC5" w:rsidRDefault="009671E0" w:rsidP="003F20E7">
            <w:pPr>
              <w:pStyle w:val="BodyText"/>
              <w:spacing w:before="0"/>
              <w:jc w:val="center"/>
              <w:rPr>
                <w:rFonts w:ascii="Arial Black" w:hAnsi="Arial Black" w:cs="Arial"/>
                <w:b/>
                <w:bCs/>
                <w:noProof/>
                <w:color w:val="00B050"/>
                <w:sz w:val="48"/>
                <w:szCs w:val="56"/>
              </w:rPr>
            </w:pPr>
          </w:p>
        </w:tc>
        <w:tc>
          <w:tcPr>
            <w:tcW w:w="4023" w:type="pct"/>
            <w:tcBorders>
              <w:top w:val="single" w:sz="8" w:space="0" w:color="CCE0DA"/>
              <w:left w:val="single" w:sz="8" w:space="0" w:color="CCE0DA"/>
              <w:bottom w:val="single" w:sz="8" w:space="0" w:color="CCE0DA"/>
              <w:right w:val="single" w:sz="8" w:space="0" w:color="CCE0DA"/>
            </w:tcBorders>
          </w:tcPr>
          <w:p w14:paraId="4F85007A" w14:textId="77777777" w:rsidR="009671E0" w:rsidRPr="001E4BC5" w:rsidRDefault="009671E0" w:rsidP="003F20E7">
            <w:pPr>
              <w:pStyle w:val="Tablebodycopy"/>
              <w:ind w:left="0" w:right="238"/>
              <w:rPr>
                <w:rFonts w:cs="Arial"/>
                <w:noProof/>
              </w:rPr>
            </w:pPr>
            <w:r w:rsidRPr="001E4BC5">
              <w:rPr>
                <w:rFonts w:cs="Arial"/>
                <w:b/>
                <w:sz w:val="22"/>
                <w:szCs w:val="22"/>
              </w:rPr>
              <w:t>DCUSA Charging Objectives</w:t>
            </w:r>
          </w:p>
        </w:tc>
        <w:tc>
          <w:tcPr>
            <w:tcW w:w="612" w:type="pct"/>
            <w:tcBorders>
              <w:top w:val="single" w:sz="8" w:space="0" w:color="CCE0DA"/>
              <w:left w:val="single" w:sz="8" w:space="0" w:color="CCE0DA"/>
              <w:bottom w:val="single" w:sz="8" w:space="0" w:color="CCE0DA"/>
              <w:right w:val="single" w:sz="12" w:space="0" w:color="CCE0DA"/>
            </w:tcBorders>
          </w:tcPr>
          <w:p w14:paraId="3C701E1D" w14:textId="77777777" w:rsidR="009671E0" w:rsidRPr="001E4BC5" w:rsidRDefault="009671E0" w:rsidP="003F20E7">
            <w:pPr>
              <w:pStyle w:val="NoSpacing"/>
              <w:ind w:left="123"/>
              <w:rPr>
                <w:color w:val="4472C4"/>
              </w:rPr>
            </w:pPr>
            <w:r w:rsidRPr="001E4BC5">
              <w:rPr>
                <w:b/>
              </w:rPr>
              <w:t>Identified impact</w:t>
            </w:r>
          </w:p>
        </w:tc>
      </w:tr>
      <w:tr w:rsidR="009671E0" w:rsidRPr="002267E5" w14:paraId="23743160" w14:textId="77777777" w:rsidTr="009671E0">
        <w:trPr>
          <w:cantSplit/>
          <w:trHeight w:val="397"/>
        </w:trPr>
        <w:tc>
          <w:tcPr>
            <w:tcW w:w="365" w:type="pct"/>
          </w:tcPr>
          <w:p w14:paraId="19D44DF9" w14:textId="77777777" w:rsidR="009671E0" w:rsidRPr="00C8117D" w:rsidRDefault="002078E2" w:rsidP="003F20E7">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206775814"/>
                <w14:checkbox>
                  <w14:checked w14:val="0"/>
                  <w14:checkedState w14:val="0052" w14:font="Wingdings 2"/>
                  <w14:uncheckedState w14:val="2610" w14:font="MS Gothic"/>
                </w14:checkbox>
              </w:sdtPr>
              <w:sdtEndPr/>
              <w:sdtContent>
                <w:r w:rsidR="009671E0">
                  <w:rPr>
                    <w:rFonts w:ascii="MS Gothic" w:eastAsia="MS Gothic" w:hAnsi="MS Gothic" w:cs="Arial" w:hint="eastAsia"/>
                    <w:b/>
                    <w:bCs/>
                    <w:noProof/>
                    <w:color w:val="00B050"/>
                    <w:sz w:val="48"/>
                    <w:szCs w:val="56"/>
                  </w:rPr>
                  <w:t>☐</w:t>
                </w:r>
              </w:sdtContent>
            </w:sdt>
          </w:p>
        </w:tc>
        <w:tc>
          <w:tcPr>
            <w:tcW w:w="4023" w:type="pct"/>
          </w:tcPr>
          <w:p w14:paraId="00C00375" w14:textId="77777777" w:rsidR="009671E0" w:rsidRPr="009146AA" w:rsidRDefault="009671E0" w:rsidP="009671E0">
            <w:pPr>
              <w:pStyle w:val="ListNumber"/>
              <w:numPr>
                <w:ilvl w:val="0"/>
                <w:numId w:val="58"/>
              </w:numPr>
              <w:tabs>
                <w:tab w:val="clear" w:pos="720"/>
              </w:tabs>
              <w:spacing w:before="0"/>
              <w:ind w:left="288" w:hanging="284"/>
              <w:rPr>
                <w:noProof/>
              </w:rPr>
            </w:pPr>
            <w:r>
              <w:rPr>
                <w:rFonts w:cs="Arial"/>
                <w:noProof/>
              </w:rPr>
              <w:t>T</w:t>
            </w:r>
            <w:r w:rsidRPr="002267E5">
              <w:rPr>
                <w:rFonts w:cs="Arial"/>
                <w:noProof/>
              </w:rPr>
              <w:t>hat compliance by each DNO Party with the Charging Methodologies facilitates the discharge by the DNO Party of the obligations imposed on it under the Act and by its Distribution Licence</w:t>
            </w:r>
          </w:p>
        </w:tc>
        <w:tc>
          <w:tcPr>
            <w:tcW w:w="612" w:type="pct"/>
          </w:tcPr>
          <w:p w14:paraId="058D9405" w14:textId="6A4BBD1D" w:rsidR="009671E0" w:rsidRPr="002267E5" w:rsidRDefault="004C2D37" w:rsidP="009671E0">
            <w:pPr>
              <w:pStyle w:val="NoSpacing"/>
            </w:pPr>
            <w:r>
              <w:t xml:space="preserve"> Positive</w:t>
            </w:r>
          </w:p>
        </w:tc>
      </w:tr>
      <w:tr w:rsidR="009671E0" w:rsidRPr="002267E5" w14:paraId="5FB229C7" w14:textId="77777777" w:rsidTr="009671E0">
        <w:trPr>
          <w:cantSplit/>
          <w:trHeight w:val="397"/>
        </w:trPr>
        <w:tc>
          <w:tcPr>
            <w:tcW w:w="365" w:type="pct"/>
          </w:tcPr>
          <w:p w14:paraId="3B96F423" w14:textId="77777777" w:rsidR="009671E0" w:rsidRPr="00C8117D" w:rsidRDefault="002078E2" w:rsidP="003F20E7">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4840054"/>
                <w14:checkbox>
                  <w14:checked w14:val="0"/>
                  <w14:checkedState w14:val="0052" w14:font="Wingdings 2"/>
                  <w14:uncheckedState w14:val="2610" w14:font="MS Gothic"/>
                </w14:checkbox>
              </w:sdtPr>
              <w:sdtEndPr/>
              <w:sdtContent>
                <w:r w:rsidR="009671E0">
                  <w:rPr>
                    <w:rFonts w:ascii="MS Gothic" w:eastAsia="MS Gothic" w:hAnsi="MS Gothic" w:cs="Arial" w:hint="eastAsia"/>
                    <w:b/>
                    <w:bCs/>
                    <w:noProof/>
                    <w:color w:val="00B050"/>
                    <w:sz w:val="48"/>
                    <w:szCs w:val="56"/>
                  </w:rPr>
                  <w:t>☐</w:t>
                </w:r>
              </w:sdtContent>
            </w:sdt>
          </w:p>
        </w:tc>
        <w:tc>
          <w:tcPr>
            <w:tcW w:w="4023" w:type="pct"/>
          </w:tcPr>
          <w:p w14:paraId="2920A866" w14:textId="77777777" w:rsidR="009671E0" w:rsidRPr="009146AA" w:rsidRDefault="009671E0" w:rsidP="003F20E7">
            <w:pPr>
              <w:pStyle w:val="ListNumber"/>
              <w:tabs>
                <w:tab w:val="clear" w:pos="720"/>
              </w:tabs>
              <w:spacing w:before="0"/>
              <w:ind w:left="280" w:hanging="280"/>
              <w:rPr>
                <w:noProof/>
              </w:rPr>
            </w:pPr>
            <w:r>
              <w:rPr>
                <w:rFonts w:cs="Arial"/>
                <w:noProof/>
              </w:rPr>
              <w:t xml:space="preserve">That compliance by each DNO Party with the Charging Methodologies </w:t>
            </w:r>
            <w:bookmarkStart w:id="20" w:name="_Hlk108529763"/>
            <w:r>
              <w:rPr>
                <w:rFonts w:cs="Arial"/>
                <w:noProof/>
              </w:rPr>
              <w:t xml:space="preserve">facilitates competition in the generation and supply of electricity </w:t>
            </w:r>
            <w:bookmarkEnd w:id="20"/>
            <w:r>
              <w:rPr>
                <w:rFonts w:cs="Arial"/>
                <w:noProof/>
              </w:rPr>
              <w:t>and will not restrict, distort, or prevent competition in the transmission or distribution of electricity or in participation in the operation of an Interconnector (as defined in the Distribution Licences)</w:t>
            </w:r>
          </w:p>
        </w:tc>
        <w:tc>
          <w:tcPr>
            <w:tcW w:w="612" w:type="pct"/>
          </w:tcPr>
          <w:p w14:paraId="64E9280B" w14:textId="3C50ED9E" w:rsidR="009671E0" w:rsidRPr="00555DF7" w:rsidRDefault="004C2D37" w:rsidP="003F20E7">
            <w:pPr>
              <w:spacing w:before="0" w:line="240" w:lineRule="auto"/>
              <w:ind w:left="113" w:right="113"/>
              <w:rPr>
                <w:b/>
                <w:bCs/>
              </w:rPr>
            </w:pPr>
            <w:r>
              <w:t>Positive</w:t>
            </w:r>
          </w:p>
        </w:tc>
      </w:tr>
      <w:tr w:rsidR="009671E0" w:rsidRPr="002267E5" w14:paraId="7956C2BC" w14:textId="77777777" w:rsidTr="009671E0">
        <w:trPr>
          <w:cantSplit/>
          <w:trHeight w:val="397"/>
        </w:trPr>
        <w:tc>
          <w:tcPr>
            <w:tcW w:w="365" w:type="pct"/>
          </w:tcPr>
          <w:p w14:paraId="50F993D4" w14:textId="77777777" w:rsidR="009671E0" w:rsidRPr="00C8117D" w:rsidRDefault="002078E2" w:rsidP="003F20E7">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04668146"/>
                <w14:checkbox>
                  <w14:checked w14:val="0"/>
                  <w14:checkedState w14:val="0052" w14:font="Wingdings 2"/>
                  <w14:uncheckedState w14:val="2610" w14:font="MS Gothic"/>
                </w14:checkbox>
              </w:sdtPr>
              <w:sdtEndPr/>
              <w:sdtContent>
                <w:r w:rsidR="009671E0">
                  <w:rPr>
                    <w:rFonts w:ascii="MS Gothic" w:eastAsia="MS Gothic" w:hAnsi="MS Gothic" w:cs="Arial" w:hint="eastAsia"/>
                    <w:b/>
                    <w:bCs/>
                    <w:noProof/>
                    <w:color w:val="00B050"/>
                    <w:sz w:val="48"/>
                    <w:szCs w:val="56"/>
                  </w:rPr>
                  <w:t>☐</w:t>
                </w:r>
              </w:sdtContent>
            </w:sdt>
          </w:p>
        </w:tc>
        <w:tc>
          <w:tcPr>
            <w:tcW w:w="4023" w:type="pct"/>
          </w:tcPr>
          <w:p w14:paraId="11A9125F" w14:textId="77777777" w:rsidR="009671E0" w:rsidRPr="009146AA" w:rsidRDefault="009671E0" w:rsidP="003F20E7">
            <w:pPr>
              <w:pStyle w:val="ListNumber"/>
              <w:tabs>
                <w:tab w:val="clear" w:pos="720"/>
              </w:tabs>
              <w:spacing w:before="0"/>
              <w:ind w:left="280" w:hanging="280"/>
              <w:rPr>
                <w:noProof/>
              </w:rPr>
            </w:pPr>
            <w:r>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612" w:type="pct"/>
          </w:tcPr>
          <w:p w14:paraId="1230E891" w14:textId="07B8A9AF" w:rsidR="009671E0" w:rsidRPr="002267E5" w:rsidRDefault="004C2D37" w:rsidP="009671E0">
            <w:pPr>
              <w:pStyle w:val="NoSpacing"/>
              <w:ind w:left="113"/>
            </w:pPr>
            <w:r>
              <w:t>Positive</w:t>
            </w:r>
          </w:p>
        </w:tc>
      </w:tr>
      <w:tr w:rsidR="009671E0" w:rsidRPr="002267E5" w14:paraId="1F9DC3CD" w14:textId="77777777" w:rsidTr="009671E0">
        <w:trPr>
          <w:cantSplit/>
          <w:trHeight w:val="397"/>
        </w:trPr>
        <w:tc>
          <w:tcPr>
            <w:tcW w:w="365" w:type="pct"/>
          </w:tcPr>
          <w:p w14:paraId="1079B21E" w14:textId="77777777" w:rsidR="009671E0" w:rsidRPr="00C8117D" w:rsidRDefault="002078E2" w:rsidP="003F20E7">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268390923"/>
                <w14:checkbox>
                  <w14:checked w14:val="0"/>
                  <w14:checkedState w14:val="0052" w14:font="Wingdings 2"/>
                  <w14:uncheckedState w14:val="2610" w14:font="MS Gothic"/>
                </w14:checkbox>
              </w:sdtPr>
              <w:sdtEndPr/>
              <w:sdtContent>
                <w:r w:rsidR="009671E0">
                  <w:rPr>
                    <w:rFonts w:ascii="MS Gothic" w:eastAsia="MS Gothic" w:hAnsi="MS Gothic" w:cs="Arial" w:hint="eastAsia"/>
                    <w:b/>
                    <w:bCs/>
                    <w:noProof/>
                    <w:color w:val="00B050"/>
                    <w:sz w:val="48"/>
                    <w:szCs w:val="56"/>
                  </w:rPr>
                  <w:t>☐</w:t>
                </w:r>
              </w:sdtContent>
            </w:sdt>
          </w:p>
        </w:tc>
        <w:tc>
          <w:tcPr>
            <w:tcW w:w="4023" w:type="pct"/>
          </w:tcPr>
          <w:p w14:paraId="27B2DA47" w14:textId="77777777" w:rsidR="009671E0" w:rsidRPr="009146AA" w:rsidRDefault="009671E0" w:rsidP="003F20E7">
            <w:pPr>
              <w:pStyle w:val="ListNumber"/>
              <w:tabs>
                <w:tab w:val="clear" w:pos="720"/>
              </w:tabs>
              <w:spacing w:before="0"/>
              <w:ind w:left="280" w:hanging="280"/>
              <w:rPr>
                <w:noProof/>
              </w:rPr>
            </w:pPr>
            <w:r>
              <w:rPr>
                <w:rFonts w:cs="Arial"/>
                <w:noProof/>
              </w:rPr>
              <w:t>That, so far as is consistent with Clauses 3.2.1 to 3.2.3, the Charging Methodologies, so far as is reasonably practicable, properly take account of developments in each DNO Party’s Distribution Business</w:t>
            </w:r>
          </w:p>
        </w:tc>
        <w:tc>
          <w:tcPr>
            <w:tcW w:w="612" w:type="pct"/>
          </w:tcPr>
          <w:p w14:paraId="49E2DF4F" w14:textId="52524589" w:rsidR="009671E0" w:rsidRPr="002267E5" w:rsidRDefault="004C2D37" w:rsidP="009671E0">
            <w:pPr>
              <w:pStyle w:val="NoSpacing"/>
              <w:ind w:left="113"/>
            </w:pPr>
            <w:r>
              <w:t>Positive</w:t>
            </w:r>
          </w:p>
        </w:tc>
      </w:tr>
      <w:tr w:rsidR="009671E0" w:rsidRPr="002267E5" w14:paraId="6621B2C1" w14:textId="77777777" w:rsidTr="009671E0">
        <w:trPr>
          <w:cantSplit/>
          <w:trHeight w:val="397"/>
        </w:trPr>
        <w:tc>
          <w:tcPr>
            <w:tcW w:w="365" w:type="pct"/>
          </w:tcPr>
          <w:p w14:paraId="026D4ABF" w14:textId="77777777" w:rsidR="009671E0" w:rsidRPr="00C8117D" w:rsidRDefault="002078E2" w:rsidP="003F20E7">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71927253"/>
                <w14:checkbox>
                  <w14:checked w14:val="0"/>
                  <w14:checkedState w14:val="0052" w14:font="Wingdings 2"/>
                  <w14:uncheckedState w14:val="2610" w14:font="MS Gothic"/>
                </w14:checkbox>
              </w:sdtPr>
              <w:sdtEndPr/>
              <w:sdtContent>
                <w:r w:rsidR="009671E0">
                  <w:rPr>
                    <w:rFonts w:ascii="MS Gothic" w:eastAsia="MS Gothic" w:hAnsi="MS Gothic" w:cs="Arial" w:hint="eastAsia"/>
                    <w:b/>
                    <w:bCs/>
                    <w:noProof/>
                    <w:color w:val="00B050"/>
                    <w:sz w:val="48"/>
                    <w:szCs w:val="56"/>
                  </w:rPr>
                  <w:t>☐</w:t>
                </w:r>
              </w:sdtContent>
            </w:sdt>
          </w:p>
        </w:tc>
        <w:tc>
          <w:tcPr>
            <w:tcW w:w="4023" w:type="pct"/>
          </w:tcPr>
          <w:p w14:paraId="35D92880" w14:textId="77777777" w:rsidR="009671E0" w:rsidRPr="00E46C74" w:rsidRDefault="009671E0" w:rsidP="003F20E7">
            <w:pPr>
              <w:pStyle w:val="ListNumber"/>
              <w:tabs>
                <w:tab w:val="clear" w:pos="720"/>
              </w:tabs>
              <w:spacing w:before="0"/>
              <w:ind w:left="280" w:hanging="280"/>
              <w:rPr>
                <w:noProof/>
              </w:rPr>
            </w:pPr>
            <w:r>
              <w:rPr>
                <w:color w:val="000000"/>
                <w:shd w:val="clear" w:color="auto" w:fill="FFFFFF"/>
              </w:rPr>
              <w:t>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612" w:type="pct"/>
          </w:tcPr>
          <w:p w14:paraId="27E70E70" w14:textId="26491D51" w:rsidR="009671E0" w:rsidRPr="002267E5" w:rsidRDefault="004C2D37" w:rsidP="009671E0">
            <w:pPr>
              <w:pStyle w:val="NoSpacing"/>
              <w:ind w:left="113"/>
            </w:pPr>
            <w:r>
              <w:t>Neutral</w:t>
            </w:r>
          </w:p>
        </w:tc>
      </w:tr>
      <w:tr w:rsidR="009671E0" w:rsidRPr="002267E5" w14:paraId="1A16CE31" w14:textId="77777777" w:rsidTr="009671E0">
        <w:trPr>
          <w:cantSplit/>
          <w:trHeight w:val="397"/>
        </w:trPr>
        <w:tc>
          <w:tcPr>
            <w:tcW w:w="365" w:type="pct"/>
          </w:tcPr>
          <w:p w14:paraId="35D38EAD" w14:textId="77777777" w:rsidR="009671E0" w:rsidRPr="00C8117D" w:rsidRDefault="002078E2" w:rsidP="003F20E7">
            <w:pPr>
              <w:pStyle w:val="BodyText"/>
              <w:spacing w:before="0"/>
              <w:jc w:val="center"/>
              <w:rPr>
                <w:rFonts w:ascii="Arial Black" w:hAnsi="Arial Black" w:cs="Arial"/>
                <w:noProof/>
                <w:sz w:val="48"/>
                <w:szCs w:val="56"/>
                <w:lang w:val="en-US" w:eastAsia="en-US"/>
              </w:rPr>
            </w:pPr>
            <w:sdt>
              <w:sdtPr>
                <w:rPr>
                  <w:rFonts w:ascii="Arial Black" w:hAnsi="Arial Black" w:cs="Arial"/>
                  <w:b/>
                  <w:bCs/>
                  <w:noProof/>
                  <w:color w:val="00B050"/>
                  <w:sz w:val="48"/>
                  <w:szCs w:val="56"/>
                </w:rPr>
                <w:id w:val="-370603705"/>
                <w14:checkbox>
                  <w14:checked w14:val="0"/>
                  <w14:checkedState w14:val="0052" w14:font="Wingdings 2"/>
                  <w14:uncheckedState w14:val="2610" w14:font="MS Gothic"/>
                </w14:checkbox>
              </w:sdtPr>
              <w:sdtEndPr/>
              <w:sdtContent>
                <w:r w:rsidR="009671E0">
                  <w:rPr>
                    <w:rFonts w:ascii="MS Gothic" w:eastAsia="MS Gothic" w:hAnsi="MS Gothic" w:cs="Arial" w:hint="eastAsia"/>
                    <w:b/>
                    <w:bCs/>
                    <w:noProof/>
                    <w:color w:val="00B050"/>
                    <w:sz w:val="48"/>
                    <w:szCs w:val="56"/>
                  </w:rPr>
                  <w:t>☐</w:t>
                </w:r>
              </w:sdtContent>
            </w:sdt>
          </w:p>
        </w:tc>
        <w:tc>
          <w:tcPr>
            <w:tcW w:w="4023" w:type="pct"/>
          </w:tcPr>
          <w:p w14:paraId="1015404B" w14:textId="77777777" w:rsidR="009671E0" w:rsidRPr="00E46C74" w:rsidRDefault="009671E0" w:rsidP="003F20E7">
            <w:pPr>
              <w:pStyle w:val="ListNumber"/>
              <w:tabs>
                <w:tab w:val="clear" w:pos="720"/>
              </w:tabs>
              <w:spacing w:before="0"/>
              <w:ind w:left="280" w:hanging="280"/>
              <w:rPr>
                <w:noProof/>
              </w:rPr>
            </w:pPr>
            <w:r>
              <w:rPr>
                <w:rFonts w:cs="Arial"/>
                <w:noProof/>
              </w:rPr>
              <w:t>That compliance with the Charging Methodologies promotes efficiency in its own implementation and administration.</w:t>
            </w:r>
          </w:p>
        </w:tc>
        <w:tc>
          <w:tcPr>
            <w:tcW w:w="612" w:type="pct"/>
          </w:tcPr>
          <w:p w14:paraId="11197E81" w14:textId="38760A9E" w:rsidR="009671E0" w:rsidRPr="002267E5" w:rsidRDefault="004C2D37" w:rsidP="009671E0">
            <w:pPr>
              <w:pStyle w:val="NoSpacing"/>
              <w:ind w:left="113"/>
            </w:pPr>
            <w:r>
              <w:t>Neutral</w:t>
            </w:r>
          </w:p>
        </w:tc>
      </w:tr>
    </w:tbl>
    <w:p w14:paraId="40970C5B" w14:textId="2B448214" w:rsidR="004C2D37" w:rsidRDefault="004C2D37" w:rsidP="002D1E91">
      <w:pPr>
        <w:pStyle w:val="ListParagraph"/>
        <w:numPr>
          <w:ilvl w:val="1"/>
          <w:numId w:val="14"/>
        </w:numPr>
        <w:spacing w:line="360" w:lineRule="auto"/>
        <w:ind w:hanging="860"/>
        <w:jc w:val="both"/>
      </w:pPr>
      <w:commentRangeStart w:id="21"/>
      <w:r>
        <w:t>The</w:t>
      </w:r>
      <w:commentRangeEnd w:id="21"/>
      <w:r w:rsidR="002D1E91">
        <w:rPr>
          <w:rStyle w:val="CommentReference"/>
        </w:rPr>
        <w:commentReference w:id="21"/>
      </w:r>
      <w:r>
        <w:t xml:space="preserve"> Working Group believe that this change proposal will better </w:t>
      </w:r>
      <w:proofErr w:type="spellStart"/>
      <w:r w:rsidR="002D1E91">
        <w:t>faciliate</w:t>
      </w:r>
      <w:proofErr w:type="spellEnd"/>
      <w:r>
        <w:t xml:space="preserve"> charging objectives 1, 2, 3 and 4 by producing </w:t>
      </w:r>
      <w:proofErr w:type="spellStart"/>
      <w:r>
        <w:t>DUoS</w:t>
      </w:r>
      <w:proofErr w:type="spellEnd"/>
      <w:r>
        <w:t xml:space="preserve"> charges that are more cost reflective and avoid charging the residual element of the fixed charge twice to sites for the same capacity. </w:t>
      </w:r>
    </w:p>
    <w:p w14:paraId="32D430BA" w14:textId="3BC211C7" w:rsidR="004C2D37" w:rsidRDefault="004C2D37" w:rsidP="002D1E91">
      <w:pPr>
        <w:pStyle w:val="ListParagraph"/>
        <w:numPr>
          <w:ilvl w:val="1"/>
          <w:numId w:val="14"/>
        </w:numPr>
        <w:spacing w:line="360" w:lineRule="auto"/>
        <w:ind w:hanging="860"/>
        <w:jc w:val="both"/>
      </w:pPr>
      <w:r>
        <w:t>This is in line with the Ofgem TCR decision and therefore facilitates the discharge by the DNO Party of the obligations imposed on it under the Act and by its Distribution Licence (objective 1) and properly take account of developments in each DNO Party’s Distribution Business (objective 4).</w:t>
      </w:r>
    </w:p>
    <w:p w14:paraId="1F30E2A6" w14:textId="51EA05B7" w:rsidR="004C2D37" w:rsidRPr="00002699" w:rsidRDefault="004C2D37" w:rsidP="002D1E91">
      <w:pPr>
        <w:pStyle w:val="ListParagraph"/>
        <w:numPr>
          <w:ilvl w:val="1"/>
          <w:numId w:val="14"/>
        </w:numPr>
        <w:spacing w:line="360" w:lineRule="auto"/>
        <w:ind w:hanging="860"/>
        <w:jc w:val="both"/>
      </w:pPr>
      <w:r>
        <w:t xml:space="preserve">The charges will be more cost reflective as a result of this change (objective 3) which will facilitate competition in the generation and supply of electricity and will not restrict, distort, or prevent competition in the transmission or distribution of electricity (objective </w:t>
      </w:r>
      <w:r w:rsidR="002D1E91">
        <w:t>2</w:t>
      </w:r>
      <w:r>
        <w:t>).</w:t>
      </w:r>
    </w:p>
    <w:p w14:paraId="6DAC2B49" w14:textId="49A764FE" w:rsidR="00574742" w:rsidRPr="00EB32BB" w:rsidRDefault="00574742" w:rsidP="006D62F9">
      <w:pPr>
        <w:pStyle w:val="Heading03"/>
        <w:rPr>
          <w:noProof/>
        </w:rPr>
      </w:pPr>
      <w:bookmarkStart w:id="22" w:name="_Toc113465296"/>
      <w:r w:rsidRPr="00EB32BB">
        <w:rPr>
          <w:noProof/>
        </w:rPr>
        <w:t xml:space="preserve">Impacts </w:t>
      </w:r>
      <w:r>
        <w:rPr>
          <w:noProof/>
        </w:rPr>
        <w:t>&amp; Other Considerations</w:t>
      </w:r>
      <w:bookmarkEnd w:id="22"/>
    </w:p>
    <w:p w14:paraId="01057A85" w14:textId="77777777" w:rsidR="00C479AA" w:rsidRPr="004155E5" w:rsidRDefault="00C479AA" w:rsidP="00C479AA">
      <w:pPr>
        <w:pStyle w:val="Heading4"/>
        <w:keepNext w:val="0"/>
        <w:rPr>
          <w:i/>
          <w:iCs/>
        </w:rPr>
      </w:pPr>
      <w:bookmarkStart w:id="23" w:name="_Toc318967201"/>
      <w:r w:rsidRPr="004155E5">
        <w:t>Who (i.e., which Industry roles) are impacted?</w:t>
      </w:r>
    </w:p>
    <w:p w14:paraId="4A3A027A" w14:textId="06E46482" w:rsidR="00C479AA" w:rsidRPr="00293C2D" w:rsidRDefault="00A847CD" w:rsidP="002D1E91">
      <w:pPr>
        <w:pStyle w:val="ListParagraph"/>
        <w:numPr>
          <w:ilvl w:val="1"/>
          <w:numId w:val="14"/>
        </w:numPr>
        <w:spacing w:line="360" w:lineRule="auto"/>
        <w:ind w:hanging="860"/>
        <w:jc w:val="both"/>
      </w:pPr>
      <w:r w:rsidRPr="00293C2D">
        <w:t>N</w:t>
      </w:r>
      <w:r w:rsidR="00293C2D">
        <w:t xml:space="preserve">/a. </w:t>
      </w:r>
    </w:p>
    <w:p w14:paraId="2B348EE4" w14:textId="77777777" w:rsidR="00C479AA" w:rsidRPr="004155E5" w:rsidRDefault="00C479AA" w:rsidP="00C479AA">
      <w:pPr>
        <w:pStyle w:val="Heading4"/>
        <w:keepNext w:val="0"/>
        <w:rPr>
          <w:i/>
          <w:iCs/>
        </w:rPr>
      </w:pPr>
      <w:r w:rsidRPr="004155E5">
        <w:t>Does this Change Proposal impact Other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903"/>
      </w:tblGrid>
      <w:tr w:rsidR="00C479AA" w:rsidRPr="004155E5" w14:paraId="3CA978A7" w14:textId="77777777" w:rsidTr="007806BA">
        <w:trPr>
          <w:trHeight w:val="258"/>
        </w:trPr>
        <w:tc>
          <w:tcPr>
            <w:tcW w:w="1466" w:type="dxa"/>
            <w:tcBorders>
              <w:top w:val="nil"/>
              <w:left w:val="nil"/>
              <w:bottom w:val="nil"/>
              <w:right w:val="nil"/>
            </w:tcBorders>
          </w:tcPr>
          <w:p w14:paraId="1A5A94FA" w14:textId="77777777" w:rsidR="00C479AA" w:rsidRPr="004155E5" w:rsidRDefault="00C479AA" w:rsidP="007806BA">
            <w:pPr>
              <w:spacing w:line="240" w:lineRule="auto"/>
              <w:rPr>
                <w:rFonts w:cs="Arial"/>
                <w:noProof/>
                <w:szCs w:val="20"/>
              </w:rPr>
            </w:pPr>
            <w:r w:rsidRPr="004155E5">
              <w:rPr>
                <w:rFonts w:cs="Arial"/>
                <w:noProof/>
                <w:szCs w:val="20"/>
              </w:rPr>
              <w:t xml:space="preserve">BSC              </w:t>
            </w:r>
          </w:p>
          <w:p w14:paraId="2011EDA0" w14:textId="77777777" w:rsidR="00C479AA" w:rsidRPr="004155E5" w:rsidRDefault="00C479AA" w:rsidP="007806BA">
            <w:pPr>
              <w:spacing w:line="240" w:lineRule="auto"/>
              <w:rPr>
                <w:rFonts w:cs="Arial"/>
                <w:noProof/>
                <w:szCs w:val="20"/>
              </w:rPr>
            </w:pPr>
            <w:r w:rsidRPr="004155E5">
              <w:rPr>
                <w:rFonts w:cs="Arial"/>
                <w:noProof/>
                <w:szCs w:val="20"/>
              </w:rPr>
              <w:t xml:space="preserve">CUSC            </w:t>
            </w:r>
          </w:p>
          <w:p w14:paraId="6AD5CC71" w14:textId="77777777" w:rsidR="00C479AA" w:rsidRPr="004155E5" w:rsidRDefault="00C479AA" w:rsidP="007806BA">
            <w:pPr>
              <w:spacing w:line="240" w:lineRule="auto"/>
              <w:rPr>
                <w:rFonts w:cs="Arial"/>
                <w:noProof/>
                <w:szCs w:val="20"/>
              </w:rPr>
            </w:pPr>
            <w:r w:rsidRPr="004155E5">
              <w:rPr>
                <w:rFonts w:cs="Arial"/>
                <w:noProof/>
                <w:szCs w:val="20"/>
              </w:rPr>
              <w:t xml:space="preserve">Grid Code      </w:t>
            </w:r>
          </w:p>
          <w:p w14:paraId="27110988" w14:textId="77777777" w:rsidR="00C479AA" w:rsidRPr="004155E5" w:rsidRDefault="00C479AA" w:rsidP="007806BA">
            <w:pPr>
              <w:spacing w:line="240" w:lineRule="auto"/>
              <w:rPr>
                <w:rFonts w:cs="Arial"/>
                <w:noProof/>
                <w:szCs w:val="20"/>
              </w:rPr>
            </w:pPr>
            <w:r w:rsidRPr="004155E5">
              <w:rPr>
                <w:rFonts w:cs="Arial"/>
                <w:noProof/>
                <w:szCs w:val="20"/>
              </w:rPr>
              <w:t xml:space="preserve">MRA              </w:t>
            </w:r>
          </w:p>
          <w:p w14:paraId="53A77142" w14:textId="77777777" w:rsidR="00C479AA" w:rsidRPr="004155E5" w:rsidRDefault="00C479AA" w:rsidP="007806BA">
            <w:pPr>
              <w:spacing w:line="240" w:lineRule="auto"/>
              <w:rPr>
                <w:rFonts w:cs="Arial"/>
                <w:noProof/>
                <w:szCs w:val="20"/>
              </w:rPr>
            </w:pPr>
            <w:r w:rsidRPr="004155E5">
              <w:rPr>
                <w:rFonts w:cs="Arial"/>
                <w:noProof/>
                <w:szCs w:val="20"/>
              </w:rPr>
              <w:t>SEC</w:t>
            </w:r>
          </w:p>
          <w:p w14:paraId="59B0DC6C" w14:textId="77777777" w:rsidR="00C479AA" w:rsidRPr="004155E5" w:rsidRDefault="00C479AA" w:rsidP="007806BA">
            <w:pPr>
              <w:spacing w:line="240" w:lineRule="auto"/>
              <w:rPr>
                <w:rFonts w:cs="Arial"/>
                <w:noProof/>
                <w:szCs w:val="20"/>
              </w:rPr>
            </w:pPr>
            <w:r w:rsidRPr="004155E5">
              <w:rPr>
                <w:rFonts w:cs="Arial"/>
                <w:noProof/>
                <w:szCs w:val="20"/>
              </w:rPr>
              <w:t xml:space="preserve">Other          </w:t>
            </w:r>
          </w:p>
          <w:p w14:paraId="71050734" w14:textId="77777777" w:rsidR="00C479AA" w:rsidRPr="004155E5" w:rsidRDefault="00C479AA" w:rsidP="007806BA">
            <w:pPr>
              <w:spacing w:line="240" w:lineRule="auto"/>
              <w:rPr>
                <w:rFonts w:cs="Arial"/>
                <w:noProof/>
                <w:szCs w:val="20"/>
              </w:rPr>
            </w:pPr>
            <w:r w:rsidRPr="004155E5">
              <w:rPr>
                <w:rFonts w:cs="Arial"/>
                <w:noProof/>
                <w:szCs w:val="20"/>
              </w:rPr>
              <w:t>None</w:t>
            </w:r>
          </w:p>
        </w:tc>
        <w:tc>
          <w:tcPr>
            <w:tcW w:w="1903" w:type="dxa"/>
            <w:tcBorders>
              <w:top w:val="nil"/>
              <w:left w:val="nil"/>
              <w:bottom w:val="nil"/>
              <w:right w:val="nil"/>
            </w:tcBorders>
          </w:tcPr>
          <w:p w14:paraId="68F24C46" w14:textId="77777777" w:rsidR="00C479AA" w:rsidRPr="004155E5" w:rsidRDefault="00C479AA" w:rsidP="007806BA">
            <w:pPr>
              <w:spacing w:line="240" w:lineRule="auto"/>
              <w:rPr>
                <w:rFonts w:cs="Arial"/>
                <w:noProof/>
                <w:szCs w:val="20"/>
              </w:rPr>
            </w:pPr>
            <w:r w:rsidRPr="004155E5">
              <w:rPr>
                <w:rFonts w:cs="Arial"/>
                <w:noProof/>
                <w:szCs w:val="20"/>
              </w:rPr>
              <w:fldChar w:fldCharType="begin">
                <w:ffData>
                  <w:name w:val="Check9"/>
                  <w:enabled/>
                  <w:calcOnExit w:val="0"/>
                  <w:checkBox>
                    <w:sizeAuto/>
                    <w:default w:val="0"/>
                  </w:checkBox>
                </w:ffData>
              </w:fldChar>
            </w:r>
            <w:bookmarkStart w:id="24" w:name="Check9"/>
            <w:r w:rsidRPr="004155E5">
              <w:rPr>
                <w:rFonts w:cs="Arial"/>
                <w:noProof/>
                <w:szCs w:val="20"/>
              </w:rPr>
              <w:instrText xml:space="preserve"> FORMCHECKBOX </w:instrText>
            </w:r>
            <w:r w:rsidR="002078E2">
              <w:rPr>
                <w:rFonts w:cs="Arial"/>
                <w:noProof/>
                <w:szCs w:val="20"/>
              </w:rPr>
            </w:r>
            <w:r w:rsidR="002078E2">
              <w:rPr>
                <w:rFonts w:cs="Arial"/>
                <w:noProof/>
                <w:szCs w:val="20"/>
              </w:rPr>
              <w:fldChar w:fldCharType="separate"/>
            </w:r>
            <w:r w:rsidRPr="004155E5">
              <w:rPr>
                <w:rFonts w:cs="Arial"/>
                <w:noProof/>
                <w:szCs w:val="20"/>
              </w:rPr>
              <w:fldChar w:fldCharType="end"/>
            </w:r>
            <w:bookmarkEnd w:id="24"/>
          </w:p>
          <w:p w14:paraId="32651955" w14:textId="730AE9BE" w:rsidR="00C479AA" w:rsidRPr="004155E5" w:rsidRDefault="00DC6125" w:rsidP="007806BA">
            <w:pPr>
              <w:spacing w:line="240" w:lineRule="auto"/>
              <w:rPr>
                <w:rFonts w:cs="Arial"/>
                <w:noProof/>
                <w:szCs w:val="20"/>
              </w:rPr>
            </w:pPr>
            <w:r>
              <w:rPr>
                <w:rFonts w:cs="Arial"/>
                <w:noProof/>
                <w:szCs w:val="20"/>
              </w:rPr>
              <w:fldChar w:fldCharType="begin">
                <w:ffData>
                  <w:name w:val=""/>
                  <w:enabled w:val="0"/>
                  <w:calcOnExit w:val="0"/>
                  <w:checkBox>
                    <w:sizeAuto/>
                    <w:default w:val="0"/>
                  </w:checkBox>
                </w:ffData>
              </w:fldChar>
            </w:r>
            <w:r>
              <w:rPr>
                <w:rFonts w:cs="Arial"/>
                <w:noProof/>
                <w:szCs w:val="20"/>
              </w:rPr>
              <w:instrText xml:space="preserve"> FORMCHECKBOX </w:instrText>
            </w:r>
            <w:r w:rsidR="002078E2">
              <w:rPr>
                <w:rFonts w:cs="Arial"/>
                <w:noProof/>
                <w:szCs w:val="20"/>
              </w:rPr>
            </w:r>
            <w:r w:rsidR="002078E2">
              <w:rPr>
                <w:rFonts w:cs="Arial"/>
                <w:noProof/>
                <w:szCs w:val="20"/>
              </w:rPr>
              <w:fldChar w:fldCharType="separate"/>
            </w:r>
            <w:r>
              <w:rPr>
                <w:rFonts w:cs="Arial"/>
                <w:noProof/>
                <w:szCs w:val="20"/>
              </w:rPr>
              <w:fldChar w:fldCharType="end"/>
            </w:r>
          </w:p>
          <w:p w14:paraId="6B89AE0A" w14:textId="77777777" w:rsidR="00C479AA" w:rsidRPr="004155E5" w:rsidRDefault="00C479AA" w:rsidP="007806BA">
            <w:pPr>
              <w:spacing w:line="240" w:lineRule="auto"/>
              <w:rPr>
                <w:rFonts w:cs="Arial"/>
                <w:noProof/>
                <w:szCs w:val="20"/>
              </w:rPr>
            </w:pPr>
            <w:r w:rsidRPr="004155E5">
              <w:rPr>
                <w:rFonts w:cs="Arial"/>
                <w:noProof/>
                <w:szCs w:val="20"/>
              </w:rPr>
              <w:fldChar w:fldCharType="begin">
                <w:ffData>
                  <w:name w:val="Check11"/>
                  <w:enabled/>
                  <w:calcOnExit w:val="0"/>
                  <w:checkBox>
                    <w:sizeAuto/>
                    <w:default w:val="0"/>
                  </w:checkBox>
                </w:ffData>
              </w:fldChar>
            </w:r>
            <w:bookmarkStart w:id="25" w:name="Check11"/>
            <w:r w:rsidRPr="004155E5">
              <w:rPr>
                <w:rFonts w:cs="Arial"/>
                <w:noProof/>
                <w:szCs w:val="20"/>
              </w:rPr>
              <w:instrText xml:space="preserve"> FORMCHECKBOX </w:instrText>
            </w:r>
            <w:r w:rsidR="002078E2">
              <w:rPr>
                <w:rFonts w:cs="Arial"/>
                <w:noProof/>
                <w:szCs w:val="20"/>
              </w:rPr>
            </w:r>
            <w:r w:rsidR="002078E2">
              <w:rPr>
                <w:rFonts w:cs="Arial"/>
                <w:noProof/>
                <w:szCs w:val="20"/>
              </w:rPr>
              <w:fldChar w:fldCharType="separate"/>
            </w:r>
            <w:r w:rsidRPr="004155E5">
              <w:rPr>
                <w:rFonts w:cs="Arial"/>
                <w:noProof/>
                <w:szCs w:val="20"/>
              </w:rPr>
              <w:fldChar w:fldCharType="end"/>
            </w:r>
            <w:bookmarkEnd w:id="25"/>
          </w:p>
          <w:p w14:paraId="1BE69F82" w14:textId="77777777" w:rsidR="00C479AA" w:rsidRPr="004155E5" w:rsidRDefault="00C479AA" w:rsidP="007806BA">
            <w:pPr>
              <w:spacing w:line="240" w:lineRule="auto"/>
              <w:rPr>
                <w:rFonts w:cs="Arial"/>
                <w:noProof/>
                <w:szCs w:val="20"/>
              </w:rPr>
            </w:pPr>
            <w:r w:rsidRPr="004155E5">
              <w:rPr>
                <w:rFonts w:cs="Arial"/>
                <w:noProof/>
                <w:szCs w:val="20"/>
              </w:rPr>
              <w:fldChar w:fldCharType="begin">
                <w:ffData>
                  <w:name w:val="Check12"/>
                  <w:enabled/>
                  <w:calcOnExit w:val="0"/>
                  <w:checkBox>
                    <w:sizeAuto/>
                    <w:default w:val="0"/>
                  </w:checkBox>
                </w:ffData>
              </w:fldChar>
            </w:r>
            <w:bookmarkStart w:id="26" w:name="Check12"/>
            <w:r w:rsidRPr="004155E5">
              <w:rPr>
                <w:rFonts w:cs="Arial"/>
                <w:noProof/>
                <w:szCs w:val="20"/>
              </w:rPr>
              <w:instrText xml:space="preserve"> FORMCHECKBOX </w:instrText>
            </w:r>
            <w:r w:rsidR="002078E2">
              <w:rPr>
                <w:rFonts w:cs="Arial"/>
                <w:noProof/>
                <w:szCs w:val="20"/>
              </w:rPr>
            </w:r>
            <w:r w:rsidR="002078E2">
              <w:rPr>
                <w:rFonts w:cs="Arial"/>
                <w:noProof/>
                <w:szCs w:val="20"/>
              </w:rPr>
              <w:fldChar w:fldCharType="separate"/>
            </w:r>
            <w:r w:rsidRPr="004155E5">
              <w:rPr>
                <w:rFonts w:cs="Arial"/>
                <w:noProof/>
                <w:szCs w:val="20"/>
              </w:rPr>
              <w:fldChar w:fldCharType="end"/>
            </w:r>
            <w:bookmarkEnd w:id="26"/>
          </w:p>
          <w:p w14:paraId="79820B06" w14:textId="77777777" w:rsidR="00C479AA" w:rsidRPr="004155E5" w:rsidRDefault="00C479AA" w:rsidP="007806BA">
            <w:pPr>
              <w:spacing w:line="240" w:lineRule="auto"/>
              <w:rPr>
                <w:rFonts w:cs="Arial"/>
                <w:noProof/>
                <w:szCs w:val="20"/>
              </w:rPr>
            </w:pPr>
            <w:r w:rsidRPr="004155E5">
              <w:rPr>
                <w:rFonts w:cs="Arial"/>
                <w:noProof/>
                <w:szCs w:val="20"/>
              </w:rPr>
              <w:fldChar w:fldCharType="begin">
                <w:ffData>
                  <w:name w:val="Check12"/>
                  <w:enabled/>
                  <w:calcOnExit w:val="0"/>
                  <w:checkBox>
                    <w:sizeAuto/>
                    <w:default w:val="0"/>
                  </w:checkBox>
                </w:ffData>
              </w:fldChar>
            </w:r>
            <w:r w:rsidRPr="004155E5">
              <w:rPr>
                <w:rFonts w:cs="Arial"/>
                <w:noProof/>
                <w:szCs w:val="20"/>
              </w:rPr>
              <w:instrText xml:space="preserve"> FORMCHECKBOX </w:instrText>
            </w:r>
            <w:r w:rsidR="002078E2">
              <w:rPr>
                <w:rFonts w:cs="Arial"/>
                <w:noProof/>
                <w:szCs w:val="20"/>
              </w:rPr>
            </w:r>
            <w:r w:rsidR="002078E2">
              <w:rPr>
                <w:rFonts w:cs="Arial"/>
                <w:noProof/>
                <w:szCs w:val="20"/>
              </w:rPr>
              <w:fldChar w:fldCharType="separate"/>
            </w:r>
            <w:r w:rsidRPr="004155E5">
              <w:rPr>
                <w:rFonts w:cs="Arial"/>
                <w:noProof/>
                <w:szCs w:val="20"/>
              </w:rPr>
              <w:fldChar w:fldCharType="end"/>
            </w:r>
          </w:p>
          <w:p w14:paraId="0CEDEC5B" w14:textId="77777777" w:rsidR="00C479AA" w:rsidRPr="004155E5" w:rsidRDefault="00C479AA" w:rsidP="007806BA">
            <w:pPr>
              <w:spacing w:line="240" w:lineRule="auto"/>
              <w:rPr>
                <w:rFonts w:cs="Arial"/>
                <w:noProof/>
                <w:szCs w:val="20"/>
              </w:rPr>
            </w:pPr>
            <w:r w:rsidRPr="004155E5">
              <w:rPr>
                <w:rFonts w:cs="Arial"/>
                <w:noProof/>
                <w:szCs w:val="20"/>
              </w:rPr>
              <w:fldChar w:fldCharType="begin">
                <w:ffData>
                  <w:name w:val="Check13"/>
                  <w:enabled/>
                  <w:calcOnExit w:val="0"/>
                  <w:checkBox>
                    <w:sizeAuto/>
                    <w:default w:val="0"/>
                  </w:checkBox>
                </w:ffData>
              </w:fldChar>
            </w:r>
            <w:bookmarkStart w:id="27" w:name="Check13"/>
            <w:r w:rsidRPr="004155E5">
              <w:rPr>
                <w:rFonts w:cs="Arial"/>
                <w:noProof/>
                <w:szCs w:val="20"/>
              </w:rPr>
              <w:instrText xml:space="preserve"> FORMCHECKBOX </w:instrText>
            </w:r>
            <w:r w:rsidR="002078E2">
              <w:rPr>
                <w:rFonts w:cs="Arial"/>
                <w:noProof/>
                <w:szCs w:val="20"/>
              </w:rPr>
            </w:r>
            <w:r w:rsidR="002078E2">
              <w:rPr>
                <w:rFonts w:cs="Arial"/>
                <w:noProof/>
                <w:szCs w:val="20"/>
              </w:rPr>
              <w:fldChar w:fldCharType="separate"/>
            </w:r>
            <w:r w:rsidRPr="004155E5">
              <w:rPr>
                <w:rFonts w:cs="Arial"/>
                <w:noProof/>
                <w:szCs w:val="20"/>
              </w:rPr>
              <w:fldChar w:fldCharType="end"/>
            </w:r>
            <w:bookmarkEnd w:id="27"/>
          </w:p>
          <w:p w14:paraId="1E910640" w14:textId="1B43A304" w:rsidR="00C479AA" w:rsidRPr="004155E5" w:rsidRDefault="00194176" w:rsidP="007806BA">
            <w:pPr>
              <w:spacing w:line="240" w:lineRule="auto"/>
              <w:rPr>
                <w:rFonts w:cs="Arial"/>
                <w:noProof/>
                <w:szCs w:val="20"/>
              </w:rPr>
            </w:pPr>
            <w:r>
              <w:rPr>
                <w:rFonts w:cs="Arial"/>
                <w:noProof/>
                <w:szCs w:val="20"/>
              </w:rPr>
              <w:fldChar w:fldCharType="begin">
                <w:ffData>
                  <w:name w:val="Check14"/>
                  <w:enabled/>
                  <w:calcOnExit w:val="0"/>
                  <w:checkBox>
                    <w:sizeAuto/>
                    <w:default w:val="1"/>
                  </w:checkBox>
                </w:ffData>
              </w:fldChar>
            </w:r>
            <w:bookmarkStart w:id="28" w:name="Check14"/>
            <w:r>
              <w:rPr>
                <w:rFonts w:cs="Arial"/>
                <w:noProof/>
                <w:szCs w:val="20"/>
              </w:rPr>
              <w:instrText xml:space="preserve"> FORMCHECKBOX </w:instrText>
            </w:r>
            <w:r w:rsidR="002078E2">
              <w:rPr>
                <w:rFonts w:cs="Arial"/>
                <w:noProof/>
                <w:szCs w:val="20"/>
              </w:rPr>
            </w:r>
            <w:r w:rsidR="002078E2">
              <w:rPr>
                <w:rFonts w:cs="Arial"/>
                <w:noProof/>
                <w:szCs w:val="20"/>
              </w:rPr>
              <w:fldChar w:fldCharType="separate"/>
            </w:r>
            <w:r>
              <w:rPr>
                <w:rFonts w:cs="Arial"/>
                <w:noProof/>
                <w:szCs w:val="20"/>
              </w:rPr>
              <w:fldChar w:fldCharType="end"/>
            </w:r>
            <w:bookmarkEnd w:id="28"/>
          </w:p>
        </w:tc>
      </w:tr>
    </w:tbl>
    <w:p w14:paraId="6E2EEB2B" w14:textId="3EF16CB0" w:rsidR="00C479AA" w:rsidRPr="004155E5" w:rsidRDefault="00C479AA" w:rsidP="00C479AA">
      <w:pPr>
        <w:pStyle w:val="Heading4"/>
        <w:keepNext w:val="0"/>
        <w:rPr>
          <w:i/>
          <w:iCs/>
        </w:rPr>
      </w:pPr>
      <w:r w:rsidRPr="004155E5">
        <w:t>Consideration of Wider Industry Impacts?</w:t>
      </w:r>
    </w:p>
    <w:p w14:paraId="66C50437" w14:textId="1341DE2A" w:rsidR="00C479AA" w:rsidRPr="00293C2D" w:rsidRDefault="00942D68" w:rsidP="002D1E91">
      <w:pPr>
        <w:pStyle w:val="ListParagraph"/>
        <w:numPr>
          <w:ilvl w:val="1"/>
          <w:numId w:val="14"/>
        </w:numPr>
        <w:spacing w:line="360" w:lineRule="auto"/>
        <w:ind w:hanging="860"/>
        <w:jc w:val="both"/>
      </w:pPr>
      <w:r w:rsidRPr="00293C2D">
        <w:t xml:space="preserve">The Working Group did not identify any additional wider industry impacts other than those already highlighted in other areas of the Change Report. </w:t>
      </w:r>
    </w:p>
    <w:p w14:paraId="2F3FAEBD" w14:textId="03C393B3" w:rsidR="00450385" w:rsidRPr="00EB32BB" w:rsidRDefault="00C31A20" w:rsidP="006D62F9">
      <w:pPr>
        <w:pStyle w:val="Heading03"/>
        <w:rPr>
          <w:noProof/>
        </w:rPr>
      </w:pPr>
      <w:bookmarkStart w:id="29" w:name="_Toc113465297"/>
      <w:r w:rsidRPr="00EB32BB">
        <w:rPr>
          <w:noProof/>
        </w:rPr>
        <w:t>Imple</w:t>
      </w:r>
      <w:r w:rsidR="00461C2F" w:rsidRPr="00EB32BB">
        <w:rPr>
          <w:noProof/>
        </w:rPr>
        <w:t>me</w:t>
      </w:r>
      <w:r w:rsidRPr="00EB32BB">
        <w:rPr>
          <w:noProof/>
        </w:rPr>
        <w:t>ntation</w:t>
      </w:r>
      <w:bookmarkEnd w:id="23"/>
      <w:bookmarkEnd w:id="29"/>
    </w:p>
    <w:p w14:paraId="55D8FE8F" w14:textId="77777777" w:rsidR="00B133D9" w:rsidRPr="002A36B9" w:rsidRDefault="00453452" w:rsidP="002D1E91">
      <w:pPr>
        <w:pStyle w:val="ListParagraph"/>
        <w:numPr>
          <w:ilvl w:val="1"/>
          <w:numId w:val="14"/>
        </w:numPr>
        <w:spacing w:line="360" w:lineRule="auto"/>
        <w:ind w:hanging="860"/>
        <w:jc w:val="both"/>
        <w:rPr>
          <w:rFonts w:cs="Arial"/>
          <w:szCs w:val="20"/>
        </w:rPr>
      </w:pPr>
      <w:r w:rsidRPr="002A36B9">
        <w:rPr>
          <w:rFonts w:cs="Arial"/>
          <w:szCs w:val="20"/>
        </w:rPr>
        <w:t xml:space="preserve">The </w:t>
      </w:r>
      <w:r w:rsidR="007B7733" w:rsidRPr="002A36B9">
        <w:rPr>
          <w:rFonts w:cs="Arial"/>
          <w:szCs w:val="20"/>
        </w:rPr>
        <w:t xml:space="preserve">Working Group considered various responses from Parties. These were </w:t>
      </w:r>
      <w:r w:rsidR="00B133D9" w:rsidRPr="002A36B9">
        <w:rPr>
          <w:rFonts w:cs="Arial"/>
          <w:szCs w:val="20"/>
        </w:rPr>
        <w:t>to:</w:t>
      </w:r>
    </w:p>
    <w:p w14:paraId="7060D467" w14:textId="77777777" w:rsidR="00BF5223" w:rsidRPr="002A36B9" w:rsidRDefault="00B133D9" w:rsidP="002D1E91">
      <w:pPr>
        <w:pStyle w:val="ListBullet2"/>
        <w:tabs>
          <w:tab w:val="clear" w:pos="284"/>
        </w:tabs>
        <w:ind w:left="1985" w:hanging="851"/>
        <w:rPr>
          <w:rFonts w:cs="Arial"/>
          <w:szCs w:val="20"/>
        </w:rPr>
      </w:pPr>
      <w:r w:rsidRPr="002A36B9">
        <w:rPr>
          <w:rFonts w:cs="Arial"/>
          <w:bCs/>
          <w:szCs w:val="20"/>
        </w:rPr>
        <w:t xml:space="preserve">backdate the change to April 22, </w:t>
      </w:r>
    </w:p>
    <w:p w14:paraId="39CD7EB6" w14:textId="77777777" w:rsidR="00BF5223" w:rsidRPr="002A36B9" w:rsidRDefault="00B133D9" w:rsidP="002D1E91">
      <w:pPr>
        <w:pStyle w:val="ListBullet2"/>
        <w:tabs>
          <w:tab w:val="clear" w:pos="284"/>
        </w:tabs>
        <w:ind w:left="1985" w:hanging="851"/>
        <w:rPr>
          <w:rFonts w:cs="Arial"/>
          <w:szCs w:val="20"/>
        </w:rPr>
      </w:pPr>
      <w:r w:rsidRPr="002A36B9">
        <w:rPr>
          <w:rFonts w:cs="Arial"/>
          <w:bCs/>
          <w:szCs w:val="20"/>
        </w:rPr>
        <w:lastRenderedPageBreak/>
        <w:t>the next is to implement April 23 and</w:t>
      </w:r>
    </w:p>
    <w:p w14:paraId="19EF5E07" w14:textId="028EF853" w:rsidR="00BF5223" w:rsidRPr="002A36B9" w:rsidRDefault="00BF5223" w:rsidP="002A36B9">
      <w:pPr>
        <w:pStyle w:val="ListBullet2"/>
        <w:tabs>
          <w:tab w:val="clear" w:pos="284"/>
        </w:tabs>
        <w:spacing w:line="360" w:lineRule="auto"/>
        <w:ind w:left="1985" w:hanging="851"/>
        <w:rPr>
          <w:rFonts w:cs="Arial"/>
          <w:szCs w:val="20"/>
        </w:rPr>
      </w:pPr>
      <w:r w:rsidRPr="002A36B9">
        <w:rPr>
          <w:rFonts w:cs="Arial"/>
          <w:bCs/>
          <w:szCs w:val="20"/>
        </w:rPr>
        <w:t>A</w:t>
      </w:r>
      <w:r w:rsidR="00B133D9" w:rsidRPr="002A36B9">
        <w:rPr>
          <w:rFonts w:cs="Arial"/>
          <w:bCs/>
          <w:szCs w:val="20"/>
        </w:rPr>
        <w:t xml:space="preserve">SAP. </w:t>
      </w:r>
    </w:p>
    <w:p w14:paraId="53997A69" w14:textId="4BD5FC78" w:rsidR="00BF5223" w:rsidRPr="002A36B9" w:rsidRDefault="002D1E91" w:rsidP="002A36B9">
      <w:pPr>
        <w:pStyle w:val="ListParagraph"/>
        <w:numPr>
          <w:ilvl w:val="1"/>
          <w:numId w:val="14"/>
        </w:numPr>
        <w:spacing w:line="360" w:lineRule="auto"/>
        <w:ind w:left="862" w:hanging="862"/>
        <w:jc w:val="both"/>
        <w:rPr>
          <w:rFonts w:cs="Arial"/>
          <w:szCs w:val="20"/>
        </w:rPr>
      </w:pPr>
      <w:r w:rsidRPr="002A36B9">
        <w:rPr>
          <w:rFonts w:cs="Arial"/>
          <w:bCs/>
          <w:szCs w:val="20"/>
        </w:rPr>
        <w:t>On the first option, a</w:t>
      </w:r>
      <w:r w:rsidR="00BF5223" w:rsidRPr="002A36B9">
        <w:rPr>
          <w:rFonts w:cs="Arial"/>
          <w:bCs/>
          <w:szCs w:val="20"/>
        </w:rPr>
        <w:t>lthough t</w:t>
      </w:r>
      <w:r w:rsidR="00B133D9" w:rsidRPr="002A36B9">
        <w:rPr>
          <w:rFonts w:cs="Arial"/>
          <w:bCs/>
          <w:szCs w:val="20"/>
        </w:rPr>
        <w:t>he solution is relatively straight forward by amending the LLFC from any specific date</w:t>
      </w:r>
      <w:r w:rsidR="00BF5223" w:rsidRPr="002A36B9">
        <w:rPr>
          <w:rFonts w:cs="Arial"/>
          <w:bCs/>
          <w:szCs w:val="20"/>
        </w:rPr>
        <w:t>, the Working Group had</w:t>
      </w:r>
      <w:r w:rsidR="00B133D9" w:rsidRPr="002A36B9">
        <w:rPr>
          <w:rFonts w:cs="Arial"/>
          <w:bCs/>
          <w:szCs w:val="20"/>
        </w:rPr>
        <w:t xml:space="preserve"> concerns that backdating creates a dangerous precedent for further changes should this be proposed.</w:t>
      </w:r>
    </w:p>
    <w:p w14:paraId="391F4CB2" w14:textId="43262B78" w:rsidR="00574742" w:rsidRPr="002A36B9" w:rsidRDefault="002D1E91" w:rsidP="002D1E91">
      <w:pPr>
        <w:pStyle w:val="ListParagraph"/>
        <w:numPr>
          <w:ilvl w:val="1"/>
          <w:numId w:val="14"/>
        </w:numPr>
        <w:spacing w:line="360" w:lineRule="auto"/>
        <w:ind w:hanging="860"/>
        <w:jc w:val="both"/>
        <w:rPr>
          <w:rFonts w:cs="Arial"/>
          <w:szCs w:val="20"/>
        </w:rPr>
      </w:pPr>
      <w:r w:rsidRPr="002A36B9">
        <w:rPr>
          <w:rFonts w:cs="Arial"/>
          <w:szCs w:val="20"/>
        </w:rPr>
        <w:t xml:space="preserve">The Working Group agreed to support the </w:t>
      </w:r>
      <w:r w:rsidR="00453452" w:rsidRPr="002A36B9">
        <w:rPr>
          <w:rFonts w:cs="Arial"/>
          <w:szCs w:val="20"/>
        </w:rPr>
        <w:t>implementation date for DCP 40</w:t>
      </w:r>
      <w:r w:rsidR="00796DA8" w:rsidRPr="002A36B9">
        <w:rPr>
          <w:rFonts w:cs="Arial"/>
          <w:szCs w:val="20"/>
        </w:rPr>
        <w:t>3</w:t>
      </w:r>
      <w:r w:rsidR="00453452" w:rsidRPr="002A36B9">
        <w:rPr>
          <w:rFonts w:cs="Arial"/>
          <w:szCs w:val="20"/>
        </w:rPr>
        <w:t xml:space="preserve"> </w:t>
      </w:r>
      <w:r w:rsidRPr="002A36B9">
        <w:rPr>
          <w:rFonts w:cs="Arial"/>
          <w:szCs w:val="20"/>
        </w:rPr>
        <w:t xml:space="preserve">as the 01 April 2023. Theis ties in with other charging methodology changes and allows some time for distributors and impacted parties to implement processes and consider requests </w:t>
      </w:r>
      <w:r w:rsidR="002A36B9" w:rsidRPr="002A36B9">
        <w:rPr>
          <w:rFonts w:cs="Arial"/>
          <w:szCs w:val="20"/>
        </w:rPr>
        <w:t>for existing back-up connection arrangements.</w:t>
      </w:r>
    </w:p>
    <w:p w14:paraId="00CE1FCF" w14:textId="41301199" w:rsidR="00F007A0" w:rsidRPr="00EB32BB" w:rsidRDefault="00F007A0" w:rsidP="006D62F9">
      <w:pPr>
        <w:pStyle w:val="Heading03"/>
      </w:pPr>
      <w:bookmarkStart w:id="30" w:name="_Toc156882583"/>
      <w:bookmarkStart w:id="31" w:name="_Toc163008071"/>
      <w:bookmarkStart w:id="32" w:name="_Toc318967202"/>
      <w:bookmarkStart w:id="33" w:name="_Toc113465298"/>
      <w:r w:rsidRPr="00EB32BB">
        <w:t>Legal Text</w:t>
      </w:r>
      <w:bookmarkEnd w:id="30"/>
      <w:bookmarkEnd w:id="31"/>
      <w:bookmarkEnd w:id="32"/>
      <w:bookmarkEnd w:id="33"/>
    </w:p>
    <w:p w14:paraId="28587DC7" w14:textId="3609E59C" w:rsidR="002A36B9" w:rsidRDefault="002A36B9" w:rsidP="002A36B9">
      <w:pPr>
        <w:pStyle w:val="ListParagraph"/>
        <w:numPr>
          <w:ilvl w:val="1"/>
          <w:numId w:val="14"/>
        </w:numPr>
        <w:ind w:hanging="860"/>
        <w:jc w:val="both"/>
      </w:pPr>
      <w:r>
        <w:t>The legal text has been amended in Schedule 32 as described in the following paragraphs.</w:t>
      </w:r>
    </w:p>
    <w:p w14:paraId="1C48EED9" w14:textId="59B7E78B" w:rsidR="002A36B9" w:rsidRDefault="002A36B9" w:rsidP="002A36B9">
      <w:pPr>
        <w:pStyle w:val="ListParagraph"/>
        <w:numPr>
          <w:ilvl w:val="1"/>
          <w:numId w:val="14"/>
        </w:numPr>
        <w:ind w:hanging="860"/>
        <w:jc w:val="both"/>
      </w:pPr>
      <w:r>
        <w:t xml:space="preserve">Further clarification to the Scope section by stating that </w:t>
      </w:r>
      <w:r w:rsidRPr="00EC5187">
        <w:t>premises with a Back-up Connection will not be subject to residual charges in respect of the Back-up Connection</w:t>
      </w:r>
      <w:r>
        <w:t xml:space="preserve"> and </w:t>
      </w:r>
      <w:r w:rsidRPr="00EC5187">
        <w:t>will not be counted as a Single Site in their own right</w:t>
      </w:r>
      <w:r>
        <w:t xml:space="preserve">. They will however </w:t>
      </w:r>
      <w:r>
        <w:rPr>
          <w:rFonts w:ascii="Times New Roman" w:hAnsi="Times New Roman"/>
          <w:sz w:val="24"/>
        </w:rPr>
        <w:t xml:space="preserve">form part of the </w:t>
      </w:r>
      <w:r w:rsidRPr="00E9332B">
        <w:t xml:space="preserve">Single Site connected </w:t>
      </w:r>
      <w:r>
        <w:t>via</w:t>
      </w:r>
      <w:r w:rsidRPr="00E9332B">
        <w:t xml:space="preserve"> the Connection Agreement governing the primary connection</w:t>
      </w:r>
      <w:r>
        <w:t>.</w:t>
      </w:r>
      <w:r w:rsidRPr="00EC5187">
        <w:t xml:space="preserve"> </w:t>
      </w:r>
    </w:p>
    <w:p w14:paraId="34FFAB03" w14:textId="77777777" w:rsidR="002A36B9" w:rsidRDefault="002A36B9" w:rsidP="002A36B9">
      <w:pPr>
        <w:pStyle w:val="ListParagraph"/>
        <w:numPr>
          <w:ilvl w:val="1"/>
          <w:numId w:val="14"/>
        </w:numPr>
        <w:ind w:hanging="860"/>
        <w:jc w:val="both"/>
      </w:pPr>
      <w:r>
        <w:t xml:space="preserve">Add a new paragraph into the re-classification section of Schedule 32 stating that </w:t>
      </w:r>
      <w:r w:rsidRPr="00E9332B">
        <w:t xml:space="preserve">where the evidence necessary to satisfy the definition of a Back-up Connection has been provided to and accepted by the DNO/IDNO Party, no residual charges </w:t>
      </w:r>
      <w:r>
        <w:t>will</w:t>
      </w:r>
      <w:r w:rsidRPr="00E9332B">
        <w:t xml:space="preserve"> apply to those premises in respect of the Back-up Connection. </w:t>
      </w:r>
      <w:commentRangeStart w:id="34"/>
      <w:r w:rsidRPr="00E9332B">
        <w:t xml:space="preserve">Those premises will (for the purposes of the Back-up Connection only) be allocated to the relevant “No Residual” charging band (as described in the Charging Methodologies) based on the voltage of the </w:t>
      </w:r>
      <w:r>
        <w:t>Back-up</w:t>
      </w:r>
      <w:r w:rsidRPr="00E9332B">
        <w:t xml:space="preserve"> Connection.</w:t>
      </w:r>
      <w:commentRangeEnd w:id="34"/>
      <w:r>
        <w:rPr>
          <w:rStyle w:val="CommentReference"/>
        </w:rPr>
        <w:commentReference w:id="34"/>
      </w:r>
    </w:p>
    <w:p w14:paraId="2D2F795F" w14:textId="77777777" w:rsidR="002A36B9" w:rsidRDefault="002A36B9" w:rsidP="002A36B9">
      <w:pPr>
        <w:pStyle w:val="ListParagraph"/>
        <w:numPr>
          <w:ilvl w:val="1"/>
          <w:numId w:val="14"/>
        </w:numPr>
        <w:tabs>
          <w:tab w:val="left" w:pos="851"/>
        </w:tabs>
        <w:spacing w:line="360" w:lineRule="auto"/>
        <w:ind w:hanging="860"/>
        <w:jc w:val="both"/>
      </w:pPr>
      <w:r>
        <w:t xml:space="preserve">The definition of Single Site has been amended to disregard any Back-Up Connections and a new definition added to explain what a </w:t>
      </w:r>
      <w:r w:rsidRPr="00240940">
        <w:t>Back-up Connection</w:t>
      </w:r>
      <w:r>
        <w:t xml:space="preserve"> is.</w:t>
      </w:r>
    </w:p>
    <w:p w14:paraId="5351C855" w14:textId="6E903433" w:rsidR="00707ACD" w:rsidRPr="00284F86" w:rsidRDefault="003D0359" w:rsidP="002A36B9">
      <w:pPr>
        <w:pStyle w:val="ListParagraph"/>
        <w:numPr>
          <w:ilvl w:val="1"/>
          <w:numId w:val="14"/>
        </w:numPr>
        <w:tabs>
          <w:tab w:val="left" w:pos="851"/>
        </w:tabs>
        <w:spacing w:line="360" w:lineRule="auto"/>
        <w:ind w:hanging="860"/>
        <w:jc w:val="both"/>
      </w:pPr>
      <w:r w:rsidRPr="00284F86">
        <w:t>The legal text for DCP 40</w:t>
      </w:r>
      <w:r w:rsidR="00796DA8">
        <w:t>3</w:t>
      </w:r>
      <w:r w:rsidRPr="00284F86">
        <w:t xml:space="preserve"> has been reviewed by the DCUSA legal advisors and is provided as </w:t>
      </w:r>
      <w:r w:rsidRPr="00796DA8">
        <w:rPr>
          <w:b/>
          <w:bCs/>
        </w:rPr>
        <w:t>Attachment 1.</w:t>
      </w:r>
    </w:p>
    <w:p w14:paraId="59D11C99" w14:textId="65F0A286" w:rsidR="00574742" w:rsidRDefault="00574742" w:rsidP="002A36B9">
      <w:pPr>
        <w:pStyle w:val="ListParagraph"/>
        <w:numPr>
          <w:ilvl w:val="1"/>
          <w:numId w:val="14"/>
        </w:numPr>
        <w:tabs>
          <w:tab w:val="left" w:pos="851"/>
        </w:tabs>
        <w:spacing w:line="360" w:lineRule="auto"/>
        <w:ind w:hanging="860"/>
        <w:jc w:val="both"/>
      </w:pPr>
      <w:r w:rsidRPr="002733C1">
        <w:t xml:space="preserve">The </w:t>
      </w:r>
      <w:r w:rsidR="0078738F">
        <w:t>Working Group</w:t>
      </w:r>
      <w:r w:rsidRPr="002733C1">
        <w:t xml:space="preserve"> has considered the </w:t>
      </w:r>
      <w:r w:rsidR="006A14BF">
        <w:t>l</w:t>
      </w:r>
      <w:r w:rsidRPr="002733C1">
        <w:t xml:space="preserve">egal </w:t>
      </w:r>
      <w:r w:rsidR="006A14BF">
        <w:t>t</w:t>
      </w:r>
      <w:r w:rsidRPr="002733C1">
        <w:t xml:space="preserve">ext and is satisfied that it meets the intent of the </w:t>
      </w:r>
      <w:r w:rsidR="006A14BF">
        <w:t>s</w:t>
      </w:r>
      <w:r w:rsidRPr="002733C1">
        <w:t>olution.</w:t>
      </w:r>
    </w:p>
    <w:p w14:paraId="46430CF9" w14:textId="02B0B975" w:rsidR="005F5231" w:rsidRDefault="005F5231" w:rsidP="006D62F9">
      <w:pPr>
        <w:pStyle w:val="Heading03"/>
      </w:pPr>
      <w:bookmarkStart w:id="35" w:name="_Toc113465299"/>
      <w:r>
        <w:t>Code Specific Matters</w:t>
      </w:r>
      <w:bookmarkEnd w:id="35"/>
    </w:p>
    <w:p w14:paraId="15557BCF" w14:textId="77777777" w:rsidR="005F5231" w:rsidRPr="00284F86" w:rsidRDefault="005F5231" w:rsidP="00E45140">
      <w:pPr>
        <w:pStyle w:val="Heading4"/>
      </w:pPr>
      <w:r w:rsidRPr="00284F86">
        <w:t>Modelling Specification Documents</w:t>
      </w:r>
    </w:p>
    <w:p w14:paraId="0B7B7564" w14:textId="77777777" w:rsidR="005F5231" w:rsidRPr="00763F63" w:rsidRDefault="00FB4511" w:rsidP="002A36B9">
      <w:pPr>
        <w:numPr>
          <w:ilvl w:val="1"/>
          <w:numId w:val="14"/>
        </w:numPr>
        <w:tabs>
          <w:tab w:val="left" w:pos="851"/>
        </w:tabs>
        <w:spacing w:line="360" w:lineRule="auto"/>
        <w:ind w:hanging="860"/>
        <w:jc w:val="both"/>
        <w:rPr>
          <w:rFonts w:cs="Arial"/>
          <w:bCs/>
          <w:iCs/>
          <w:szCs w:val="20"/>
        </w:rPr>
      </w:pPr>
      <w:r w:rsidRPr="00763F63">
        <w:rPr>
          <w:rFonts w:cs="Arial"/>
          <w:bCs/>
          <w:iCs/>
          <w:szCs w:val="20"/>
        </w:rPr>
        <w:t>N/a</w:t>
      </w:r>
    </w:p>
    <w:p w14:paraId="1A5331DB" w14:textId="77777777" w:rsidR="005F5231" w:rsidRPr="00284F86" w:rsidRDefault="005F5231" w:rsidP="002A36B9">
      <w:pPr>
        <w:pStyle w:val="Heading4"/>
        <w:tabs>
          <w:tab w:val="left" w:pos="851"/>
        </w:tabs>
      </w:pPr>
      <w:r w:rsidRPr="00284F86">
        <w:t>Reference Documents</w:t>
      </w:r>
    </w:p>
    <w:p w14:paraId="04AC5EB3" w14:textId="77777777" w:rsidR="00FB4511" w:rsidRPr="00763F63" w:rsidRDefault="00FB4511" w:rsidP="002A36B9">
      <w:pPr>
        <w:numPr>
          <w:ilvl w:val="1"/>
          <w:numId w:val="14"/>
        </w:numPr>
        <w:tabs>
          <w:tab w:val="left" w:pos="851"/>
        </w:tabs>
        <w:spacing w:line="360" w:lineRule="auto"/>
        <w:ind w:hanging="860"/>
        <w:jc w:val="both"/>
        <w:rPr>
          <w:rFonts w:cs="Arial"/>
          <w:bCs/>
          <w:iCs/>
          <w:szCs w:val="20"/>
        </w:rPr>
      </w:pPr>
      <w:bookmarkStart w:id="36" w:name="_Toc318967203"/>
      <w:r w:rsidRPr="00763F63">
        <w:rPr>
          <w:rFonts w:cs="Arial"/>
          <w:bCs/>
          <w:iCs/>
          <w:szCs w:val="20"/>
        </w:rPr>
        <w:t>N/a</w:t>
      </w:r>
    </w:p>
    <w:p w14:paraId="63B9BF15" w14:textId="6B46A234" w:rsidR="00F73FD6" w:rsidRPr="00EB32BB" w:rsidRDefault="00A00B4A" w:rsidP="006D62F9">
      <w:pPr>
        <w:pStyle w:val="Heading03"/>
      </w:pPr>
      <w:bookmarkStart w:id="37" w:name="_Toc113465300"/>
      <w:r w:rsidRPr="00EB32BB">
        <w:t>Recommendation</w:t>
      </w:r>
      <w:r w:rsidR="006D75CD">
        <w:t>s</w:t>
      </w:r>
      <w:bookmarkEnd w:id="36"/>
      <w:bookmarkEnd w:id="37"/>
      <w:r w:rsidRPr="00EB32BB">
        <w:t xml:space="preserve"> </w:t>
      </w:r>
    </w:p>
    <w:p w14:paraId="67E48276" w14:textId="26ED50B9" w:rsidR="00D22CEB" w:rsidRDefault="00D10E24" w:rsidP="00E45140">
      <w:pPr>
        <w:pStyle w:val="Heading4"/>
      </w:pPr>
      <w:r>
        <w:lastRenderedPageBreak/>
        <w:t>Panel’s</w:t>
      </w:r>
      <w:r w:rsidR="00D22CEB">
        <w:t xml:space="preserve"> Recommendatio</w:t>
      </w:r>
      <w:r w:rsidR="00206A74">
        <w:t>n</w:t>
      </w:r>
    </w:p>
    <w:p w14:paraId="446DD00B" w14:textId="2E29E459" w:rsidR="00684433" w:rsidRPr="00763F63" w:rsidRDefault="00684433" w:rsidP="002A36B9">
      <w:pPr>
        <w:numPr>
          <w:ilvl w:val="1"/>
          <w:numId w:val="14"/>
        </w:numPr>
        <w:tabs>
          <w:tab w:val="left" w:pos="851"/>
        </w:tabs>
        <w:spacing w:line="360" w:lineRule="auto"/>
        <w:ind w:hanging="860"/>
        <w:jc w:val="both"/>
        <w:rPr>
          <w:rFonts w:cs="Arial"/>
          <w:bCs/>
          <w:iCs/>
          <w:szCs w:val="20"/>
        </w:rPr>
      </w:pPr>
      <w:r w:rsidRPr="00763F63">
        <w:rPr>
          <w:rFonts w:cs="Arial"/>
          <w:bCs/>
          <w:iCs/>
          <w:szCs w:val="20"/>
        </w:rPr>
        <w:t>The Panel approved this Change Report</w:t>
      </w:r>
      <w:r w:rsidR="00370EB1" w:rsidRPr="00763F63">
        <w:rPr>
          <w:rFonts w:cs="Arial"/>
          <w:bCs/>
          <w:iCs/>
          <w:szCs w:val="20"/>
        </w:rPr>
        <w:t xml:space="preserve"> </w:t>
      </w:r>
      <w:r w:rsidRPr="00763F63">
        <w:rPr>
          <w:rFonts w:cs="Arial"/>
          <w:bCs/>
          <w:iCs/>
          <w:szCs w:val="20"/>
        </w:rPr>
        <w:t xml:space="preserve">on </w:t>
      </w:r>
      <w:r w:rsidR="002A36B9">
        <w:rPr>
          <w:rFonts w:cs="Arial"/>
          <w:bCs/>
          <w:iCs/>
          <w:szCs w:val="20"/>
        </w:rPr>
        <w:t>16 November</w:t>
      </w:r>
      <w:r w:rsidRPr="00763F63">
        <w:rPr>
          <w:rFonts w:cs="Arial"/>
          <w:bCs/>
          <w:iCs/>
          <w:szCs w:val="20"/>
        </w:rPr>
        <w:t xml:space="preserve">. The Panel considered that the </w:t>
      </w:r>
      <w:r w:rsidR="0078738F" w:rsidRPr="00763F63">
        <w:rPr>
          <w:rFonts w:cs="Arial"/>
          <w:bCs/>
          <w:iCs/>
          <w:szCs w:val="20"/>
        </w:rPr>
        <w:t>Working Group</w:t>
      </w:r>
      <w:r w:rsidRPr="00763F63">
        <w:rPr>
          <w:rFonts w:cs="Arial"/>
          <w:bCs/>
          <w:iCs/>
          <w:szCs w:val="20"/>
        </w:rPr>
        <w:t xml:space="preserve"> has carried out the level of analysis required to enable Parties to understand the impact of the proposed amendment and to vote on DCP </w:t>
      </w:r>
      <w:r w:rsidR="00A52F37" w:rsidRPr="00763F63">
        <w:rPr>
          <w:rFonts w:cs="Arial"/>
          <w:bCs/>
          <w:iCs/>
          <w:szCs w:val="20"/>
        </w:rPr>
        <w:t>40</w:t>
      </w:r>
      <w:r w:rsidR="00BC2FFB">
        <w:rPr>
          <w:rFonts w:cs="Arial"/>
          <w:bCs/>
          <w:iCs/>
          <w:szCs w:val="20"/>
        </w:rPr>
        <w:t>3</w:t>
      </w:r>
      <w:r w:rsidRPr="00763F63">
        <w:rPr>
          <w:rFonts w:cs="Arial"/>
          <w:bCs/>
          <w:iCs/>
          <w:szCs w:val="20"/>
        </w:rPr>
        <w:t>.</w:t>
      </w:r>
    </w:p>
    <w:p w14:paraId="43D31468" w14:textId="39F14802" w:rsidR="00945537" w:rsidRPr="00763F63" w:rsidRDefault="00D10E24" w:rsidP="002A36B9">
      <w:pPr>
        <w:numPr>
          <w:ilvl w:val="1"/>
          <w:numId w:val="14"/>
        </w:numPr>
        <w:tabs>
          <w:tab w:val="left" w:pos="851"/>
        </w:tabs>
        <w:spacing w:line="360" w:lineRule="auto"/>
        <w:ind w:hanging="860"/>
        <w:jc w:val="both"/>
        <w:rPr>
          <w:rFonts w:cs="Arial"/>
          <w:bCs/>
          <w:iCs/>
          <w:szCs w:val="20"/>
        </w:rPr>
      </w:pPr>
      <w:r w:rsidRPr="00763F63">
        <w:rPr>
          <w:rFonts w:cs="Arial"/>
          <w:bCs/>
          <w:iCs/>
          <w:szCs w:val="20"/>
        </w:rPr>
        <w:t xml:space="preserve">The Panel have recommended that this report is issued </w:t>
      </w:r>
      <w:r w:rsidR="00684433" w:rsidRPr="00763F63">
        <w:rPr>
          <w:rFonts w:cs="Arial"/>
          <w:bCs/>
          <w:iCs/>
          <w:szCs w:val="20"/>
        </w:rPr>
        <w:t>for Voting and DCUSA P</w:t>
      </w:r>
      <w:r w:rsidRPr="00763F63">
        <w:rPr>
          <w:rFonts w:cs="Arial"/>
          <w:bCs/>
          <w:iCs/>
          <w:szCs w:val="20"/>
        </w:rPr>
        <w:t xml:space="preserve">arties should consider whether they wish to submit views regarding this </w:t>
      </w:r>
      <w:r w:rsidR="0014008D">
        <w:rPr>
          <w:rFonts w:cs="Arial"/>
          <w:bCs/>
          <w:iCs/>
          <w:szCs w:val="20"/>
        </w:rPr>
        <w:t>CP</w:t>
      </w:r>
      <w:r w:rsidR="00945537" w:rsidRPr="00763F63">
        <w:rPr>
          <w:rFonts w:cs="Arial"/>
          <w:bCs/>
          <w:iCs/>
          <w:szCs w:val="20"/>
        </w:rPr>
        <w:t>.</w:t>
      </w:r>
    </w:p>
    <w:p w14:paraId="13C2AE87" w14:textId="09FA955C" w:rsidR="00684433" w:rsidRDefault="00684433" w:rsidP="009456EB">
      <w:pPr>
        <w:pStyle w:val="Heading03"/>
      </w:pPr>
      <w:bookmarkStart w:id="38" w:name="_Toc113465301"/>
      <w:r w:rsidRPr="00FD64CC">
        <w:t>Attachments</w:t>
      </w:r>
      <w:bookmarkEnd w:id="38"/>
      <w:r w:rsidRPr="00FD64CC">
        <w:t xml:space="preserve"> </w:t>
      </w:r>
    </w:p>
    <w:p w14:paraId="2EAE353B" w14:textId="7445A111" w:rsidR="00574742" w:rsidRPr="00284F86" w:rsidRDefault="00574742" w:rsidP="002A36B9">
      <w:pPr>
        <w:pStyle w:val="ListBullet2"/>
        <w:tabs>
          <w:tab w:val="clear" w:pos="284"/>
          <w:tab w:val="num" w:pos="567"/>
        </w:tabs>
        <w:ind w:left="567" w:hanging="567"/>
      </w:pPr>
      <w:r w:rsidRPr="00284F86">
        <w:t xml:space="preserve">Attachment 1 </w:t>
      </w:r>
      <w:r w:rsidR="00C90A25" w:rsidRPr="00284F86">
        <w:t xml:space="preserve">- DCP </w:t>
      </w:r>
      <w:r w:rsidR="00A52F37" w:rsidRPr="00284F86">
        <w:t>40</w:t>
      </w:r>
      <w:r w:rsidR="00BC2FFB">
        <w:t>3</w:t>
      </w:r>
      <w:r w:rsidR="00A52F37" w:rsidRPr="00284F86">
        <w:t xml:space="preserve"> </w:t>
      </w:r>
      <w:r w:rsidR="00C90A25" w:rsidRPr="00284F86">
        <w:t>Legal Text</w:t>
      </w:r>
    </w:p>
    <w:p w14:paraId="6C3CD725" w14:textId="77777777" w:rsidR="00574742" w:rsidRPr="00284F86" w:rsidRDefault="00574742" w:rsidP="002A36B9">
      <w:pPr>
        <w:pStyle w:val="ListBullet2"/>
        <w:tabs>
          <w:tab w:val="clear" w:pos="284"/>
          <w:tab w:val="num" w:pos="567"/>
        </w:tabs>
        <w:ind w:left="567" w:hanging="567"/>
      </w:pPr>
      <w:r w:rsidRPr="00284F86">
        <w:t xml:space="preserve">Attachment 2 </w:t>
      </w:r>
      <w:r w:rsidR="008B1393" w:rsidRPr="00284F86">
        <w:t xml:space="preserve">- </w:t>
      </w:r>
      <w:r w:rsidRPr="00284F86">
        <w:t>Voting Form</w:t>
      </w:r>
    </w:p>
    <w:p w14:paraId="5E6D3DA4" w14:textId="2E68754C" w:rsidR="007D2270" w:rsidRPr="00284F86" w:rsidRDefault="007D2270" w:rsidP="002A36B9">
      <w:pPr>
        <w:pStyle w:val="ListBullet2"/>
        <w:tabs>
          <w:tab w:val="clear" w:pos="284"/>
          <w:tab w:val="num" w:pos="567"/>
        </w:tabs>
        <w:ind w:left="567" w:hanging="567"/>
      </w:pPr>
      <w:r w:rsidRPr="00284F86">
        <w:t xml:space="preserve">Attachment </w:t>
      </w:r>
      <w:r w:rsidR="00A52F37" w:rsidRPr="00284F86">
        <w:t>3</w:t>
      </w:r>
      <w:r w:rsidRPr="00284F86">
        <w:t xml:space="preserve"> </w:t>
      </w:r>
      <w:r w:rsidR="008B1393" w:rsidRPr="00284F86">
        <w:t>-</w:t>
      </w:r>
      <w:r w:rsidRPr="00284F86">
        <w:t xml:space="preserve"> </w:t>
      </w:r>
      <w:r w:rsidR="00C90A25" w:rsidRPr="00284F86">
        <w:t xml:space="preserve">Consultation Responses &amp; WG Comments </w:t>
      </w:r>
    </w:p>
    <w:p w14:paraId="0FBFB094" w14:textId="25381615" w:rsidR="00735A6B" w:rsidRDefault="007D2270" w:rsidP="002A36B9">
      <w:pPr>
        <w:pStyle w:val="ListBullet2"/>
        <w:tabs>
          <w:tab w:val="clear" w:pos="284"/>
          <w:tab w:val="num" w:pos="567"/>
        </w:tabs>
        <w:ind w:left="567" w:hanging="567"/>
      </w:pPr>
      <w:r w:rsidRPr="00284F86">
        <w:t xml:space="preserve">Attachment </w:t>
      </w:r>
      <w:r w:rsidR="00A52F37" w:rsidRPr="00284F86">
        <w:t>4</w:t>
      </w:r>
      <w:r w:rsidR="00474DED" w:rsidRPr="00284F86">
        <w:t xml:space="preserve"> </w:t>
      </w:r>
      <w:r w:rsidRPr="00284F86">
        <w:t xml:space="preserve">- </w:t>
      </w:r>
      <w:r w:rsidR="008B1393" w:rsidRPr="00284F86">
        <w:t xml:space="preserve">DCP </w:t>
      </w:r>
      <w:r w:rsidR="00A52F37" w:rsidRPr="00284F86">
        <w:t>40</w:t>
      </w:r>
      <w:r w:rsidR="00BC2FFB">
        <w:t>3</w:t>
      </w:r>
      <w:r w:rsidR="008B1393" w:rsidRPr="00284F86">
        <w:t xml:space="preserve"> Change Proposal</w:t>
      </w:r>
    </w:p>
    <w:p w14:paraId="73B3DEE5" w14:textId="697695BF" w:rsidR="006F798F" w:rsidRPr="005D2135" w:rsidRDefault="006F798F" w:rsidP="002A36B9">
      <w:pPr>
        <w:pStyle w:val="ListBullet2"/>
        <w:tabs>
          <w:tab w:val="clear" w:pos="284"/>
          <w:tab w:val="num" w:pos="567"/>
        </w:tabs>
        <w:ind w:left="567" w:hanging="567"/>
      </w:pPr>
      <w:r>
        <w:t>Attachment 5 - Request for Information</w:t>
      </w:r>
    </w:p>
    <w:sectPr w:rsidR="006F798F" w:rsidRPr="005D2135" w:rsidSect="00194176">
      <w:headerReference w:type="default" r:id="rId22"/>
      <w:footerReference w:type="default" r:id="rId23"/>
      <w:pgSz w:w="11906" w:h="16838"/>
      <w:pgMar w:top="1418" w:right="1416" w:bottom="567" w:left="1134" w:header="142"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John Lawton" w:date="2022-10-26T08:39:00Z" w:initials="JL">
    <w:p w14:paraId="234DBB11" w14:textId="77777777" w:rsidR="00752E25" w:rsidRDefault="00752E25" w:rsidP="00C346A5">
      <w:pPr>
        <w:pStyle w:val="CommentText"/>
      </w:pPr>
      <w:r>
        <w:rPr>
          <w:rStyle w:val="CommentReference"/>
        </w:rPr>
        <w:annotationRef/>
      </w:r>
      <w:r>
        <w:t>Outstanding issue</w:t>
      </w:r>
    </w:p>
  </w:comment>
  <w:comment w:id="16" w:author="John Lawton" w:date="2022-10-27T20:26:00Z" w:initials="JL">
    <w:p w14:paraId="01213BF6" w14:textId="77777777" w:rsidR="00FF7E67" w:rsidRDefault="00FF7E67" w:rsidP="009F315D">
      <w:pPr>
        <w:pStyle w:val="CommentText"/>
      </w:pPr>
      <w:r>
        <w:rPr>
          <w:rStyle w:val="CommentReference"/>
        </w:rPr>
        <w:annotationRef/>
      </w:r>
      <w:r>
        <w:t>Ofgem feedback required</w:t>
      </w:r>
    </w:p>
  </w:comment>
  <w:comment w:id="17" w:author="John Lawton" w:date="2022-10-28T10:49:00Z" w:initials="JL">
    <w:p w14:paraId="4FD9E2CA" w14:textId="77777777" w:rsidR="00E048BD" w:rsidRDefault="00E048BD" w:rsidP="00374C1D">
      <w:pPr>
        <w:pStyle w:val="CommentText"/>
      </w:pPr>
      <w:r>
        <w:rPr>
          <w:rStyle w:val="CommentReference"/>
        </w:rPr>
        <w:annotationRef/>
      </w:r>
      <w:r>
        <w:t>To be updated when Ofgem response received</w:t>
      </w:r>
    </w:p>
  </w:comment>
  <w:comment w:id="21" w:author="John Lawton" w:date="2022-10-28T10:34:00Z" w:initials="JL">
    <w:p w14:paraId="756CCF70" w14:textId="49912F92" w:rsidR="002D1E91" w:rsidRDefault="002D1E91">
      <w:pPr>
        <w:pStyle w:val="CommentText"/>
      </w:pPr>
      <w:r>
        <w:rPr>
          <w:rStyle w:val="CommentReference"/>
        </w:rPr>
        <w:annotationRef/>
      </w:r>
      <w:r>
        <w:t>The rational is taken from the Proposer.</w:t>
      </w:r>
    </w:p>
    <w:p w14:paraId="19EA2E40" w14:textId="77777777" w:rsidR="002D1E91" w:rsidRDefault="002D1E91" w:rsidP="00547A2A">
      <w:pPr>
        <w:pStyle w:val="CommentText"/>
      </w:pPr>
      <w:r>
        <w:t xml:space="preserve">Working Group need to agree and amend in line with their stance taking into consideration the parties views. </w:t>
      </w:r>
    </w:p>
  </w:comment>
  <w:comment w:id="34" w:author="John Lawton" w:date="2022-10-26T08:39:00Z" w:initials="JL">
    <w:p w14:paraId="5A1B88B6" w14:textId="77777777" w:rsidR="002A36B9" w:rsidRDefault="002A36B9" w:rsidP="002A36B9">
      <w:pPr>
        <w:pStyle w:val="CommentText"/>
      </w:pPr>
      <w:r>
        <w:rPr>
          <w:rStyle w:val="CommentReference"/>
        </w:rPr>
        <w:annotationRef/>
      </w:r>
      <w:r>
        <w:t>Outstanding issue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4DBB11" w15:done="0"/>
  <w15:commentEx w15:paraId="01213BF6" w15:done="0"/>
  <w15:commentEx w15:paraId="4FD9E2CA" w15:done="0"/>
  <w15:commentEx w15:paraId="19EA2E40" w15:done="0"/>
  <w15:commentEx w15:paraId="5A1B88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370D8" w16cex:dateUtc="2022-10-26T07:39:00Z"/>
  <w16cex:commentExtensible w16cex:durableId="270567EC" w16cex:dateUtc="2022-10-27T19:26:00Z"/>
  <w16cex:commentExtensible w16cex:durableId="2706323F" w16cex:dateUtc="2022-10-28T09:49:00Z"/>
  <w16cex:commentExtensible w16cex:durableId="27062EC2" w16cex:dateUtc="2022-10-28T09:34:00Z"/>
  <w16cex:commentExtensible w16cex:durableId="2706312B" w16cex:dateUtc="2022-10-26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4DBB11" w16cid:durableId="270370D8"/>
  <w16cid:commentId w16cid:paraId="01213BF6" w16cid:durableId="270567EC"/>
  <w16cid:commentId w16cid:paraId="4FD9E2CA" w16cid:durableId="2706323F"/>
  <w16cid:commentId w16cid:paraId="19EA2E40" w16cid:durableId="27062EC2"/>
  <w16cid:commentId w16cid:paraId="5A1B88B6" w16cid:durableId="270631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339A6" w14:textId="77777777" w:rsidR="00404220" w:rsidRDefault="00404220">
      <w:pPr>
        <w:spacing w:line="240" w:lineRule="auto"/>
      </w:pPr>
      <w:r>
        <w:separator/>
      </w:r>
    </w:p>
    <w:p w14:paraId="737750F2" w14:textId="77777777" w:rsidR="00404220" w:rsidRDefault="00404220"/>
  </w:endnote>
  <w:endnote w:type="continuationSeparator" w:id="0">
    <w:p w14:paraId="386B7010" w14:textId="77777777" w:rsidR="00404220" w:rsidRDefault="00404220">
      <w:pPr>
        <w:spacing w:line="240" w:lineRule="auto"/>
      </w:pPr>
      <w:r>
        <w:continuationSeparator/>
      </w:r>
    </w:p>
    <w:p w14:paraId="0CB6ED7B" w14:textId="77777777" w:rsidR="00404220" w:rsidRDefault="00404220"/>
  </w:endnote>
  <w:endnote w:type="continuationNotice" w:id="1">
    <w:p w14:paraId="7304032A" w14:textId="77777777" w:rsidR="00404220" w:rsidRDefault="0040422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BBB19" w14:textId="4D913A3F" w:rsidR="007044BE" w:rsidRDefault="00A77FCF"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453452">
      <w:rPr>
        <w:rFonts w:cs="Arial"/>
        <w:sz w:val="16"/>
        <w:szCs w:val="16"/>
      </w:rPr>
      <w:t>40</w:t>
    </w:r>
    <w:r w:rsidR="00A54FA4">
      <w:rPr>
        <w:rFonts w:cs="Arial"/>
        <w:sz w:val="16"/>
        <w:szCs w:val="16"/>
      </w:rPr>
      <w:t>3</w:t>
    </w:r>
    <w:r w:rsidR="007044BE">
      <w:rPr>
        <w:rFonts w:cs="Arial"/>
        <w:sz w:val="16"/>
        <w:szCs w:val="16"/>
      </w:rPr>
      <w:tab/>
    </w:r>
    <w:r w:rsidR="007044BE">
      <w:rPr>
        <w:rFonts w:cs="Arial"/>
        <w:sz w:val="16"/>
        <w:szCs w:val="16"/>
      </w:rPr>
      <w:tab/>
    </w:r>
    <w:r w:rsidR="007044BE" w:rsidRPr="000660DF">
      <w:rPr>
        <w:rFonts w:cs="Arial"/>
        <w:sz w:val="16"/>
        <w:szCs w:val="16"/>
        <w:lang w:val="en-US"/>
      </w:rPr>
      <w:t xml:space="preserve">Page </w:t>
    </w:r>
    <w:r w:rsidR="007044BE" w:rsidRPr="000660DF">
      <w:rPr>
        <w:rFonts w:cs="Arial"/>
        <w:sz w:val="16"/>
        <w:szCs w:val="16"/>
        <w:lang w:val="en-US"/>
      </w:rPr>
      <w:fldChar w:fldCharType="begin"/>
    </w:r>
    <w:r w:rsidR="007044BE" w:rsidRPr="000660DF">
      <w:rPr>
        <w:rFonts w:cs="Arial"/>
        <w:sz w:val="16"/>
        <w:szCs w:val="16"/>
        <w:lang w:val="en-US"/>
      </w:rPr>
      <w:instrText xml:space="preserve"> PAGE </w:instrText>
    </w:r>
    <w:r w:rsidR="007044BE" w:rsidRPr="000660DF">
      <w:rPr>
        <w:rFonts w:cs="Arial"/>
        <w:sz w:val="16"/>
        <w:szCs w:val="16"/>
        <w:lang w:val="en-US"/>
      </w:rPr>
      <w:fldChar w:fldCharType="separate"/>
    </w:r>
    <w:r w:rsidR="0050697B">
      <w:rPr>
        <w:rFonts w:cs="Arial"/>
        <w:noProof/>
        <w:sz w:val="16"/>
        <w:szCs w:val="16"/>
        <w:lang w:val="en-US"/>
      </w:rPr>
      <w:t>6</w:t>
    </w:r>
    <w:r w:rsidR="007044BE" w:rsidRPr="000660DF">
      <w:rPr>
        <w:rFonts w:cs="Arial"/>
        <w:sz w:val="16"/>
        <w:szCs w:val="16"/>
        <w:lang w:val="en-US"/>
      </w:rPr>
      <w:fldChar w:fldCharType="end"/>
    </w:r>
    <w:r w:rsidR="007044BE" w:rsidRPr="000660DF">
      <w:rPr>
        <w:rFonts w:cs="Arial"/>
        <w:sz w:val="16"/>
        <w:szCs w:val="16"/>
        <w:lang w:val="en-US"/>
      </w:rPr>
      <w:t xml:space="preserve"> of </w:t>
    </w:r>
    <w:r w:rsidR="007044BE" w:rsidRPr="000660DF">
      <w:rPr>
        <w:rFonts w:cs="Arial"/>
        <w:sz w:val="16"/>
        <w:szCs w:val="16"/>
        <w:lang w:val="en-US"/>
      </w:rPr>
      <w:fldChar w:fldCharType="begin"/>
    </w:r>
    <w:r w:rsidR="007044BE" w:rsidRPr="000660DF">
      <w:rPr>
        <w:rFonts w:cs="Arial"/>
        <w:sz w:val="16"/>
        <w:szCs w:val="16"/>
        <w:lang w:val="en-US"/>
      </w:rPr>
      <w:instrText xml:space="preserve"> NUMPAGES </w:instrText>
    </w:r>
    <w:r w:rsidR="007044BE" w:rsidRPr="000660DF">
      <w:rPr>
        <w:rFonts w:cs="Arial"/>
        <w:sz w:val="16"/>
        <w:szCs w:val="16"/>
        <w:lang w:val="en-US"/>
      </w:rPr>
      <w:fldChar w:fldCharType="separate"/>
    </w:r>
    <w:r w:rsidR="0050697B">
      <w:rPr>
        <w:rFonts w:cs="Arial"/>
        <w:noProof/>
        <w:sz w:val="16"/>
        <w:szCs w:val="16"/>
        <w:lang w:val="en-US"/>
      </w:rPr>
      <w:t>7</w:t>
    </w:r>
    <w:r w:rsidR="007044BE" w:rsidRPr="000660DF">
      <w:rPr>
        <w:rFonts w:cs="Arial"/>
        <w:sz w:val="16"/>
        <w:szCs w:val="16"/>
        <w:lang w:val="en-US"/>
      </w:rPr>
      <w:fldChar w:fldCharType="end"/>
    </w:r>
    <w:r w:rsidR="003C4891">
      <w:rPr>
        <w:rFonts w:cs="Arial"/>
        <w:sz w:val="16"/>
        <w:szCs w:val="16"/>
        <w:lang w:val="en-US"/>
      </w:rPr>
      <w:tab/>
      <w:t>Version 1.0</w:t>
    </w:r>
  </w:p>
  <w:p w14:paraId="518578DC" w14:textId="77777777" w:rsidR="007044BE" w:rsidRPr="000660DF" w:rsidRDefault="00AA7E89"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Change</w:t>
    </w:r>
    <w:r w:rsidR="00B52A9E">
      <w:rPr>
        <w:rFonts w:cs="Arial"/>
        <w:sz w:val="16"/>
        <w:szCs w:val="16"/>
        <w:lang w:val="en-US"/>
      </w:rPr>
      <w:t xml:space="preserve"> Report</w:t>
    </w:r>
    <w:r w:rsidR="007044BE">
      <w:rPr>
        <w:rFonts w:cs="Arial"/>
        <w:sz w:val="16"/>
        <w:szCs w:val="16"/>
        <w:lang w:val="en-US"/>
      </w:rPr>
      <w:tab/>
    </w:r>
    <w:r w:rsidR="007044BE" w:rsidRPr="000660DF">
      <w:rPr>
        <w:rFonts w:cs="Arial"/>
        <w:sz w:val="16"/>
        <w:szCs w:val="16"/>
      </w:rPr>
      <w:t xml:space="preserve">© </w:t>
    </w:r>
    <w:r w:rsidR="007044BE">
      <w:rPr>
        <w:rFonts w:cs="Arial"/>
        <w:sz w:val="16"/>
        <w:szCs w:val="16"/>
      </w:rPr>
      <w:t xml:space="preserve">2016 </w:t>
    </w:r>
    <w:r w:rsidR="007044BE" w:rsidRPr="000660DF">
      <w:rPr>
        <w:rFonts w:cs="Arial"/>
        <w:sz w:val="16"/>
        <w:szCs w:val="16"/>
      </w:rPr>
      <w:t>all rights reserved</w:t>
    </w:r>
    <w:r w:rsidR="007044BE">
      <w:rPr>
        <w:rFonts w:cs="Arial"/>
        <w:sz w:val="16"/>
        <w:szCs w:val="16"/>
      </w:rPr>
      <w:tab/>
    </w:r>
    <w:r w:rsidR="00C90A25">
      <w:rPr>
        <w:rFonts w:cs="Arial"/>
        <w:sz w:val="16"/>
        <w:szCs w:val="16"/>
        <w:lang w:val="en-US"/>
      </w:rPr>
      <w:t>20 July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56D26" w14:textId="77777777" w:rsidR="00404220" w:rsidRDefault="00404220">
      <w:pPr>
        <w:spacing w:line="240" w:lineRule="auto"/>
      </w:pPr>
      <w:r>
        <w:separator/>
      </w:r>
    </w:p>
    <w:p w14:paraId="29294371" w14:textId="77777777" w:rsidR="00404220" w:rsidRDefault="00404220"/>
  </w:footnote>
  <w:footnote w:type="continuationSeparator" w:id="0">
    <w:p w14:paraId="225CE43B" w14:textId="77777777" w:rsidR="00404220" w:rsidRDefault="00404220">
      <w:pPr>
        <w:spacing w:line="240" w:lineRule="auto"/>
      </w:pPr>
      <w:r>
        <w:continuationSeparator/>
      </w:r>
    </w:p>
    <w:p w14:paraId="60AC71F0" w14:textId="77777777" w:rsidR="00404220" w:rsidRDefault="00404220"/>
  </w:footnote>
  <w:footnote w:type="continuationNotice" w:id="1">
    <w:p w14:paraId="45F1270B" w14:textId="77777777" w:rsidR="00404220" w:rsidRDefault="00404220">
      <w:pPr>
        <w:spacing w:before="0" w:after="0" w:line="240" w:lineRule="auto"/>
      </w:pPr>
    </w:p>
  </w:footnote>
  <w:footnote w:id="2">
    <w:p w14:paraId="017358C7" w14:textId="7724A9A3" w:rsidR="008B3F8D" w:rsidRDefault="008B3F8D">
      <w:pPr>
        <w:pStyle w:val="FootnoteText"/>
      </w:pPr>
      <w:r>
        <w:rPr>
          <w:rStyle w:val="FootnoteReference"/>
        </w:rPr>
        <w:footnoteRef/>
      </w:r>
      <w:r>
        <w:t xml:space="preserve"> </w:t>
      </w:r>
      <w:hyperlink r:id="rId1" w:history="1">
        <w:r w:rsidRPr="00BF5ADC">
          <w:rPr>
            <w:rStyle w:val="Hyperlink"/>
          </w:rPr>
          <w:t>https://www.ofgem.gov.uk/publications/targeted-charging-review-decision-and-impact-assessment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7F9B1" w14:textId="04179016" w:rsidR="000E1892" w:rsidRDefault="008B547E">
    <w:pPr>
      <w:pStyle w:val="Header"/>
    </w:pPr>
    <w:r>
      <w:rPr>
        <w:noProof/>
      </w:rPr>
      <w:drawing>
        <wp:anchor distT="0" distB="0" distL="114300" distR="114300" simplePos="0" relativeHeight="251657728" behindDoc="0" locked="0" layoutInCell="1" allowOverlap="1" wp14:anchorId="01DD6C93" wp14:editId="5BB684F5">
          <wp:simplePos x="0" y="0"/>
          <wp:positionH relativeFrom="column">
            <wp:posOffset>4118610</wp:posOffset>
          </wp:positionH>
          <wp:positionV relativeFrom="paragraph">
            <wp:posOffset>-17780</wp:posOffset>
          </wp:positionV>
          <wp:extent cx="2317750" cy="784860"/>
          <wp:effectExtent l="0" t="0" r="0" b="0"/>
          <wp:wrapNone/>
          <wp:docPr id="3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rsidR="000E189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BF47F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2EA46A"/>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2ECA5D2A"/>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06F4005"/>
    <w:multiLevelType w:val="hybridMultilevel"/>
    <w:tmpl w:val="70140FA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06314909"/>
    <w:multiLevelType w:val="multilevel"/>
    <w:tmpl w:val="FA00912E"/>
    <w:lvl w:ilvl="0">
      <w:start w:val="1"/>
      <w:numFmt w:val="decimal"/>
      <w:pStyle w:val="Heading03"/>
      <w:lvlText w:val="%1"/>
      <w:lvlJc w:val="left"/>
      <w:pPr>
        <w:ind w:left="432" w:hanging="432"/>
      </w:pPr>
      <w:rPr>
        <w:rFonts w:hint="default"/>
      </w:rPr>
    </w:lvl>
    <w:lvl w:ilvl="1">
      <w:start w:val="1"/>
      <w:numFmt w:val="decimal"/>
      <w:lvlText w:val="%1.%2"/>
      <w:lvlJc w:val="left"/>
      <w:pPr>
        <w:ind w:left="860" w:hanging="576"/>
      </w:pPr>
      <w:rPr>
        <w:rFonts w:ascii="Arial" w:hAnsi="Arial" w:cs="Arial" w:hint="default"/>
        <w:b w:val="0"/>
        <w:bCs/>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0FA302AA"/>
    <w:multiLevelType w:val="hybridMultilevel"/>
    <w:tmpl w:val="6BFC3544"/>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8" w15:restartNumberingAfterBreak="0">
    <w:nsid w:val="0FDA5152"/>
    <w:multiLevelType w:val="hybridMultilevel"/>
    <w:tmpl w:val="206E734E"/>
    <w:lvl w:ilvl="0" w:tplc="FFFFFFFF">
      <w:start w:val="1"/>
      <w:numFmt w:val="lowerLetter"/>
      <w:lvlText w:val="%1)"/>
      <w:lvlJc w:val="left"/>
      <w:pPr>
        <w:ind w:left="936" w:hanging="360"/>
      </w:pPr>
    </w:lvl>
    <w:lvl w:ilvl="1" w:tplc="FFFFFFFF" w:tentative="1">
      <w:start w:val="1"/>
      <w:numFmt w:val="lowerLetter"/>
      <w:lvlText w:val="%2."/>
      <w:lvlJc w:val="left"/>
      <w:pPr>
        <w:ind w:left="1656" w:hanging="360"/>
      </w:pPr>
    </w:lvl>
    <w:lvl w:ilvl="2" w:tplc="FFFFFFFF" w:tentative="1">
      <w:start w:val="1"/>
      <w:numFmt w:val="lowerRoman"/>
      <w:lvlText w:val="%3."/>
      <w:lvlJc w:val="right"/>
      <w:pPr>
        <w:ind w:left="2376" w:hanging="180"/>
      </w:pPr>
    </w:lvl>
    <w:lvl w:ilvl="3" w:tplc="FFFFFFFF" w:tentative="1">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9" w15:restartNumberingAfterBreak="0">
    <w:nsid w:val="14035A3B"/>
    <w:multiLevelType w:val="hybridMultilevel"/>
    <w:tmpl w:val="80304D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4485274"/>
    <w:multiLevelType w:val="hybridMultilevel"/>
    <w:tmpl w:val="206E734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66459F"/>
    <w:multiLevelType w:val="hybridMultilevel"/>
    <w:tmpl w:val="35AA061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6FF71D5"/>
    <w:multiLevelType w:val="multilevel"/>
    <w:tmpl w:val="0A0E2236"/>
    <w:lvl w:ilvl="0">
      <w:start w:val="1"/>
      <w:numFmt w:val="decimal"/>
      <w:lvlText w:val="%1"/>
      <w:lvlJc w:val="left"/>
      <w:pPr>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E526FE"/>
    <w:multiLevelType w:val="hybridMultilevel"/>
    <w:tmpl w:val="206E734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CF00A8"/>
    <w:multiLevelType w:val="hybridMultilevel"/>
    <w:tmpl w:val="C9C2ACB0"/>
    <w:lvl w:ilvl="0" w:tplc="1C2E7206">
      <w:start w:val="1"/>
      <w:numFmt w:val="lowerLetter"/>
      <w:lvlText w:val="(%1)"/>
      <w:lvlJc w:val="left"/>
      <w:pPr>
        <w:ind w:left="720" w:hanging="360"/>
      </w:pPr>
      <w:rPr>
        <w:rFonts w:eastAsiaTheme="minorHAnsi"/>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B896B52"/>
    <w:multiLevelType w:val="hybridMultilevel"/>
    <w:tmpl w:val="D40423D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CB30CCA"/>
    <w:multiLevelType w:val="hybridMultilevel"/>
    <w:tmpl w:val="4DE0FFB0"/>
    <w:lvl w:ilvl="0" w:tplc="04090001">
      <w:start w:val="1"/>
      <w:numFmt w:val="bullet"/>
      <w:lvlText w:val=""/>
      <w:lvlJc w:val="left"/>
      <w:pPr>
        <w:ind w:left="1706" w:hanging="855"/>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0" w15:restartNumberingAfterBreak="0">
    <w:nsid w:val="2EE53BAE"/>
    <w:multiLevelType w:val="multilevel"/>
    <w:tmpl w:val="8F227D00"/>
    <w:lvl w:ilvl="0">
      <w:start w:val="1"/>
      <w:numFmt w:val="lowerLetter"/>
      <w:pStyle w:val="DCUSATableTexta"/>
      <w:lvlText w:val="(%1)"/>
      <w:lvlJc w:val="left"/>
      <w:pPr>
        <w:ind w:left="1208" w:hanging="357"/>
      </w:pPr>
      <w:rPr>
        <w:b w:val="0"/>
      </w:rPr>
    </w:lvl>
    <w:lvl w:ilvl="1">
      <w:start w:val="1"/>
      <w:numFmt w:val="bullet"/>
      <w:pStyle w:val="DCUSATableTextbulletpt"/>
      <w:lvlText w:val=""/>
      <w:lvlJc w:val="left"/>
      <w:pPr>
        <w:ind w:left="1208" w:hanging="357"/>
      </w:pPr>
      <w:rPr>
        <w:rFonts w:ascii="Symbol" w:hAnsi="Symbol" w:hint="default"/>
      </w:rPr>
    </w:lvl>
    <w:lvl w:ilvl="2">
      <w:start w:val="1"/>
      <w:numFmt w:val="lowerRoman"/>
      <w:lvlText w:val="%3)"/>
      <w:lvlJc w:val="left"/>
      <w:pPr>
        <w:ind w:left="1208" w:hanging="357"/>
      </w:pPr>
    </w:lvl>
    <w:lvl w:ilvl="3">
      <w:start w:val="1"/>
      <w:numFmt w:val="decimal"/>
      <w:lvlText w:val="(%4)"/>
      <w:lvlJc w:val="left"/>
      <w:pPr>
        <w:ind w:left="1208" w:hanging="357"/>
      </w:pPr>
    </w:lvl>
    <w:lvl w:ilvl="4">
      <w:start w:val="1"/>
      <w:numFmt w:val="lowerLetter"/>
      <w:lvlText w:val="(%5)"/>
      <w:lvlJc w:val="left"/>
      <w:pPr>
        <w:ind w:left="1208" w:hanging="357"/>
      </w:pPr>
    </w:lvl>
    <w:lvl w:ilvl="5">
      <w:start w:val="1"/>
      <w:numFmt w:val="lowerRoman"/>
      <w:lvlText w:val="(%6)"/>
      <w:lvlJc w:val="left"/>
      <w:pPr>
        <w:ind w:left="1208" w:hanging="357"/>
      </w:pPr>
    </w:lvl>
    <w:lvl w:ilvl="6">
      <w:start w:val="1"/>
      <w:numFmt w:val="decimal"/>
      <w:lvlText w:val="%7."/>
      <w:lvlJc w:val="left"/>
      <w:pPr>
        <w:ind w:left="1208" w:hanging="357"/>
      </w:pPr>
    </w:lvl>
    <w:lvl w:ilvl="7">
      <w:start w:val="1"/>
      <w:numFmt w:val="lowerLetter"/>
      <w:lvlText w:val="%8."/>
      <w:lvlJc w:val="left"/>
      <w:pPr>
        <w:ind w:left="1208" w:hanging="357"/>
      </w:pPr>
    </w:lvl>
    <w:lvl w:ilvl="8">
      <w:start w:val="1"/>
      <w:numFmt w:val="lowerRoman"/>
      <w:lvlText w:val="%9."/>
      <w:lvlJc w:val="left"/>
      <w:pPr>
        <w:ind w:left="1208" w:hanging="357"/>
      </w:pPr>
    </w:lvl>
  </w:abstractNum>
  <w:abstractNum w:abstractNumId="21" w15:restartNumberingAfterBreak="0">
    <w:nsid w:val="323F4D67"/>
    <w:multiLevelType w:val="hybridMultilevel"/>
    <w:tmpl w:val="7D7EA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34241123"/>
    <w:multiLevelType w:val="hybridMultilevel"/>
    <w:tmpl w:val="55DEA4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763B3C"/>
    <w:multiLevelType w:val="hybridMultilevel"/>
    <w:tmpl w:val="206E734E"/>
    <w:lvl w:ilvl="0" w:tplc="FFFFFFFF">
      <w:start w:val="1"/>
      <w:numFmt w:val="lowerLetter"/>
      <w:lvlText w:val="%1)"/>
      <w:lvlJc w:val="left"/>
      <w:pPr>
        <w:ind w:left="936" w:hanging="360"/>
      </w:pPr>
    </w:lvl>
    <w:lvl w:ilvl="1" w:tplc="FFFFFFFF" w:tentative="1">
      <w:start w:val="1"/>
      <w:numFmt w:val="lowerLetter"/>
      <w:lvlText w:val="%2."/>
      <w:lvlJc w:val="left"/>
      <w:pPr>
        <w:ind w:left="1656" w:hanging="360"/>
      </w:pPr>
    </w:lvl>
    <w:lvl w:ilvl="2" w:tplc="FFFFFFFF" w:tentative="1">
      <w:start w:val="1"/>
      <w:numFmt w:val="lowerRoman"/>
      <w:lvlText w:val="%3."/>
      <w:lvlJc w:val="right"/>
      <w:pPr>
        <w:ind w:left="2376" w:hanging="180"/>
      </w:pPr>
    </w:lvl>
    <w:lvl w:ilvl="3" w:tplc="FFFFFFFF" w:tentative="1">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26" w15:restartNumberingAfterBreak="0">
    <w:nsid w:val="39010CC2"/>
    <w:multiLevelType w:val="hybridMultilevel"/>
    <w:tmpl w:val="1EF025EE"/>
    <w:lvl w:ilvl="0" w:tplc="0809000F">
      <w:start w:val="1"/>
      <w:numFmt w:val="decimal"/>
      <w:lvlText w:val="%1."/>
      <w:lvlJc w:val="left"/>
      <w:pPr>
        <w:ind w:left="720" w:hanging="360"/>
      </w:pPr>
    </w:lvl>
    <w:lvl w:ilvl="1" w:tplc="8C6699A2">
      <w:start w:val="1"/>
      <w:numFmt w:val="lowerRoman"/>
      <w:lvlText w:val="(%2)"/>
      <w:lvlJc w:val="left"/>
      <w:pPr>
        <w:ind w:left="1800" w:hanging="720"/>
      </w:pPr>
      <w:rPr>
        <w:rFonts w:eastAsiaTheme="minorHAnsi"/>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3D867850"/>
    <w:multiLevelType w:val="multilevel"/>
    <w:tmpl w:val="1EC4A242"/>
    <w:lvl w:ilvl="0">
      <w:start w:val="1"/>
      <w:numFmt w:val="decimal"/>
      <w:pStyle w:val="Heading1"/>
      <w:lvlText w:val="%1"/>
      <w:lvlJc w:val="left"/>
      <w:pPr>
        <w:ind w:left="716"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857"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8" w15:restartNumberingAfterBreak="0">
    <w:nsid w:val="41146455"/>
    <w:multiLevelType w:val="hybridMultilevel"/>
    <w:tmpl w:val="1E24925A"/>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437176B6"/>
    <w:multiLevelType w:val="hybridMultilevel"/>
    <w:tmpl w:val="E796F10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48C0316E"/>
    <w:multiLevelType w:val="hybridMultilevel"/>
    <w:tmpl w:val="259C1F32"/>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1" w15:restartNumberingAfterBreak="0">
    <w:nsid w:val="4E5F6715"/>
    <w:multiLevelType w:val="hybridMultilevel"/>
    <w:tmpl w:val="A6EE7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35154F"/>
    <w:multiLevelType w:val="hybridMultilevel"/>
    <w:tmpl w:val="5D4EED54"/>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3" w15:restartNumberingAfterBreak="0">
    <w:nsid w:val="5AD732A4"/>
    <w:multiLevelType w:val="hybridMultilevel"/>
    <w:tmpl w:val="C414E07A"/>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5B022EB5"/>
    <w:multiLevelType w:val="multilevel"/>
    <w:tmpl w:val="B4B8648C"/>
    <w:lvl w:ilvl="0">
      <w:start w:val="1"/>
      <w:numFmt w:val="decimal"/>
      <w:lvlText w:val="%1"/>
      <w:lvlJc w:val="left"/>
      <w:pPr>
        <w:ind w:left="432" w:hanging="432"/>
      </w:pPr>
      <w:rPr>
        <w:rFonts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5BB03CFF"/>
    <w:multiLevelType w:val="hybridMultilevel"/>
    <w:tmpl w:val="7960F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37"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7F047C"/>
    <w:multiLevelType w:val="hybridMultilevel"/>
    <w:tmpl w:val="7B225CB2"/>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 w15:restartNumberingAfterBreak="0">
    <w:nsid w:val="6D104157"/>
    <w:multiLevelType w:val="multilevel"/>
    <w:tmpl w:val="FEE8D3FC"/>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b w:val="0"/>
        <w:bCs w:val="0"/>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5730A8"/>
    <w:multiLevelType w:val="multilevel"/>
    <w:tmpl w:val="031230FE"/>
    <w:lvl w:ilvl="0">
      <w:start w:val="1"/>
      <w:numFmt w:val="decimal"/>
      <w:lvlText w:val="%1"/>
      <w:lvlJc w:val="left"/>
      <w:pPr>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1F6441F"/>
    <w:multiLevelType w:val="hybridMultilevel"/>
    <w:tmpl w:val="63A4F0C2"/>
    <w:lvl w:ilvl="0" w:tplc="BA8E5496">
      <w:start w:val="1"/>
      <w:numFmt w:val="lowerLetter"/>
      <w:lvlText w:val="(%1)"/>
      <w:lvlJc w:val="left"/>
      <w:pPr>
        <w:ind w:left="396" w:hanging="360"/>
      </w:pPr>
      <w:rPr>
        <w:rFonts w:hint="default"/>
      </w:rPr>
    </w:lvl>
    <w:lvl w:ilvl="1" w:tplc="08090019" w:tentative="1">
      <w:start w:val="1"/>
      <w:numFmt w:val="lowerLetter"/>
      <w:lvlText w:val="%2."/>
      <w:lvlJc w:val="left"/>
      <w:pPr>
        <w:ind w:left="1116" w:hanging="360"/>
      </w:pPr>
    </w:lvl>
    <w:lvl w:ilvl="2" w:tplc="0809001B" w:tentative="1">
      <w:start w:val="1"/>
      <w:numFmt w:val="lowerRoman"/>
      <w:lvlText w:val="%3."/>
      <w:lvlJc w:val="right"/>
      <w:pPr>
        <w:ind w:left="1836" w:hanging="180"/>
      </w:pPr>
    </w:lvl>
    <w:lvl w:ilvl="3" w:tplc="0809000F" w:tentative="1">
      <w:start w:val="1"/>
      <w:numFmt w:val="decimal"/>
      <w:lvlText w:val="%4."/>
      <w:lvlJc w:val="left"/>
      <w:pPr>
        <w:ind w:left="2556" w:hanging="360"/>
      </w:pPr>
    </w:lvl>
    <w:lvl w:ilvl="4" w:tplc="08090019" w:tentative="1">
      <w:start w:val="1"/>
      <w:numFmt w:val="lowerLetter"/>
      <w:lvlText w:val="%5."/>
      <w:lvlJc w:val="left"/>
      <w:pPr>
        <w:ind w:left="3276" w:hanging="360"/>
      </w:pPr>
    </w:lvl>
    <w:lvl w:ilvl="5" w:tplc="0809001B" w:tentative="1">
      <w:start w:val="1"/>
      <w:numFmt w:val="lowerRoman"/>
      <w:lvlText w:val="%6."/>
      <w:lvlJc w:val="right"/>
      <w:pPr>
        <w:ind w:left="3996" w:hanging="180"/>
      </w:pPr>
    </w:lvl>
    <w:lvl w:ilvl="6" w:tplc="0809000F" w:tentative="1">
      <w:start w:val="1"/>
      <w:numFmt w:val="decimal"/>
      <w:lvlText w:val="%7."/>
      <w:lvlJc w:val="left"/>
      <w:pPr>
        <w:ind w:left="4716" w:hanging="360"/>
      </w:pPr>
    </w:lvl>
    <w:lvl w:ilvl="7" w:tplc="08090019" w:tentative="1">
      <w:start w:val="1"/>
      <w:numFmt w:val="lowerLetter"/>
      <w:lvlText w:val="%8."/>
      <w:lvlJc w:val="left"/>
      <w:pPr>
        <w:ind w:left="5436" w:hanging="360"/>
      </w:pPr>
    </w:lvl>
    <w:lvl w:ilvl="8" w:tplc="0809001B" w:tentative="1">
      <w:start w:val="1"/>
      <w:numFmt w:val="lowerRoman"/>
      <w:lvlText w:val="%9."/>
      <w:lvlJc w:val="right"/>
      <w:pPr>
        <w:ind w:left="6156" w:hanging="180"/>
      </w:pPr>
    </w:lvl>
  </w:abstractNum>
  <w:abstractNum w:abstractNumId="45" w15:restartNumberingAfterBreak="0">
    <w:nsid w:val="738F79EB"/>
    <w:multiLevelType w:val="hybridMultilevel"/>
    <w:tmpl w:val="C76AC42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74522ED2"/>
    <w:multiLevelType w:val="hybridMultilevel"/>
    <w:tmpl w:val="206E734E"/>
    <w:lvl w:ilvl="0" w:tplc="FFFFFFFF">
      <w:start w:val="1"/>
      <w:numFmt w:val="lowerLetter"/>
      <w:lvlText w:val="%1)"/>
      <w:lvlJc w:val="left"/>
      <w:pPr>
        <w:ind w:left="936" w:hanging="360"/>
      </w:p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tentative="1">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47" w15:restartNumberingAfterBreak="0">
    <w:nsid w:val="74971866"/>
    <w:multiLevelType w:val="hybridMultilevel"/>
    <w:tmpl w:val="DE76DC62"/>
    <w:lvl w:ilvl="0" w:tplc="EC2E24C4">
      <w:start w:val="1"/>
      <w:numFmt w:val="lowerRoman"/>
      <w:lvlText w:val="%1."/>
      <w:lvlJc w:val="left"/>
      <w:pPr>
        <w:ind w:left="1429" w:hanging="72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8" w15:restartNumberingAfterBreak="0">
    <w:nsid w:val="76A86190"/>
    <w:multiLevelType w:val="multilevel"/>
    <w:tmpl w:val="88A25760"/>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49"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806973828">
    <w:abstractNumId w:val="48"/>
  </w:num>
  <w:num w:numId="2" w16cid:durableId="752433472">
    <w:abstractNumId w:val="39"/>
  </w:num>
  <w:num w:numId="3" w16cid:durableId="28917828">
    <w:abstractNumId w:val="17"/>
  </w:num>
  <w:num w:numId="4" w16cid:durableId="795871560">
    <w:abstractNumId w:val="22"/>
  </w:num>
  <w:num w:numId="5" w16cid:durableId="885873766">
    <w:abstractNumId w:val="12"/>
  </w:num>
  <w:num w:numId="6" w16cid:durableId="35936866">
    <w:abstractNumId w:val="40"/>
  </w:num>
  <w:num w:numId="7" w16cid:durableId="515047597">
    <w:abstractNumId w:val="24"/>
  </w:num>
  <w:num w:numId="8" w16cid:durableId="564339369">
    <w:abstractNumId w:val="14"/>
  </w:num>
  <w:num w:numId="9" w16cid:durableId="1429227800">
    <w:abstractNumId w:val="38"/>
  </w:num>
  <w:num w:numId="10" w16cid:durableId="1506896740">
    <w:abstractNumId w:val="36"/>
  </w:num>
  <w:num w:numId="11" w16cid:durableId="613486932">
    <w:abstractNumId w:val="6"/>
  </w:num>
  <w:num w:numId="12" w16cid:durableId="2093694327">
    <w:abstractNumId w:val="5"/>
  </w:num>
  <w:num w:numId="13" w16cid:durableId="788596678">
    <w:abstractNumId w:val="37"/>
  </w:num>
  <w:num w:numId="14" w16cid:durableId="1563372645">
    <w:abstractNumId w:val="4"/>
  </w:num>
  <w:num w:numId="15" w16cid:durableId="1420323430">
    <w:abstractNumId w:val="27"/>
  </w:num>
  <w:num w:numId="16" w16cid:durableId="139008497">
    <w:abstractNumId w:val="28"/>
  </w:num>
  <w:num w:numId="17" w16cid:durableId="18987091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8957293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23105167">
    <w:abstractNumId w:val="11"/>
  </w:num>
  <w:num w:numId="20" w16cid:durableId="1228493812">
    <w:abstractNumId w:val="42"/>
  </w:num>
  <w:num w:numId="21" w16cid:durableId="617106424">
    <w:abstractNumId w:val="18"/>
  </w:num>
  <w:num w:numId="22" w16cid:durableId="1034501440">
    <w:abstractNumId w:val="41"/>
  </w:num>
  <w:num w:numId="23" w16cid:durableId="2083209717">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68603214">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78360439">
    <w:abstractNumId w:val="23"/>
  </w:num>
  <w:num w:numId="26" w16cid:durableId="115412778">
    <w:abstractNumId w:val="34"/>
  </w:num>
  <w:num w:numId="27" w16cid:durableId="1518084590">
    <w:abstractNumId w:val="45"/>
  </w:num>
  <w:num w:numId="28" w16cid:durableId="295567835">
    <w:abstractNumId w:val="32"/>
  </w:num>
  <w:num w:numId="29" w16cid:durableId="8023120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942707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60660647">
    <w:abstractNumId w:val="44"/>
  </w:num>
  <w:num w:numId="32" w16cid:durableId="1693608993">
    <w:abstractNumId w:val="2"/>
  </w:num>
  <w:num w:numId="33" w16cid:durableId="1060708194">
    <w:abstractNumId w:val="16"/>
  </w:num>
  <w:num w:numId="34" w16cid:durableId="1002202204">
    <w:abstractNumId w:val="29"/>
  </w:num>
  <w:num w:numId="35" w16cid:durableId="474569170">
    <w:abstractNumId w:val="7"/>
  </w:num>
  <w:num w:numId="36" w16cid:durableId="1360159350">
    <w:abstractNumId w:val="13"/>
  </w:num>
  <w:num w:numId="37" w16cid:durableId="636565891">
    <w:abstractNumId w:val="10"/>
  </w:num>
  <w:num w:numId="38" w16cid:durableId="750079143">
    <w:abstractNumId w:val="33"/>
  </w:num>
  <w:num w:numId="39" w16cid:durableId="422606432">
    <w:abstractNumId w:val="49"/>
  </w:num>
  <w:num w:numId="40" w16cid:durableId="450981899">
    <w:abstractNumId w:val="4"/>
  </w:num>
  <w:num w:numId="41" w16cid:durableId="141391797">
    <w:abstractNumId w:val="15"/>
  </w:num>
  <w:num w:numId="42" w16cid:durableId="1491405155">
    <w:abstractNumId w:val="4"/>
  </w:num>
  <w:num w:numId="43" w16cid:durableId="1826583561">
    <w:abstractNumId w:val="1"/>
  </w:num>
  <w:num w:numId="44" w16cid:durableId="1778210330">
    <w:abstractNumId w:val="0"/>
  </w:num>
  <w:num w:numId="45" w16cid:durableId="1775247941">
    <w:abstractNumId w:val="46"/>
  </w:num>
  <w:num w:numId="46" w16cid:durableId="511602195">
    <w:abstractNumId w:val="25"/>
  </w:num>
  <w:num w:numId="47" w16cid:durableId="1793206348">
    <w:abstractNumId w:val="8"/>
  </w:num>
  <w:num w:numId="48" w16cid:durableId="105930946">
    <w:abstractNumId w:val="30"/>
  </w:num>
  <w:num w:numId="49" w16cid:durableId="1617908010">
    <w:abstractNumId w:val="9"/>
  </w:num>
  <w:num w:numId="50" w16cid:durableId="1363090123">
    <w:abstractNumId w:val="43"/>
  </w:num>
  <w:num w:numId="51" w16cid:durableId="1300454374">
    <w:abstractNumId w:val="48"/>
  </w:num>
  <w:num w:numId="52" w16cid:durableId="1664772606">
    <w:abstractNumId w:val="3"/>
  </w:num>
  <w:num w:numId="53" w16cid:durableId="172647949">
    <w:abstractNumId w:val="19"/>
  </w:num>
  <w:num w:numId="54" w16cid:durableId="2686582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26966949">
    <w:abstractNumId w:val="21"/>
  </w:num>
  <w:num w:numId="56" w16cid:durableId="1590968893">
    <w:abstractNumId w:val="35"/>
  </w:num>
  <w:num w:numId="57" w16cid:durableId="935093249">
    <w:abstractNumId w:val="31"/>
  </w:num>
  <w:num w:numId="58" w16cid:durableId="6785834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Lawton">
    <w15:presenceInfo w15:providerId="AD" w15:userId="S::lawtonj@electralink.co.uk::a094801b-d55f-44ae-9f0c-e4b013632d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2699"/>
    <w:rsid w:val="00003462"/>
    <w:rsid w:val="000035EE"/>
    <w:rsid w:val="00004426"/>
    <w:rsid w:val="00004A78"/>
    <w:rsid w:val="00005C2A"/>
    <w:rsid w:val="00006DAA"/>
    <w:rsid w:val="000078E8"/>
    <w:rsid w:val="00011883"/>
    <w:rsid w:val="0001312A"/>
    <w:rsid w:val="000131C0"/>
    <w:rsid w:val="00014A06"/>
    <w:rsid w:val="00015DC1"/>
    <w:rsid w:val="00021E27"/>
    <w:rsid w:val="00022B81"/>
    <w:rsid w:val="0002309B"/>
    <w:rsid w:val="00023625"/>
    <w:rsid w:val="00023D7F"/>
    <w:rsid w:val="000255CA"/>
    <w:rsid w:val="00026A6A"/>
    <w:rsid w:val="00031B44"/>
    <w:rsid w:val="000333B9"/>
    <w:rsid w:val="00034F8A"/>
    <w:rsid w:val="000363FA"/>
    <w:rsid w:val="00041A17"/>
    <w:rsid w:val="000427B0"/>
    <w:rsid w:val="00044779"/>
    <w:rsid w:val="00051908"/>
    <w:rsid w:val="00051A75"/>
    <w:rsid w:val="000530FC"/>
    <w:rsid w:val="00053808"/>
    <w:rsid w:val="000546C7"/>
    <w:rsid w:val="00055793"/>
    <w:rsid w:val="0005617C"/>
    <w:rsid w:val="000561DC"/>
    <w:rsid w:val="00056DDB"/>
    <w:rsid w:val="00057C9D"/>
    <w:rsid w:val="00062418"/>
    <w:rsid w:val="00062E0D"/>
    <w:rsid w:val="00063BE8"/>
    <w:rsid w:val="00063FEF"/>
    <w:rsid w:val="000644BF"/>
    <w:rsid w:val="0007268D"/>
    <w:rsid w:val="00074800"/>
    <w:rsid w:val="00074A93"/>
    <w:rsid w:val="0007540E"/>
    <w:rsid w:val="00081EA8"/>
    <w:rsid w:val="00082674"/>
    <w:rsid w:val="00082F1D"/>
    <w:rsid w:val="00084A3B"/>
    <w:rsid w:val="0008585D"/>
    <w:rsid w:val="000909B0"/>
    <w:rsid w:val="00094032"/>
    <w:rsid w:val="00096C4E"/>
    <w:rsid w:val="000A36A8"/>
    <w:rsid w:val="000A6E3A"/>
    <w:rsid w:val="000B007D"/>
    <w:rsid w:val="000B265D"/>
    <w:rsid w:val="000B2E3D"/>
    <w:rsid w:val="000B508A"/>
    <w:rsid w:val="000B5D6C"/>
    <w:rsid w:val="000C09EE"/>
    <w:rsid w:val="000C2A59"/>
    <w:rsid w:val="000C3207"/>
    <w:rsid w:val="000C4FB8"/>
    <w:rsid w:val="000C755D"/>
    <w:rsid w:val="000C7DBA"/>
    <w:rsid w:val="000D0228"/>
    <w:rsid w:val="000D1ECA"/>
    <w:rsid w:val="000D5720"/>
    <w:rsid w:val="000E0100"/>
    <w:rsid w:val="000E034A"/>
    <w:rsid w:val="000E1892"/>
    <w:rsid w:val="000E2DAD"/>
    <w:rsid w:val="000E2E48"/>
    <w:rsid w:val="000E3F5B"/>
    <w:rsid w:val="000E61F1"/>
    <w:rsid w:val="000E76BF"/>
    <w:rsid w:val="000F0C0A"/>
    <w:rsid w:val="000F1FBF"/>
    <w:rsid w:val="001021F6"/>
    <w:rsid w:val="001043F1"/>
    <w:rsid w:val="00105813"/>
    <w:rsid w:val="001060C1"/>
    <w:rsid w:val="00111F27"/>
    <w:rsid w:val="00112A28"/>
    <w:rsid w:val="00112F45"/>
    <w:rsid w:val="00116E9B"/>
    <w:rsid w:val="0011733C"/>
    <w:rsid w:val="00120516"/>
    <w:rsid w:val="001216C5"/>
    <w:rsid w:val="0012496E"/>
    <w:rsid w:val="001354DF"/>
    <w:rsid w:val="00137F73"/>
    <w:rsid w:val="0014008D"/>
    <w:rsid w:val="00142F3B"/>
    <w:rsid w:val="00143041"/>
    <w:rsid w:val="0014327C"/>
    <w:rsid w:val="001445A0"/>
    <w:rsid w:val="001451F4"/>
    <w:rsid w:val="00147DAF"/>
    <w:rsid w:val="001530F4"/>
    <w:rsid w:val="00153B91"/>
    <w:rsid w:val="0015749A"/>
    <w:rsid w:val="001619C3"/>
    <w:rsid w:val="00163588"/>
    <w:rsid w:val="00164E30"/>
    <w:rsid w:val="00174D21"/>
    <w:rsid w:val="001758F8"/>
    <w:rsid w:val="00180C4A"/>
    <w:rsid w:val="00182A0C"/>
    <w:rsid w:val="0018581B"/>
    <w:rsid w:val="00187E2F"/>
    <w:rsid w:val="001935E8"/>
    <w:rsid w:val="001937A0"/>
    <w:rsid w:val="00193F47"/>
    <w:rsid w:val="00194176"/>
    <w:rsid w:val="00194C6A"/>
    <w:rsid w:val="00194C79"/>
    <w:rsid w:val="00195160"/>
    <w:rsid w:val="00195416"/>
    <w:rsid w:val="00197A37"/>
    <w:rsid w:val="001A1612"/>
    <w:rsid w:val="001A41AF"/>
    <w:rsid w:val="001A44AB"/>
    <w:rsid w:val="001A564E"/>
    <w:rsid w:val="001A5839"/>
    <w:rsid w:val="001A6F74"/>
    <w:rsid w:val="001B2D7A"/>
    <w:rsid w:val="001B4D00"/>
    <w:rsid w:val="001B6C3E"/>
    <w:rsid w:val="001C01D5"/>
    <w:rsid w:val="001C0AAE"/>
    <w:rsid w:val="001C0C6E"/>
    <w:rsid w:val="001C207A"/>
    <w:rsid w:val="001C22BF"/>
    <w:rsid w:val="001C665E"/>
    <w:rsid w:val="001D0B92"/>
    <w:rsid w:val="001D3EFD"/>
    <w:rsid w:val="001D525E"/>
    <w:rsid w:val="001D7EC5"/>
    <w:rsid w:val="001E162B"/>
    <w:rsid w:val="001E276F"/>
    <w:rsid w:val="001E32D7"/>
    <w:rsid w:val="001E3E66"/>
    <w:rsid w:val="001E5C4B"/>
    <w:rsid w:val="001E5D9F"/>
    <w:rsid w:val="001E6639"/>
    <w:rsid w:val="001E6DCF"/>
    <w:rsid w:val="001F1EDA"/>
    <w:rsid w:val="001F36FC"/>
    <w:rsid w:val="001F3812"/>
    <w:rsid w:val="001F4DA0"/>
    <w:rsid w:val="001F65EF"/>
    <w:rsid w:val="001F6DA9"/>
    <w:rsid w:val="001F7908"/>
    <w:rsid w:val="001F7D0E"/>
    <w:rsid w:val="00200A42"/>
    <w:rsid w:val="002036BB"/>
    <w:rsid w:val="002047E2"/>
    <w:rsid w:val="00205E60"/>
    <w:rsid w:val="00206A74"/>
    <w:rsid w:val="002077DD"/>
    <w:rsid w:val="002078E2"/>
    <w:rsid w:val="002104F3"/>
    <w:rsid w:val="002126D4"/>
    <w:rsid w:val="00212BF5"/>
    <w:rsid w:val="0021418F"/>
    <w:rsid w:val="002148B6"/>
    <w:rsid w:val="00215877"/>
    <w:rsid w:val="002161A4"/>
    <w:rsid w:val="0022587A"/>
    <w:rsid w:val="00225F2B"/>
    <w:rsid w:val="002272EF"/>
    <w:rsid w:val="00230857"/>
    <w:rsid w:val="00230BCD"/>
    <w:rsid w:val="00231BD5"/>
    <w:rsid w:val="00236DCB"/>
    <w:rsid w:val="0024000A"/>
    <w:rsid w:val="00240940"/>
    <w:rsid w:val="002426A7"/>
    <w:rsid w:val="00243DF1"/>
    <w:rsid w:val="002455AA"/>
    <w:rsid w:val="00251F86"/>
    <w:rsid w:val="00252B7D"/>
    <w:rsid w:val="0025406B"/>
    <w:rsid w:val="00254DCB"/>
    <w:rsid w:val="00255C02"/>
    <w:rsid w:val="00256075"/>
    <w:rsid w:val="00256566"/>
    <w:rsid w:val="002577AC"/>
    <w:rsid w:val="0025794E"/>
    <w:rsid w:val="00260BAE"/>
    <w:rsid w:val="00260C2C"/>
    <w:rsid w:val="00260E70"/>
    <w:rsid w:val="002612FD"/>
    <w:rsid w:val="00262CF5"/>
    <w:rsid w:val="00263600"/>
    <w:rsid w:val="00266BC0"/>
    <w:rsid w:val="002675D1"/>
    <w:rsid w:val="00270B15"/>
    <w:rsid w:val="00271F8C"/>
    <w:rsid w:val="0027227C"/>
    <w:rsid w:val="00272979"/>
    <w:rsid w:val="002753B1"/>
    <w:rsid w:val="002758A6"/>
    <w:rsid w:val="002766BC"/>
    <w:rsid w:val="00276D1A"/>
    <w:rsid w:val="00277121"/>
    <w:rsid w:val="00277209"/>
    <w:rsid w:val="0027771E"/>
    <w:rsid w:val="00281CF1"/>
    <w:rsid w:val="00281F45"/>
    <w:rsid w:val="00282180"/>
    <w:rsid w:val="00282977"/>
    <w:rsid w:val="00284F86"/>
    <w:rsid w:val="00286CBD"/>
    <w:rsid w:val="002907AD"/>
    <w:rsid w:val="00290F86"/>
    <w:rsid w:val="00291083"/>
    <w:rsid w:val="00291632"/>
    <w:rsid w:val="00293C2D"/>
    <w:rsid w:val="00293CB4"/>
    <w:rsid w:val="00294835"/>
    <w:rsid w:val="002962E4"/>
    <w:rsid w:val="0029721F"/>
    <w:rsid w:val="00297758"/>
    <w:rsid w:val="002A119C"/>
    <w:rsid w:val="002A1E69"/>
    <w:rsid w:val="002A369F"/>
    <w:rsid w:val="002A36B9"/>
    <w:rsid w:val="002A41E9"/>
    <w:rsid w:val="002A559F"/>
    <w:rsid w:val="002A6C41"/>
    <w:rsid w:val="002B2188"/>
    <w:rsid w:val="002B4393"/>
    <w:rsid w:val="002B6671"/>
    <w:rsid w:val="002B68DB"/>
    <w:rsid w:val="002C1553"/>
    <w:rsid w:val="002C1A5C"/>
    <w:rsid w:val="002D1E91"/>
    <w:rsid w:val="002D25F9"/>
    <w:rsid w:val="002D575C"/>
    <w:rsid w:val="002D584E"/>
    <w:rsid w:val="002D5DFC"/>
    <w:rsid w:val="002D6272"/>
    <w:rsid w:val="002D6521"/>
    <w:rsid w:val="002E2ECA"/>
    <w:rsid w:val="002F0224"/>
    <w:rsid w:val="002F13B8"/>
    <w:rsid w:val="002F357D"/>
    <w:rsid w:val="002F36CD"/>
    <w:rsid w:val="002F40F9"/>
    <w:rsid w:val="002F670B"/>
    <w:rsid w:val="002F6CD0"/>
    <w:rsid w:val="003002B2"/>
    <w:rsid w:val="00301DAF"/>
    <w:rsid w:val="00302864"/>
    <w:rsid w:val="00302F67"/>
    <w:rsid w:val="0030347F"/>
    <w:rsid w:val="00305AC5"/>
    <w:rsid w:val="00306BF5"/>
    <w:rsid w:val="0030788E"/>
    <w:rsid w:val="00307AB3"/>
    <w:rsid w:val="00312477"/>
    <w:rsid w:val="0031323B"/>
    <w:rsid w:val="00313E9E"/>
    <w:rsid w:val="00313FE4"/>
    <w:rsid w:val="00315425"/>
    <w:rsid w:val="00316676"/>
    <w:rsid w:val="00320457"/>
    <w:rsid w:val="0032174D"/>
    <w:rsid w:val="003221E9"/>
    <w:rsid w:val="0033097B"/>
    <w:rsid w:val="00332FE3"/>
    <w:rsid w:val="00334581"/>
    <w:rsid w:val="00335582"/>
    <w:rsid w:val="00336821"/>
    <w:rsid w:val="00341CAD"/>
    <w:rsid w:val="00342DC3"/>
    <w:rsid w:val="00344FDC"/>
    <w:rsid w:val="00345EE1"/>
    <w:rsid w:val="003504C6"/>
    <w:rsid w:val="00351769"/>
    <w:rsid w:val="00351960"/>
    <w:rsid w:val="00352A27"/>
    <w:rsid w:val="00354303"/>
    <w:rsid w:val="0035487C"/>
    <w:rsid w:val="003557B1"/>
    <w:rsid w:val="00356244"/>
    <w:rsid w:val="00357570"/>
    <w:rsid w:val="0035786F"/>
    <w:rsid w:val="00362030"/>
    <w:rsid w:val="00363FE9"/>
    <w:rsid w:val="003650F6"/>
    <w:rsid w:val="003656A5"/>
    <w:rsid w:val="00367606"/>
    <w:rsid w:val="00367F60"/>
    <w:rsid w:val="0037034E"/>
    <w:rsid w:val="00370EB1"/>
    <w:rsid w:val="003711F3"/>
    <w:rsid w:val="003742A9"/>
    <w:rsid w:val="00377752"/>
    <w:rsid w:val="003806D4"/>
    <w:rsid w:val="00380C64"/>
    <w:rsid w:val="00381EB7"/>
    <w:rsid w:val="00382814"/>
    <w:rsid w:val="0038381A"/>
    <w:rsid w:val="00383DEB"/>
    <w:rsid w:val="00386096"/>
    <w:rsid w:val="00390D19"/>
    <w:rsid w:val="003920ED"/>
    <w:rsid w:val="003921E9"/>
    <w:rsid w:val="00393132"/>
    <w:rsid w:val="003971AB"/>
    <w:rsid w:val="00397BC7"/>
    <w:rsid w:val="003A016A"/>
    <w:rsid w:val="003A0F21"/>
    <w:rsid w:val="003A26BF"/>
    <w:rsid w:val="003A2AA8"/>
    <w:rsid w:val="003A2BCC"/>
    <w:rsid w:val="003A4FC7"/>
    <w:rsid w:val="003A6CCA"/>
    <w:rsid w:val="003B0780"/>
    <w:rsid w:val="003B1A71"/>
    <w:rsid w:val="003B1DAB"/>
    <w:rsid w:val="003B4359"/>
    <w:rsid w:val="003B44D0"/>
    <w:rsid w:val="003B5723"/>
    <w:rsid w:val="003B5816"/>
    <w:rsid w:val="003C1B1D"/>
    <w:rsid w:val="003C1BBC"/>
    <w:rsid w:val="003C1E4D"/>
    <w:rsid w:val="003C22DF"/>
    <w:rsid w:val="003C457B"/>
    <w:rsid w:val="003C4891"/>
    <w:rsid w:val="003C6AB2"/>
    <w:rsid w:val="003D0281"/>
    <w:rsid w:val="003D0359"/>
    <w:rsid w:val="003D1EB9"/>
    <w:rsid w:val="003D41D8"/>
    <w:rsid w:val="003D42CC"/>
    <w:rsid w:val="003D5877"/>
    <w:rsid w:val="003D5AB3"/>
    <w:rsid w:val="003D5EBC"/>
    <w:rsid w:val="003D6504"/>
    <w:rsid w:val="003D7D58"/>
    <w:rsid w:val="003E0757"/>
    <w:rsid w:val="003E0B53"/>
    <w:rsid w:val="003E0CEE"/>
    <w:rsid w:val="003E16D8"/>
    <w:rsid w:val="003E1B16"/>
    <w:rsid w:val="003E2000"/>
    <w:rsid w:val="003F030F"/>
    <w:rsid w:val="003F0B70"/>
    <w:rsid w:val="003F24D4"/>
    <w:rsid w:val="003F2A86"/>
    <w:rsid w:val="003F4C36"/>
    <w:rsid w:val="004010EF"/>
    <w:rsid w:val="004028D5"/>
    <w:rsid w:val="00404220"/>
    <w:rsid w:val="004045E4"/>
    <w:rsid w:val="00405D8A"/>
    <w:rsid w:val="00407A93"/>
    <w:rsid w:val="00411E73"/>
    <w:rsid w:val="00413790"/>
    <w:rsid w:val="004142E7"/>
    <w:rsid w:val="00415742"/>
    <w:rsid w:val="004164CB"/>
    <w:rsid w:val="00416FC8"/>
    <w:rsid w:val="00420FB8"/>
    <w:rsid w:val="00421B40"/>
    <w:rsid w:val="00422258"/>
    <w:rsid w:val="004226A8"/>
    <w:rsid w:val="0042584E"/>
    <w:rsid w:val="00426FD6"/>
    <w:rsid w:val="00430E90"/>
    <w:rsid w:val="00431D40"/>
    <w:rsid w:val="00432081"/>
    <w:rsid w:val="00433909"/>
    <w:rsid w:val="00433CFE"/>
    <w:rsid w:val="00434F19"/>
    <w:rsid w:val="00435C42"/>
    <w:rsid w:val="00435CF2"/>
    <w:rsid w:val="00436AEA"/>
    <w:rsid w:val="00436BE7"/>
    <w:rsid w:val="004428DE"/>
    <w:rsid w:val="00443D57"/>
    <w:rsid w:val="00446636"/>
    <w:rsid w:val="00447064"/>
    <w:rsid w:val="00450385"/>
    <w:rsid w:val="004504EA"/>
    <w:rsid w:val="0045172D"/>
    <w:rsid w:val="004525C1"/>
    <w:rsid w:val="00453452"/>
    <w:rsid w:val="004570AC"/>
    <w:rsid w:val="004579CF"/>
    <w:rsid w:val="0046001A"/>
    <w:rsid w:val="00461063"/>
    <w:rsid w:val="00461C2F"/>
    <w:rsid w:val="00463EF6"/>
    <w:rsid w:val="00464782"/>
    <w:rsid w:val="00464E42"/>
    <w:rsid w:val="004656AE"/>
    <w:rsid w:val="0046650B"/>
    <w:rsid w:val="00467FF9"/>
    <w:rsid w:val="00473B9D"/>
    <w:rsid w:val="00474090"/>
    <w:rsid w:val="00474DED"/>
    <w:rsid w:val="00480F9A"/>
    <w:rsid w:val="00481C52"/>
    <w:rsid w:val="0048657A"/>
    <w:rsid w:val="00490F6C"/>
    <w:rsid w:val="00491B8B"/>
    <w:rsid w:val="00492D24"/>
    <w:rsid w:val="00494730"/>
    <w:rsid w:val="004948C3"/>
    <w:rsid w:val="004958FC"/>
    <w:rsid w:val="004969DC"/>
    <w:rsid w:val="004A0E5A"/>
    <w:rsid w:val="004A105A"/>
    <w:rsid w:val="004A22E8"/>
    <w:rsid w:val="004A3386"/>
    <w:rsid w:val="004A5970"/>
    <w:rsid w:val="004A631D"/>
    <w:rsid w:val="004A75C4"/>
    <w:rsid w:val="004B0369"/>
    <w:rsid w:val="004B0EA7"/>
    <w:rsid w:val="004B27FB"/>
    <w:rsid w:val="004B318C"/>
    <w:rsid w:val="004B376C"/>
    <w:rsid w:val="004B53B2"/>
    <w:rsid w:val="004B53C8"/>
    <w:rsid w:val="004B7ABF"/>
    <w:rsid w:val="004C2609"/>
    <w:rsid w:val="004C262E"/>
    <w:rsid w:val="004C29B3"/>
    <w:rsid w:val="004C2D37"/>
    <w:rsid w:val="004C3B1D"/>
    <w:rsid w:val="004C4371"/>
    <w:rsid w:val="004C4481"/>
    <w:rsid w:val="004C5F98"/>
    <w:rsid w:val="004C6117"/>
    <w:rsid w:val="004C66D0"/>
    <w:rsid w:val="004D09F0"/>
    <w:rsid w:val="004D0D74"/>
    <w:rsid w:val="004D149E"/>
    <w:rsid w:val="004D1CB3"/>
    <w:rsid w:val="004D430C"/>
    <w:rsid w:val="004E19BB"/>
    <w:rsid w:val="004E1D1B"/>
    <w:rsid w:val="004E2468"/>
    <w:rsid w:val="004E4F32"/>
    <w:rsid w:val="004F24F8"/>
    <w:rsid w:val="004F358E"/>
    <w:rsid w:val="004F4A12"/>
    <w:rsid w:val="004F5A7A"/>
    <w:rsid w:val="00500707"/>
    <w:rsid w:val="005023B5"/>
    <w:rsid w:val="00502763"/>
    <w:rsid w:val="00502ABC"/>
    <w:rsid w:val="00504125"/>
    <w:rsid w:val="00504E6C"/>
    <w:rsid w:val="005053BD"/>
    <w:rsid w:val="0050697B"/>
    <w:rsid w:val="005079E0"/>
    <w:rsid w:val="00511414"/>
    <w:rsid w:val="00513062"/>
    <w:rsid w:val="00513631"/>
    <w:rsid w:val="00513DF8"/>
    <w:rsid w:val="0051566C"/>
    <w:rsid w:val="00516D76"/>
    <w:rsid w:val="005171DE"/>
    <w:rsid w:val="005177DA"/>
    <w:rsid w:val="00521E18"/>
    <w:rsid w:val="005251AD"/>
    <w:rsid w:val="00527889"/>
    <w:rsid w:val="005309E2"/>
    <w:rsid w:val="005310CC"/>
    <w:rsid w:val="00531B35"/>
    <w:rsid w:val="0053467B"/>
    <w:rsid w:val="005352A6"/>
    <w:rsid w:val="005357A0"/>
    <w:rsid w:val="00540357"/>
    <w:rsid w:val="005445B1"/>
    <w:rsid w:val="0054531B"/>
    <w:rsid w:val="00545878"/>
    <w:rsid w:val="0054675B"/>
    <w:rsid w:val="005469C0"/>
    <w:rsid w:val="0055068A"/>
    <w:rsid w:val="00551BF6"/>
    <w:rsid w:val="00551F34"/>
    <w:rsid w:val="00554B13"/>
    <w:rsid w:val="00554CF5"/>
    <w:rsid w:val="00555F2A"/>
    <w:rsid w:val="00556559"/>
    <w:rsid w:val="0055672D"/>
    <w:rsid w:val="00560EF2"/>
    <w:rsid w:val="005649CA"/>
    <w:rsid w:val="0056694C"/>
    <w:rsid w:val="00570056"/>
    <w:rsid w:val="005703B3"/>
    <w:rsid w:val="00571BDA"/>
    <w:rsid w:val="005734BD"/>
    <w:rsid w:val="00574742"/>
    <w:rsid w:val="005800B1"/>
    <w:rsid w:val="00580218"/>
    <w:rsid w:val="00583C1F"/>
    <w:rsid w:val="005857FC"/>
    <w:rsid w:val="00586610"/>
    <w:rsid w:val="00587971"/>
    <w:rsid w:val="00587E1E"/>
    <w:rsid w:val="00590981"/>
    <w:rsid w:val="005967C2"/>
    <w:rsid w:val="00597D29"/>
    <w:rsid w:val="00597E76"/>
    <w:rsid w:val="005A0143"/>
    <w:rsid w:val="005A1E00"/>
    <w:rsid w:val="005A21BE"/>
    <w:rsid w:val="005A326F"/>
    <w:rsid w:val="005A4046"/>
    <w:rsid w:val="005A4F5D"/>
    <w:rsid w:val="005A6174"/>
    <w:rsid w:val="005A7018"/>
    <w:rsid w:val="005A70A8"/>
    <w:rsid w:val="005A7145"/>
    <w:rsid w:val="005B0B30"/>
    <w:rsid w:val="005B105E"/>
    <w:rsid w:val="005B3435"/>
    <w:rsid w:val="005B378E"/>
    <w:rsid w:val="005B3B26"/>
    <w:rsid w:val="005B54EF"/>
    <w:rsid w:val="005C0CD3"/>
    <w:rsid w:val="005C2175"/>
    <w:rsid w:val="005C22EF"/>
    <w:rsid w:val="005C57E3"/>
    <w:rsid w:val="005D0FA1"/>
    <w:rsid w:val="005D1C91"/>
    <w:rsid w:val="005D2135"/>
    <w:rsid w:val="005D4418"/>
    <w:rsid w:val="005D4631"/>
    <w:rsid w:val="005D4958"/>
    <w:rsid w:val="005D4A2B"/>
    <w:rsid w:val="005D4C81"/>
    <w:rsid w:val="005D5BA1"/>
    <w:rsid w:val="005D5CA9"/>
    <w:rsid w:val="005D72CA"/>
    <w:rsid w:val="005E0601"/>
    <w:rsid w:val="005E0C62"/>
    <w:rsid w:val="005E103C"/>
    <w:rsid w:val="005E3915"/>
    <w:rsid w:val="005E661A"/>
    <w:rsid w:val="005E7981"/>
    <w:rsid w:val="005F22A7"/>
    <w:rsid w:val="005F2D11"/>
    <w:rsid w:val="005F3932"/>
    <w:rsid w:val="005F4AE3"/>
    <w:rsid w:val="005F5231"/>
    <w:rsid w:val="00600756"/>
    <w:rsid w:val="00600B78"/>
    <w:rsid w:val="0060498D"/>
    <w:rsid w:val="006076BF"/>
    <w:rsid w:val="00610C8D"/>
    <w:rsid w:val="00611CA8"/>
    <w:rsid w:val="00613074"/>
    <w:rsid w:val="0061622B"/>
    <w:rsid w:val="00617B79"/>
    <w:rsid w:val="0062062A"/>
    <w:rsid w:val="00621E6E"/>
    <w:rsid w:val="00622259"/>
    <w:rsid w:val="00622DC8"/>
    <w:rsid w:val="00623022"/>
    <w:rsid w:val="00623BF4"/>
    <w:rsid w:val="006243EB"/>
    <w:rsid w:val="00624FA6"/>
    <w:rsid w:val="00627983"/>
    <w:rsid w:val="00630F15"/>
    <w:rsid w:val="00631710"/>
    <w:rsid w:val="0063186C"/>
    <w:rsid w:val="00631EBB"/>
    <w:rsid w:val="006361BA"/>
    <w:rsid w:val="00636220"/>
    <w:rsid w:val="006377B6"/>
    <w:rsid w:val="00637CD6"/>
    <w:rsid w:val="006446A9"/>
    <w:rsid w:val="006446DD"/>
    <w:rsid w:val="00647335"/>
    <w:rsid w:val="00650186"/>
    <w:rsid w:val="00650F1C"/>
    <w:rsid w:val="00652D78"/>
    <w:rsid w:val="00652EB9"/>
    <w:rsid w:val="006533C3"/>
    <w:rsid w:val="006551B8"/>
    <w:rsid w:val="00661F00"/>
    <w:rsid w:val="006622BA"/>
    <w:rsid w:val="00664164"/>
    <w:rsid w:val="00664485"/>
    <w:rsid w:val="0066493A"/>
    <w:rsid w:val="00665358"/>
    <w:rsid w:val="006653B5"/>
    <w:rsid w:val="006655F5"/>
    <w:rsid w:val="00672FE8"/>
    <w:rsid w:val="00673901"/>
    <w:rsid w:val="0067455A"/>
    <w:rsid w:val="00674659"/>
    <w:rsid w:val="00681284"/>
    <w:rsid w:val="00684433"/>
    <w:rsid w:val="00685B34"/>
    <w:rsid w:val="00686835"/>
    <w:rsid w:val="006876B6"/>
    <w:rsid w:val="00691A06"/>
    <w:rsid w:val="00694865"/>
    <w:rsid w:val="006949DF"/>
    <w:rsid w:val="00694A0B"/>
    <w:rsid w:val="00697683"/>
    <w:rsid w:val="006A0767"/>
    <w:rsid w:val="006A14BF"/>
    <w:rsid w:val="006A1565"/>
    <w:rsid w:val="006A348B"/>
    <w:rsid w:val="006A504B"/>
    <w:rsid w:val="006A5279"/>
    <w:rsid w:val="006A7390"/>
    <w:rsid w:val="006B1883"/>
    <w:rsid w:val="006B5116"/>
    <w:rsid w:val="006B68D8"/>
    <w:rsid w:val="006B6D83"/>
    <w:rsid w:val="006C1856"/>
    <w:rsid w:val="006C5683"/>
    <w:rsid w:val="006D0CC1"/>
    <w:rsid w:val="006D0E98"/>
    <w:rsid w:val="006D0FB6"/>
    <w:rsid w:val="006D1979"/>
    <w:rsid w:val="006D1F16"/>
    <w:rsid w:val="006D200F"/>
    <w:rsid w:val="006D3676"/>
    <w:rsid w:val="006D3E76"/>
    <w:rsid w:val="006D62F9"/>
    <w:rsid w:val="006D75CD"/>
    <w:rsid w:val="006E12F7"/>
    <w:rsid w:val="006E6353"/>
    <w:rsid w:val="006E6595"/>
    <w:rsid w:val="006E7327"/>
    <w:rsid w:val="006E7560"/>
    <w:rsid w:val="006E7A7E"/>
    <w:rsid w:val="006E7CA8"/>
    <w:rsid w:val="006F000A"/>
    <w:rsid w:val="006F19E3"/>
    <w:rsid w:val="006F2150"/>
    <w:rsid w:val="006F4505"/>
    <w:rsid w:val="006F4689"/>
    <w:rsid w:val="006F4798"/>
    <w:rsid w:val="006F798F"/>
    <w:rsid w:val="007015FF"/>
    <w:rsid w:val="00701D85"/>
    <w:rsid w:val="00701E18"/>
    <w:rsid w:val="007021E2"/>
    <w:rsid w:val="007036F6"/>
    <w:rsid w:val="00703818"/>
    <w:rsid w:val="007044BE"/>
    <w:rsid w:val="00706916"/>
    <w:rsid w:val="00707ACD"/>
    <w:rsid w:val="007105B3"/>
    <w:rsid w:val="00710E92"/>
    <w:rsid w:val="0071122B"/>
    <w:rsid w:val="0071207A"/>
    <w:rsid w:val="0071547D"/>
    <w:rsid w:val="0071735E"/>
    <w:rsid w:val="00720BEA"/>
    <w:rsid w:val="00721D36"/>
    <w:rsid w:val="00722FCE"/>
    <w:rsid w:val="0072385C"/>
    <w:rsid w:val="00726171"/>
    <w:rsid w:val="00731B99"/>
    <w:rsid w:val="00733D46"/>
    <w:rsid w:val="00733F4B"/>
    <w:rsid w:val="00734630"/>
    <w:rsid w:val="007351FD"/>
    <w:rsid w:val="00735A6B"/>
    <w:rsid w:val="007362EC"/>
    <w:rsid w:val="0073739B"/>
    <w:rsid w:val="007374B9"/>
    <w:rsid w:val="00740587"/>
    <w:rsid w:val="00740A8F"/>
    <w:rsid w:val="00742876"/>
    <w:rsid w:val="007443A5"/>
    <w:rsid w:val="00746EB7"/>
    <w:rsid w:val="00747A24"/>
    <w:rsid w:val="007511CF"/>
    <w:rsid w:val="00751F87"/>
    <w:rsid w:val="00752E25"/>
    <w:rsid w:val="007550B2"/>
    <w:rsid w:val="00755FA9"/>
    <w:rsid w:val="0076023E"/>
    <w:rsid w:val="007607E8"/>
    <w:rsid w:val="007608FF"/>
    <w:rsid w:val="00760BD6"/>
    <w:rsid w:val="007626D9"/>
    <w:rsid w:val="00763F63"/>
    <w:rsid w:val="00764579"/>
    <w:rsid w:val="007653B2"/>
    <w:rsid w:val="00770BD6"/>
    <w:rsid w:val="00771ACE"/>
    <w:rsid w:val="00772942"/>
    <w:rsid w:val="00774F15"/>
    <w:rsid w:val="00775EF4"/>
    <w:rsid w:val="00775FB2"/>
    <w:rsid w:val="00780130"/>
    <w:rsid w:val="007806BA"/>
    <w:rsid w:val="00784486"/>
    <w:rsid w:val="0078738F"/>
    <w:rsid w:val="00787C8A"/>
    <w:rsid w:val="0079113B"/>
    <w:rsid w:val="00792539"/>
    <w:rsid w:val="0079399F"/>
    <w:rsid w:val="00794D7B"/>
    <w:rsid w:val="00796DA8"/>
    <w:rsid w:val="00797AA8"/>
    <w:rsid w:val="007A0FB2"/>
    <w:rsid w:val="007A4A34"/>
    <w:rsid w:val="007A4F58"/>
    <w:rsid w:val="007A6725"/>
    <w:rsid w:val="007A794B"/>
    <w:rsid w:val="007A7ADD"/>
    <w:rsid w:val="007B002D"/>
    <w:rsid w:val="007B0171"/>
    <w:rsid w:val="007B2962"/>
    <w:rsid w:val="007B4476"/>
    <w:rsid w:val="007B7733"/>
    <w:rsid w:val="007C00DA"/>
    <w:rsid w:val="007C0929"/>
    <w:rsid w:val="007C0E16"/>
    <w:rsid w:val="007C3F94"/>
    <w:rsid w:val="007C4E06"/>
    <w:rsid w:val="007C790C"/>
    <w:rsid w:val="007D1C84"/>
    <w:rsid w:val="007D1EAD"/>
    <w:rsid w:val="007D2270"/>
    <w:rsid w:val="007D654E"/>
    <w:rsid w:val="007D7032"/>
    <w:rsid w:val="007D7C47"/>
    <w:rsid w:val="007E1A43"/>
    <w:rsid w:val="007E3172"/>
    <w:rsid w:val="007E3C0E"/>
    <w:rsid w:val="007E506D"/>
    <w:rsid w:val="007E572E"/>
    <w:rsid w:val="007E67F0"/>
    <w:rsid w:val="007E718E"/>
    <w:rsid w:val="007F366C"/>
    <w:rsid w:val="007F39CE"/>
    <w:rsid w:val="007F41DB"/>
    <w:rsid w:val="007F5277"/>
    <w:rsid w:val="007F5606"/>
    <w:rsid w:val="008001B9"/>
    <w:rsid w:val="008033D8"/>
    <w:rsid w:val="0080706F"/>
    <w:rsid w:val="008115C5"/>
    <w:rsid w:val="008122AD"/>
    <w:rsid w:val="008124C0"/>
    <w:rsid w:val="00812C70"/>
    <w:rsid w:val="008135BE"/>
    <w:rsid w:val="0081418A"/>
    <w:rsid w:val="008149B0"/>
    <w:rsid w:val="00817086"/>
    <w:rsid w:val="008174D9"/>
    <w:rsid w:val="008177D7"/>
    <w:rsid w:val="00822D9F"/>
    <w:rsid w:val="00825226"/>
    <w:rsid w:val="00826203"/>
    <w:rsid w:val="00826E09"/>
    <w:rsid w:val="008272A5"/>
    <w:rsid w:val="008277A6"/>
    <w:rsid w:val="00831644"/>
    <w:rsid w:val="00833183"/>
    <w:rsid w:val="0083599D"/>
    <w:rsid w:val="00835B9B"/>
    <w:rsid w:val="008423A3"/>
    <w:rsid w:val="00844F2B"/>
    <w:rsid w:val="00845FD4"/>
    <w:rsid w:val="00846746"/>
    <w:rsid w:val="00846D9D"/>
    <w:rsid w:val="0085211A"/>
    <w:rsid w:val="0085254A"/>
    <w:rsid w:val="008526FF"/>
    <w:rsid w:val="008533C2"/>
    <w:rsid w:val="00853657"/>
    <w:rsid w:val="0085587F"/>
    <w:rsid w:val="00856BC5"/>
    <w:rsid w:val="00856C0B"/>
    <w:rsid w:val="008576A1"/>
    <w:rsid w:val="00857CC2"/>
    <w:rsid w:val="0086142A"/>
    <w:rsid w:val="00861D88"/>
    <w:rsid w:val="00862111"/>
    <w:rsid w:val="00862D16"/>
    <w:rsid w:val="00863C5E"/>
    <w:rsid w:val="0086473B"/>
    <w:rsid w:val="008647B0"/>
    <w:rsid w:val="00864BF2"/>
    <w:rsid w:val="00865300"/>
    <w:rsid w:val="00865B73"/>
    <w:rsid w:val="008667CC"/>
    <w:rsid w:val="00870318"/>
    <w:rsid w:val="0087280E"/>
    <w:rsid w:val="00872F09"/>
    <w:rsid w:val="0087362B"/>
    <w:rsid w:val="00876442"/>
    <w:rsid w:val="00876FA4"/>
    <w:rsid w:val="00880168"/>
    <w:rsid w:val="008825E4"/>
    <w:rsid w:val="00882D3C"/>
    <w:rsid w:val="00884155"/>
    <w:rsid w:val="008847ED"/>
    <w:rsid w:val="00887D24"/>
    <w:rsid w:val="008927DF"/>
    <w:rsid w:val="00892D3B"/>
    <w:rsid w:val="00895154"/>
    <w:rsid w:val="00897EDC"/>
    <w:rsid w:val="008A1679"/>
    <w:rsid w:val="008A17EB"/>
    <w:rsid w:val="008A2824"/>
    <w:rsid w:val="008A2C2E"/>
    <w:rsid w:val="008A2F12"/>
    <w:rsid w:val="008A3853"/>
    <w:rsid w:val="008A38AE"/>
    <w:rsid w:val="008A3C81"/>
    <w:rsid w:val="008A44D8"/>
    <w:rsid w:val="008A5134"/>
    <w:rsid w:val="008A51AD"/>
    <w:rsid w:val="008B1393"/>
    <w:rsid w:val="008B3D74"/>
    <w:rsid w:val="008B3F8D"/>
    <w:rsid w:val="008B4953"/>
    <w:rsid w:val="008B547E"/>
    <w:rsid w:val="008B55D7"/>
    <w:rsid w:val="008B6CCD"/>
    <w:rsid w:val="008C5774"/>
    <w:rsid w:val="008C579E"/>
    <w:rsid w:val="008D0FCF"/>
    <w:rsid w:val="008D37F6"/>
    <w:rsid w:val="008D5B54"/>
    <w:rsid w:val="008D6266"/>
    <w:rsid w:val="008D656E"/>
    <w:rsid w:val="008D7983"/>
    <w:rsid w:val="008E34D4"/>
    <w:rsid w:val="008E5AD8"/>
    <w:rsid w:val="008F09A9"/>
    <w:rsid w:val="008F2E36"/>
    <w:rsid w:val="008F3B20"/>
    <w:rsid w:val="008F3D78"/>
    <w:rsid w:val="008F642F"/>
    <w:rsid w:val="00900963"/>
    <w:rsid w:val="00900D5B"/>
    <w:rsid w:val="009047F7"/>
    <w:rsid w:val="0090492C"/>
    <w:rsid w:val="009121FF"/>
    <w:rsid w:val="009129DC"/>
    <w:rsid w:val="00912D7B"/>
    <w:rsid w:val="00913148"/>
    <w:rsid w:val="009139D9"/>
    <w:rsid w:val="0091742E"/>
    <w:rsid w:val="009208D8"/>
    <w:rsid w:val="00922DBD"/>
    <w:rsid w:val="0092387F"/>
    <w:rsid w:val="00925F3A"/>
    <w:rsid w:val="00926505"/>
    <w:rsid w:val="009265C0"/>
    <w:rsid w:val="00926F0E"/>
    <w:rsid w:val="00927651"/>
    <w:rsid w:val="00930817"/>
    <w:rsid w:val="0093109F"/>
    <w:rsid w:val="00934AF9"/>
    <w:rsid w:val="00935573"/>
    <w:rsid w:val="009356A2"/>
    <w:rsid w:val="0093646F"/>
    <w:rsid w:val="00941D5F"/>
    <w:rsid w:val="00942D68"/>
    <w:rsid w:val="00944F44"/>
    <w:rsid w:val="00945537"/>
    <w:rsid w:val="009456EB"/>
    <w:rsid w:val="009469BE"/>
    <w:rsid w:val="0094797C"/>
    <w:rsid w:val="00947DC2"/>
    <w:rsid w:val="00951FDE"/>
    <w:rsid w:val="00954FC6"/>
    <w:rsid w:val="00957FBC"/>
    <w:rsid w:val="00960420"/>
    <w:rsid w:val="00960714"/>
    <w:rsid w:val="00961B05"/>
    <w:rsid w:val="009622C1"/>
    <w:rsid w:val="0096255F"/>
    <w:rsid w:val="009647C5"/>
    <w:rsid w:val="009671E0"/>
    <w:rsid w:val="009675F1"/>
    <w:rsid w:val="00967C6A"/>
    <w:rsid w:val="009704FB"/>
    <w:rsid w:val="00973707"/>
    <w:rsid w:val="0097527E"/>
    <w:rsid w:val="00980F79"/>
    <w:rsid w:val="00981F00"/>
    <w:rsid w:val="009832ED"/>
    <w:rsid w:val="00985FC1"/>
    <w:rsid w:val="00986DFB"/>
    <w:rsid w:val="00986F38"/>
    <w:rsid w:val="00987D02"/>
    <w:rsid w:val="0099038B"/>
    <w:rsid w:val="00990586"/>
    <w:rsid w:val="00991785"/>
    <w:rsid w:val="00993E9F"/>
    <w:rsid w:val="00994B34"/>
    <w:rsid w:val="00994EF3"/>
    <w:rsid w:val="00996869"/>
    <w:rsid w:val="00997577"/>
    <w:rsid w:val="009A03A4"/>
    <w:rsid w:val="009A0990"/>
    <w:rsid w:val="009A0A72"/>
    <w:rsid w:val="009A1852"/>
    <w:rsid w:val="009A200B"/>
    <w:rsid w:val="009A3F61"/>
    <w:rsid w:val="009B1E5F"/>
    <w:rsid w:val="009B39FD"/>
    <w:rsid w:val="009B5BC7"/>
    <w:rsid w:val="009C1C52"/>
    <w:rsid w:val="009C2EA4"/>
    <w:rsid w:val="009C43D8"/>
    <w:rsid w:val="009C7CDB"/>
    <w:rsid w:val="009D1067"/>
    <w:rsid w:val="009D173D"/>
    <w:rsid w:val="009D1A9A"/>
    <w:rsid w:val="009D7913"/>
    <w:rsid w:val="009D7B56"/>
    <w:rsid w:val="009E07CE"/>
    <w:rsid w:val="009E1A09"/>
    <w:rsid w:val="009E1B84"/>
    <w:rsid w:val="009E20B6"/>
    <w:rsid w:val="009E318C"/>
    <w:rsid w:val="009E4D2D"/>
    <w:rsid w:val="009E63A4"/>
    <w:rsid w:val="009E745D"/>
    <w:rsid w:val="009E7589"/>
    <w:rsid w:val="009E78BD"/>
    <w:rsid w:val="009F049C"/>
    <w:rsid w:val="009F2FC3"/>
    <w:rsid w:val="009F3981"/>
    <w:rsid w:val="009F4D87"/>
    <w:rsid w:val="009F70E9"/>
    <w:rsid w:val="00A00B4A"/>
    <w:rsid w:val="00A02D39"/>
    <w:rsid w:val="00A04ABD"/>
    <w:rsid w:val="00A05001"/>
    <w:rsid w:val="00A066B0"/>
    <w:rsid w:val="00A0777B"/>
    <w:rsid w:val="00A10251"/>
    <w:rsid w:val="00A13230"/>
    <w:rsid w:val="00A14944"/>
    <w:rsid w:val="00A16360"/>
    <w:rsid w:val="00A16D4C"/>
    <w:rsid w:val="00A2069C"/>
    <w:rsid w:val="00A21884"/>
    <w:rsid w:val="00A22B6C"/>
    <w:rsid w:val="00A25D84"/>
    <w:rsid w:val="00A307BA"/>
    <w:rsid w:val="00A315A5"/>
    <w:rsid w:val="00A31D12"/>
    <w:rsid w:val="00A3335F"/>
    <w:rsid w:val="00A4044E"/>
    <w:rsid w:val="00A40474"/>
    <w:rsid w:val="00A41FCE"/>
    <w:rsid w:val="00A4337D"/>
    <w:rsid w:val="00A471C9"/>
    <w:rsid w:val="00A50878"/>
    <w:rsid w:val="00A51787"/>
    <w:rsid w:val="00A51BFA"/>
    <w:rsid w:val="00A52F37"/>
    <w:rsid w:val="00A54FA4"/>
    <w:rsid w:val="00A56ED0"/>
    <w:rsid w:val="00A5745C"/>
    <w:rsid w:val="00A579D3"/>
    <w:rsid w:val="00A612FD"/>
    <w:rsid w:val="00A622C7"/>
    <w:rsid w:val="00A6583B"/>
    <w:rsid w:val="00A66894"/>
    <w:rsid w:val="00A673A1"/>
    <w:rsid w:val="00A76E60"/>
    <w:rsid w:val="00A77FCF"/>
    <w:rsid w:val="00A809BC"/>
    <w:rsid w:val="00A80EE0"/>
    <w:rsid w:val="00A81AA5"/>
    <w:rsid w:val="00A83C22"/>
    <w:rsid w:val="00A847CD"/>
    <w:rsid w:val="00A85694"/>
    <w:rsid w:val="00A8650D"/>
    <w:rsid w:val="00A867BF"/>
    <w:rsid w:val="00A905FB"/>
    <w:rsid w:val="00A90B9B"/>
    <w:rsid w:val="00A92F33"/>
    <w:rsid w:val="00A93BF0"/>
    <w:rsid w:val="00A94C94"/>
    <w:rsid w:val="00A95234"/>
    <w:rsid w:val="00A96295"/>
    <w:rsid w:val="00A968AB"/>
    <w:rsid w:val="00A976D6"/>
    <w:rsid w:val="00A97DD5"/>
    <w:rsid w:val="00AA2416"/>
    <w:rsid w:val="00AA3F02"/>
    <w:rsid w:val="00AA463E"/>
    <w:rsid w:val="00AA69EF"/>
    <w:rsid w:val="00AA7E89"/>
    <w:rsid w:val="00AB2DA2"/>
    <w:rsid w:val="00AB3915"/>
    <w:rsid w:val="00AC0309"/>
    <w:rsid w:val="00AC0716"/>
    <w:rsid w:val="00AC4E9D"/>
    <w:rsid w:val="00AC5BEF"/>
    <w:rsid w:val="00AC68BE"/>
    <w:rsid w:val="00AC6A15"/>
    <w:rsid w:val="00AD0028"/>
    <w:rsid w:val="00AD36DF"/>
    <w:rsid w:val="00AD7BC3"/>
    <w:rsid w:val="00AE3074"/>
    <w:rsid w:val="00AE3389"/>
    <w:rsid w:val="00AE490E"/>
    <w:rsid w:val="00AE4FA9"/>
    <w:rsid w:val="00AE5F4A"/>
    <w:rsid w:val="00AE7C82"/>
    <w:rsid w:val="00AF0634"/>
    <w:rsid w:val="00AF30A5"/>
    <w:rsid w:val="00AF3186"/>
    <w:rsid w:val="00AF3A82"/>
    <w:rsid w:val="00AF5B6E"/>
    <w:rsid w:val="00AF6188"/>
    <w:rsid w:val="00AF62B8"/>
    <w:rsid w:val="00B013CA"/>
    <w:rsid w:val="00B057CB"/>
    <w:rsid w:val="00B06A27"/>
    <w:rsid w:val="00B10136"/>
    <w:rsid w:val="00B12015"/>
    <w:rsid w:val="00B12A72"/>
    <w:rsid w:val="00B133D9"/>
    <w:rsid w:val="00B15F53"/>
    <w:rsid w:val="00B17972"/>
    <w:rsid w:val="00B23506"/>
    <w:rsid w:val="00B24972"/>
    <w:rsid w:val="00B31A9F"/>
    <w:rsid w:val="00B320DC"/>
    <w:rsid w:val="00B35A8E"/>
    <w:rsid w:val="00B369AE"/>
    <w:rsid w:val="00B4014F"/>
    <w:rsid w:val="00B414DE"/>
    <w:rsid w:val="00B41A9B"/>
    <w:rsid w:val="00B41E33"/>
    <w:rsid w:val="00B432B7"/>
    <w:rsid w:val="00B4352A"/>
    <w:rsid w:val="00B43B13"/>
    <w:rsid w:val="00B44126"/>
    <w:rsid w:val="00B45635"/>
    <w:rsid w:val="00B45C58"/>
    <w:rsid w:val="00B46A47"/>
    <w:rsid w:val="00B47B3F"/>
    <w:rsid w:val="00B52044"/>
    <w:rsid w:val="00B52A9E"/>
    <w:rsid w:val="00B533B3"/>
    <w:rsid w:val="00B53898"/>
    <w:rsid w:val="00B539A1"/>
    <w:rsid w:val="00B53C15"/>
    <w:rsid w:val="00B615CC"/>
    <w:rsid w:val="00B6291B"/>
    <w:rsid w:val="00B63CBC"/>
    <w:rsid w:val="00B658A1"/>
    <w:rsid w:val="00B67555"/>
    <w:rsid w:val="00B67CA3"/>
    <w:rsid w:val="00B7023F"/>
    <w:rsid w:val="00B71F82"/>
    <w:rsid w:val="00B7424B"/>
    <w:rsid w:val="00B744EB"/>
    <w:rsid w:val="00B7630C"/>
    <w:rsid w:val="00B81A48"/>
    <w:rsid w:val="00B81F70"/>
    <w:rsid w:val="00B822F8"/>
    <w:rsid w:val="00B851BD"/>
    <w:rsid w:val="00B8579D"/>
    <w:rsid w:val="00B9451F"/>
    <w:rsid w:val="00BA0232"/>
    <w:rsid w:val="00BA1082"/>
    <w:rsid w:val="00BA10DF"/>
    <w:rsid w:val="00BA719A"/>
    <w:rsid w:val="00BB0600"/>
    <w:rsid w:val="00BB139A"/>
    <w:rsid w:val="00BB32F0"/>
    <w:rsid w:val="00BB473F"/>
    <w:rsid w:val="00BB69FB"/>
    <w:rsid w:val="00BC05A6"/>
    <w:rsid w:val="00BC10C2"/>
    <w:rsid w:val="00BC1CFB"/>
    <w:rsid w:val="00BC2FFB"/>
    <w:rsid w:val="00BC5A06"/>
    <w:rsid w:val="00BC77A9"/>
    <w:rsid w:val="00BD10A6"/>
    <w:rsid w:val="00BD1915"/>
    <w:rsid w:val="00BD334C"/>
    <w:rsid w:val="00BD35AC"/>
    <w:rsid w:val="00BD3E31"/>
    <w:rsid w:val="00BD5372"/>
    <w:rsid w:val="00BD78DB"/>
    <w:rsid w:val="00BE50AA"/>
    <w:rsid w:val="00BE72F8"/>
    <w:rsid w:val="00BE7316"/>
    <w:rsid w:val="00BE7C55"/>
    <w:rsid w:val="00BF00E3"/>
    <w:rsid w:val="00BF01B7"/>
    <w:rsid w:val="00BF046F"/>
    <w:rsid w:val="00BF0C5F"/>
    <w:rsid w:val="00BF5223"/>
    <w:rsid w:val="00BF5A4E"/>
    <w:rsid w:val="00C0103F"/>
    <w:rsid w:val="00C0249B"/>
    <w:rsid w:val="00C03927"/>
    <w:rsid w:val="00C1060C"/>
    <w:rsid w:val="00C10827"/>
    <w:rsid w:val="00C10C34"/>
    <w:rsid w:val="00C11964"/>
    <w:rsid w:val="00C14277"/>
    <w:rsid w:val="00C178CF"/>
    <w:rsid w:val="00C20B18"/>
    <w:rsid w:val="00C236F4"/>
    <w:rsid w:val="00C242C4"/>
    <w:rsid w:val="00C26033"/>
    <w:rsid w:val="00C31A20"/>
    <w:rsid w:val="00C3321C"/>
    <w:rsid w:val="00C3503E"/>
    <w:rsid w:val="00C3512F"/>
    <w:rsid w:val="00C356E8"/>
    <w:rsid w:val="00C36B55"/>
    <w:rsid w:val="00C41286"/>
    <w:rsid w:val="00C471ED"/>
    <w:rsid w:val="00C47892"/>
    <w:rsid w:val="00C479AA"/>
    <w:rsid w:val="00C50525"/>
    <w:rsid w:val="00C5056D"/>
    <w:rsid w:val="00C50F95"/>
    <w:rsid w:val="00C52C16"/>
    <w:rsid w:val="00C55DC7"/>
    <w:rsid w:val="00C57B17"/>
    <w:rsid w:val="00C607C9"/>
    <w:rsid w:val="00C61E33"/>
    <w:rsid w:val="00C62072"/>
    <w:rsid w:val="00C625FD"/>
    <w:rsid w:val="00C644DD"/>
    <w:rsid w:val="00C64B15"/>
    <w:rsid w:val="00C652EE"/>
    <w:rsid w:val="00C65823"/>
    <w:rsid w:val="00C67F24"/>
    <w:rsid w:val="00C71FEF"/>
    <w:rsid w:val="00C72782"/>
    <w:rsid w:val="00C730A2"/>
    <w:rsid w:val="00C736BA"/>
    <w:rsid w:val="00C75154"/>
    <w:rsid w:val="00C76D9F"/>
    <w:rsid w:val="00C81208"/>
    <w:rsid w:val="00C817AB"/>
    <w:rsid w:val="00C82565"/>
    <w:rsid w:val="00C83898"/>
    <w:rsid w:val="00C867BC"/>
    <w:rsid w:val="00C875DC"/>
    <w:rsid w:val="00C904AA"/>
    <w:rsid w:val="00C90A25"/>
    <w:rsid w:val="00C90C2D"/>
    <w:rsid w:val="00C924ED"/>
    <w:rsid w:val="00C94E7B"/>
    <w:rsid w:val="00C954D7"/>
    <w:rsid w:val="00CA2B98"/>
    <w:rsid w:val="00CA3763"/>
    <w:rsid w:val="00CA4EA1"/>
    <w:rsid w:val="00CA6F12"/>
    <w:rsid w:val="00CA75DC"/>
    <w:rsid w:val="00CA7800"/>
    <w:rsid w:val="00CA7D25"/>
    <w:rsid w:val="00CB2030"/>
    <w:rsid w:val="00CB33B0"/>
    <w:rsid w:val="00CB3D61"/>
    <w:rsid w:val="00CB5D46"/>
    <w:rsid w:val="00CB5E98"/>
    <w:rsid w:val="00CB6330"/>
    <w:rsid w:val="00CB66C7"/>
    <w:rsid w:val="00CC39D2"/>
    <w:rsid w:val="00CC56B1"/>
    <w:rsid w:val="00CC6151"/>
    <w:rsid w:val="00CD282F"/>
    <w:rsid w:val="00CD4346"/>
    <w:rsid w:val="00CD6C60"/>
    <w:rsid w:val="00CD70EB"/>
    <w:rsid w:val="00CD719F"/>
    <w:rsid w:val="00CD7B9B"/>
    <w:rsid w:val="00CE19AC"/>
    <w:rsid w:val="00CE2DE2"/>
    <w:rsid w:val="00CE3EE3"/>
    <w:rsid w:val="00CE4B2B"/>
    <w:rsid w:val="00CE5938"/>
    <w:rsid w:val="00CE7F33"/>
    <w:rsid w:val="00CF023C"/>
    <w:rsid w:val="00CF3691"/>
    <w:rsid w:val="00CF45B0"/>
    <w:rsid w:val="00CF4CA5"/>
    <w:rsid w:val="00CF549A"/>
    <w:rsid w:val="00D00307"/>
    <w:rsid w:val="00D00C88"/>
    <w:rsid w:val="00D03EF5"/>
    <w:rsid w:val="00D056CA"/>
    <w:rsid w:val="00D05FC8"/>
    <w:rsid w:val="00D06875"/>
    <w:rsid w:val="00D06BF1"/>
    <w:rsid w:val="00D10E24"/>
    <w:rsid w:val="00D122BE"/>
    <w:rsid w:val="00D1530C"/>
    <w:rsid w:val="00D1613E"/>
    <w:rsid w:val="00D20C24"/>
    <w:rsid w:val="00D22CEB"/>
    <w:rsid w:val="00D2501C"/>
    <w:rsid w:val="00D253BF"/>
    <w:rsid w:val="00D25431"/>
    <w:rsid w:val="00D311A8"/>
    <w:rsid w:val="00D3146C"/>
    <w:rsid w:val="00D31A05"/>
    <w:rsid w:val="00D33BDB"/>
    <w:rsid w:val="00D344CE"/>
    <w:rsid w:val="00D34E70"/>
    <w:rsid w:val="00D35A55"/>
    <w:rsid w:val="00D363E8"/>
    <w:rsid w:val="00D41486"/>
    <w:rsid w:val="00D4173D"/>
    <w:rsid w:val="00D42CA7"/>
    <w:rsid w:val="00D443B9"/>
    <w:rsid w:val="00D459C8"/>
    <w:rsid w:val="00D461A0"/>
    <w:rsid w:val="00D50089"/>
    <w:rsid w:val="00D50F20"/>
    <w:rsid w:val="00D5119D"/>
    <w:rsid w:val="00D519A7"/>
    <w:rsid w:val="00D51B61"/>
    <w:rsid w:val="00D522A2"/>
    <w:rsid w:val="00D54568"/>
    <w:rsid w:val="00D5727F"/>
    <w:rsid w:val="00D620D5"/>
    <w:rsid w:val="00D62BFE"/>
    <w:rsid w:val="00D62DE4"/>
    <w:rsid w:val="00D635CE"/>
    <w:rsid w:val="00D64C76"/>
    <w:rsid w:val="00D65F3F"/>
    <w:rsid w:val="00D6724C"/>
    <w:rsid w:val="00D7092D"/>
    <w:rsid w:val="00D72ACD"/>
    <w:rsid w:val="00D72B64"/>
    <w:rsid w:val="00D77919"/>
    <w:rsid w:val="00D80A98"/>
    <w:rsid w:val="00D84E01"/>
    <w:rsid w:val="00D85174"/>
    <w:rsid w:val="00D853AA"/>
    <w:rsid w:val="00D86289"/>
    <w:rsid w:val="00D8638D"/>
    <w:rsid w:val="00D8769C"/>
    <w:rsid w:val="00D90F5D"/>
    <w:rsid w:val="00D91DE7"/>
    <w:rsid w:val="00D923AB"/>
    <w:rsid w:val="00D93526"/>
    <w:rsid w:val="00D940EF"/>
    <w:rsid w:val="00D94885"/>
    <w:rsid w:val="00DA5F89"/>
    <w:rsid w:val="00DA6586"/>
    <w:rsid w:val="00DA6810"/>
    <w:rsid w:val="00DA6C89"/>
    <w:rsid w:val="00DA7E9E"/>
    <w:rsid w:val="00DB10DD"/>
    <w:rsid w:val="00DB270A"/>
    <w:rsid w:val="00DB370E"/>
    <w:rsid w:val="00DB5096"/>
    <w:rsid w:val="00DB59BF"/>
    <w:rsid w:val="00DB5DF8"/>
    <w:rsid w:val="00DB743B"/>
    <w:rsid w:val="00DC219C"/>
    <w:rsid w:val="00DC3562"/>
    <w:rsid w:val="00DC6125"/>
    <w:rsid w:val="00DD269D"/>
    <w:rsid w:val="00DD5B03"/>
    <w:rsid w:val="00DD7C82"/>
    <w:rsid w:val="00DE1518"/>
    <w:rsid w:val="00DE2088"/>
    <w:rsid w:val="00DE2B9E"/>
    <w:rsid w:val="00DE347E"/>
    <w:rsid w:val="00DE51E3"/>
    <w:rsid w:val="00DE682A"/>
    <w:rsid w:val="00DE6A97"/>
    <w:rsid w:val="00DF184E"/>
    <w:rsid w:val="00DF484A"/>
    <w:rsid w:val="00DF4FDE"/>
    <w:rsid w:val="00DF55EF"/>
    <w:rsid w:val="00DF6863"/>
    <w:rsid w:val="00E02A2B"/>
    <w:rsid w:val="00E02A79"/>
    <w:rsid w:val="00E02F60"/>
    <w:rsid w:val="00E03E28"/>
    <w:rsid w:val="00E048BD"/>
    <w:rsid w:val="00E0517D"/>
    <w:rsid w:val="00E06253"/>
    <w:rsid w:val="00E070F1"/>
    <w:rsid w:val="00E0713D"/>
    <w:rsid w:val="00E0757A"/>
    <w:rsid w:val="00E07BA5"/>
    <w:rsid w:val="00E10A8C"/>
    <w:rsid w:val="00E1281D"/>
    <w:rsid w:val="00E13AE6"/>
    <w:rsid w:val="00E13EED"/>
    <w:rsid w:val="00E16337"/>
    <w:rsid w:val="00E168A0"/>
    <w:rsid w:val="00E16A53"/>
    <w:rsid w:val="00E1701D"/>
    <w:rsid w:val="00E1704C"/>
    <w:rsid w:val="00E21853"/>
    <w:rsid w:val="00E249EC"/>
    <w:rsid w:val="00E24BDF"/>
    <w:rsid w:val="00E25E4A"/>
    <w:rsid w:val="00E2789D"/>
    <w:rsid w:val="00E27FED"/>
    <w:rsid w:val="00E33ED9"/>
    <w:rsid w:val="00E33FC2"/>
    <w:rsid w:val="00E40304"/>
    <w:rsid w:val="00E41BB9"/>
    <w:rsid w:val="00E42D5E"/>
    <w:rsid w:val="00E4348E"/>
    <w:rsid w:val="00E43F7C"/>
    <w:rsid w:val="00E44DF1"/>
    <w:rsid w:val="00E45140"/>
    <w:rsid w:val="00E47DB0"/>
    <w:rsid w:val="00E503EE"/>
    <w:rsid w:val="00E510C9"/>
    <w:rsid w:val="00E52970"/>
    <w:rsid w:val="00E55706"/>
    <w:rsid w:val="00E55C4A"/>
    <w:rsid w:val="00E60912"/>
    <w:rsid w:val="00E618E2"/>
    <w:rsid w:val="00E6212D"/>
    <w:rsid w:val="00E64101"/>
    <w:rsid w:val="00E643BA"/>
    <w:rsid w:val="00E64783"/>
    <w:rsid w:val="00E666BF"/>
    <w:rsid w:val="00E70BE7"/>
    <w:rsid w:val="00E73276"/>
    <w:rsid w:val="00E74111"/>
    <w:rsid w:val="00E75DD3"/>
    <w:rsid w:val="00E81739"/>
    <w:rsid w:val="00E82BDD"/>
    <w:rsid w:val="00E844CC"/>
    <w:rsid w:val="00E84FF0"/>
    <w:rsid w:val="00E855A5"/>
    <w:rsid w:val="00E87590"/>
    <w:rsid w:val="00E904D0"/>
    <w:rsid w:val="00E91400"/>
    <w:rsid w:val="00E9293F"/>
    <w:rsid w:val="00E9332B"/>
    <w:rsid w:val="00E97DB3"/>
    <w:rsid w:val="00EA1C2B"/>
    <w:rsid w:val="00EA2475"/>
    <w:rsid w:val="00EA3F0B"/>
    <w:rsid w:val="00EA4674"/>
    <w:rsid w:val="00EA632D"/>
    <w:rsid w:val="00EB1FF2"/>
    <w:rsid w:val="00EB2AC8"/>
    <w:rsid w:val="00EB32BB"/>
    <w:rsid w:val="00EB362B"/>
    <w:rsid w:val="00EB45DC"/>
    <w:rsid w:val="00EB7FE2"/>
    <w:rsid w:val="00EC5187"/>
    <w:rsid w:val="00EC647D"/>
    <w:rsid w:val="00EC6B20"/>
    <w:rsid w:val="00ED32D7"/>
    <w:rsid w:val="00EE1190"/>
    <w:rsid w:val="00EE2320"/>
    <w:rsid w:val="00EE2334"/>
    <w:rsid w:val="00EE2569"/>
    <w:rsid w:val="00EE4519"/>
    <w:rsid w:val="00EE5264"/>
    <w:rsid w:val="00EE54E8"/>
    <w:rsid w:val="00EE5CD9"/>
    <w:rsid w:val="00EE5E12"/>
    <w:rsid w:val="00EE6865"/>
    <w:rsid w:val="00EE7AF2"/>
    <w:rsid w:val="00EF07BF"/>
    <w:rsid w:val="00EF0CE5"/>
    <w:rsid w:val="00EF1750"/>
    <w:rsid w:val="00EF423E"/>
    <w:rsid w:val="00EF5AB0"/>
    <w:rsid w:val="00EF61C8"/>
    <w:rsid w:val="00EF6CC8"/>
    <w:rsid w:val="00EF789C"/>
    <w:rsid w:val="00F007A0"/>
    <w:rsid w:val="00F04DA2"/>
    <w:rsid w:val="00F065CE"/>
    <w:rsid w:val="00F1043A"/>
    <w:rsid w:val="00F10CAD"/>
    <w:rsid w:val="00F10E14"/>
    <w:rsid w:val="00F1132A"/>
    <w:rsid w:val="00F1175C"/>
    <w:rsid w:val="00F127EB"/>
    <w:rsid w:val="00F14070"/>
    <w:rsid w:val="00F14A61"/>
    <w:rsid w:val="00F14EC4"/>
    <w:rsid w:val="00F1629B"/>
    <w:rsid w:val="00F16EF0"/>
    <w:rsid w:val="00F17AE5"/>
    <w:rsid w:val="00F17B9C"/>
    <w:rsid w:val="00F20FAB"/>
    <w:rsid w:val="00F212C1"/>
    <w:rsid w:val="00F21CE9"/>
    <w:rsid w:val="00F22FB5"/>
    <w:rsid w:val="00F26AC4"/>
    <w:rsid w:val="00F306DA"/>
    <w:rsid w:val="00F3276A"/>
    <w:rsid w:val="00F32C5D"/>
    <w:rsid w:val="00F3432A"/>
    <w:rsid w:val="00F4220D"/>
    <w:rsid w:val="00F42F29"/>
    <w:rsid w:val="00F4356A"/>
    <w:rsid w:val="00F450E7"/>
    <w:rsid w:val="00F504AF"/>
    <w:rsid w:val="00F50C02"/>
    <w:rsid w:val="00F511D1"/>
    <w:rsid w:val="00F51302"/>
    <w:rsid w:val="00F51FCB"/>
    <w:rsid w:val="00F5211F"/>
    <w:rsid w:val="00F52892"/>
    <w:rsid w:val="00F52A64"/>
    <w:rsid w:val="00F56FD7"/>
    <w:rsid w:val="00F57A16"/>
    <w:rsid w:val="00F61549"/>
    <w:rsid w:val="00F62E4B"/>
    <w:rsid w:val="00F71499"/>
    <w:rsid w:val="00F726D8"/>
    <w:rsid w:val="00F73FD6"/>
    <w:rsid w:val="00F748DA"/>
    <w:rsid w:val="00F751E8"/>
    <w:rsid w:val="00F766F2"/>
    <w:rsid w:val="00F80207"/>
    <w:rsid w:val="00F80510"/>
    <w:rsid w:val="00F81314"/>
    <w:rsid w:val="00F81FA6"/>
    <w:rsid w:val="00F847DE"/>
    <w:rsid w:val="00F91453"/>
    <w:rsid w:val="00F925D4"/>
    <w:rsid w:val="00F940B1"/>
    <w:rsid w:val="00F94961"/>
    <w:rsid w:val="00F94F84"/>
    <w:rsid w:val="00F94F85"/>
    <w:rsid w:val="00F962B5"/>
    <w:rsid w:val="00FA0646"/>
    <w:rsid w:val="00FA071F"/>
    <w:rsid w:val="00FA22E9"/>
    <w:rsid w:val="00FA2757"/>
    <w:rsid w:val="00FA4B61"/>
    <w:rsid w:val="00FB3016"/>
    <w:rsid w:val="00FB44B2"/>
    <w:rsid w:val="00FB4511"/>
    <w:rsid w:val="00FB48F1"/>
    <w:rsid w:val="00FB71C1"/>
    <w:rsid w:val="00FC1065"/>
    <w:rsid w:val="00FC46DC"/>
    <w:rsid w:val="00FD009C"/>
    <w:rsid w:val="00FD0396"/>
    <w:rsid w:val="00FD0418"/>
    <w:rsid w:val="00FD0EBF"/>
    <w:rsid w:val="00FD25CF"/>
    <w:rsid w:val="00FD29A2"/>
    <w:rsid w:val="00FD2BFB"/>
    <w:rsid w:val="00FD32A2"/>
    <w:rsid w:val="00FD363E"/>
    <w:rsid w:val="00FD60CA"/>
    <w:rsid w:val="00FD64CC"/>
    <w:rsid w:val="00FE004A"/>
    <w:rsid w:val="00FE3169"/>
    <w:rsid w:val="00FE4A41"/>
    <w:rsid w:val="00FE4FB5"/>
    <w:rsid w:val="00FE5A17"/>
    <w:rsid w:val="00FE78DD"/>
    <w:rsid w:val="00FF0C32"/>
    <w:rsid w:val="00FF252A"/>
    <w:rsid w:val="00FF328C"/>
    <w:rsid w:val="00FF617A"/>
    <w:rsid w:val="00FF67BD"/>
    <w:rsid w:val="00FF6880"/>
    <w:rsid w:val="00FF6C79"/>
    <w:rsid w:val="00FF7985"/>
    <w:rsid w:val="00FF7E6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174164"/>
  <w15:docId w15:val="{5EA9EBB2-06BC-4AF8-BBC4-117DB9BD5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07ACD"/>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6D62F9"/>
    <w:pPr>
      <w:numPr>
        <w:numId w:val="15"/>
      </w:numPr>
      <w:pBdr>
        <w:top w:val="single" w:sz="48" w:space="1" w:color="00B274"/>
        <w:left w:val="single" w:sz="48" w:space="4" w:color="00B274"/>
        <w:bottom w:val="single" w:sz="48" w:space="1" w:color="00B274"/>
        <w:right w:val="single" w:sz="48" w:space="4" w:color="00B274"/>
      </w:pBdr>
      <w:shd w:val="clear" w:color="auto" w:fill="00B274"/>
      <w:spacing w:before="240" w:after="240" w:line="240" w:lineRule="auto"/>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aliases w:val="DCUSA H3,level 3,level3,Nadpis 3,3,Section,Annotationen,(Alt+3),(Alt+3)1,(Alt+3)2,(Alt+3)3,(Alt+3)4,(Alt+3)5,(Alt+3)6,(Alt+3)11,(Alt+3)21,(Alt+3)31,(Alt+3)41,(Alt+3)7,(Alt+3)12,(Alt+3)22,(Alt+3)32,(Alt+3)42,(Alt+3)8,(Alt+3)9,(Alt+3)10"/>
    <w:basedOn w:val="Normal"/>
    <w:link w:val="Heading3Char"/>
    <w:autoRedefine/>
    <w:qFormat/>
    <w:rsid w:val="008B55D7"/>
    <w:pPr>
      <w:spacing w:line="360" w:lineRule="auto"/>
      <w:ind w:left="576" w:hanging="576"/>
      <w:jc w:val="both"/>
      <w:outlineLvl w:val="2"/>
    </w:pPr>
  </w:style>
  <w:style w:type="paragraph" w:styleId="Heading4">
    <w:name w:val="heading 4"/>
    <w:basedOn w:val="Normal"/>
    <w:next w:val="Heading3"/>
    <w:link w:val="Heading4Char"/>
    <w:qFormat/>
    <w:rsid w:val="00E45140"/>
    <w:pPr>
      <w:keepNext/>
      <w:spacing w:before="240"/>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numPr>
        <w:ilvl w:val="4"/>
        <w:numId w:val="15"/>
      </w:numPr>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numPr>
        <w:ilvl w:val="5"/>
        <w:numId w:val="15"/>
      </w:numPr>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numPr>
        <w:ilvl w:val="6"/>
        <w:numId w:val="15"/>
      </w:numPr>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numPr>
        <w:ilvl w:val="7"/>
        <w:numId w:val="15"/>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numPr>
        <w:ilvl w:val="8"/>
        <w:numId w:val="15"/>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6D62F9"/>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lang w:eastAsia="en-GB"/>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E45140"/>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8B55D7"/>
    <w:rPr>
      <w:rFonts w:ascii="Arial" w:eastAsia="Times New Roman" w:hAnsi="Arial"/>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527889"/>
    <w:pPr>
      <w:framePr w:wrap="around"/>
      <w:tabs>
        <w:tab w:val="clear" w:pos="7655"/>
        <w:tab w:val="right" w:pos="7399"/>
      </w:tabs>
      <w:ind w:right="600"/>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uiPriority w:val="20"/>
    <w:qFormat/>
    <w:rsid w:val="001E6639"/>
    <w:rPr>
      <w:rFonts w:ascii="Arial" w:hAnsi="Arial" w:cs="Arial"/>
      <w:i/>
      <w:color w:val="00B274"/>
      <w:sz w:val="20"/>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uiPriority w:val="99"/>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845FD4"/>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left="567" w:right="238"/>
      <w:outlineLvl w:val="7"/>
    </w:pPr>
    <w:rPr>
      <w:rFonts w:cs="Arial"/>
      <w:b/>
      <w:bCs/>
      <w:color w:val="FFFFFF"/>
      <w:kern w:val="32"/>
      <w:szCs w:val="32"/>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numPr>
        <w:ilvl w:val="0"/>
      </w:num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Heading4"/>
    <w:qFormat/>
    <w:rsid w:val="00E45140"/>
    <w:pPr>
      <w:numPr>
        <w:numId w:val="14"/>
      </w:num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Revision">
    <w:name w:val="Revision"/>
    <w:hidden/>
    <w:rsid w:val="00845FD4"/>
    <w:rPr>
      <w:rFonts w:ascii="Arial" w:eastAsia="Times New Roman" w:hAnsi="Arial"/>
      <w:szCs w:val="24"/>
    </w:rPr>
  </w:style>
  <w:style w:type="paragraph" w:styleId="FootnoteText">
    <w:name w:val="footnote text"/>
    <w:basedOn w:val="Normal"/>
    <w:link w:val="FootnoteTextChar"/>
    <w:unhideWhenUsed/>
    <w:rsid w:val="00062418"/>
    <w:pPr>
      <w:spacing w:before="0" w:after="0" w:line="240" w:lineRule="auto"/>
    </w:pPr>
    <w:rPr>
      <w:szCs w:val="20"/>
    </w:rPr>
  </w:style>
  <w:style w:type="character" w:customStyle="1" w:styleId="FootnoteTextChar">
    <w:name w:val="Footnote Text Char"/>
    <w:link w:val="FootnoteText"/>
    <w:rsid w:val="00062418"/>
    <w:rPr>
      <w:rFonts w:ascii="Arial" w:eastAsia="Times New Roman" w:hAnsi="Arial"/>
    </w:rPr>
  </w:style>
  <w:style w:type="character" w:styleId="FootnoteReference">
    <w:name w:val="footnote reference"/>
    <w:uiPriority w:val="99"/>
    <w:unhideWhenUsed/>
    <w:rsid w:val="00062418"/>
    <w:rPr>
      <w:vertAlign w:val="superscript"/>
    </w:rPr>
  </w:style>
  <w:style w:type="paragraph" w:customStyle="1" w:styleId="GSBodyPara">
    <w:name w:val="GS Body Para"/>
    <w:basedOn w:val="Normal"/>
    <w:link w:val="GSBodyParaChar"/>
    <w:qFormat/>
    <w:rsid w:val="00062418"/>
    <w:pPr>
      <w:spacing w:before="40" w:after="40" w:line="240" w:lineRule="exact"/>
      <w:outlineLvl w:val="1"/>
    </w:pPr>
    <w:rPr>
      <w:rFonts w:ascii="Calibri" w:eastAsia="Calibri" w:hAnsi="Calibri" w:cs="Arial"/>
      <w:color w:val="4D4D4D"/>
      <w:sz w:val="22"/>
      <w:szCs w:val="22"/>
      <w:lang w:eastAsia="en-US"/>
    </w:rPr>
  </w:style>
  <w:style w:type="character" w:customStyle="1" w:styleId="GSBodyParaChar">
    <w:name w:val="GS Body Para Char"/>
    <w:link w:val="GSBodyPara"/>
    <w:rsid w:val="00062418"/>
    <w:rPr>
      <w:rFonts w:ascii="Calibri" w:eastAsia="Calibri" w:hAnsi="Calibri" w:cs="Arial"/>
      <w:color w:val="4D4D4D"/>
      <w:sz w:val="22"/>
      <w:szCs w:val="22"/>
      <w:lang w:eastAsia="en-US"/>
    </w:rPr>
  </w:style>
  <w:style w:type="paragraph" w:styleId="ListParagraph">
    <w:name w:val="List Paragraph"/>
    <w:basedOn w:val="Normal"/>
    <w:link w:val="ListParagraphChar"/>
    <w:uiPriority w:val="34"/>
    <w:qFormat/>
    <w:rsid w:val="00062418"/>
    <w:pPr>
      <w:ind w:left="720"/>
    </w:pPr>
  </w:style>
  <w:style w:type="table" w:customStyle="1" w:styleId="TableList21">
    <w:name w:val="Table List 21"/>
    <w:basedOn w:val="TableNormal"/>
    <w:next w:val="TableList2"/>
    <w:rsid w:val="00F4220D"/>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egds">
    <w:name w:val="legds"/>
    <w:basedOn w:val="DefaultParagraphFont"/>
    <w:rsid w:val="00F4220D"/>
  </w:style>
  <w:style w:type="character" w:customStyle="1" w:styleId="DCUSATableTextChar">
    <w:name w:val="DCUSA Table Text Char"/>
    <w:link w:val="DCUSATableText"/>
    <w:locked/>
    <w:rsid w:val="00F4220D"/>
    <w:rPr>
      <w:rFonts w:ascii="Times New Roman" w:hAnsi="Times New Roman"/>
      <w:sz w:val="24"/>
    </w:rPr>
  </w:style>
  <w:style w:type="paragraph" w:customStyle="1" w:styleId="DCUSATableText">
    <w:name w:val="DCUSA Table Text"/>
    <w:basedOn w:val="Normal"/>
    <w:link w:val="DCUSATableTextChar"/>
    <w:qFormat/>
    <w:rsid w:val="00F4220D"/>
    <w:pPr>
      <w:spacing w:line="264" w:lineRule="auto"/>
    </w:pPr>
    <w:rPr>
      <w:rFonts w:ascii="Times New Roman" w:eastAsia="Cambria" w:hAnsi="Times New Roman"/>
      <w:sz w:val="24"/>
      <w:szCs w:val="20"/>
    </w:rPr>
  </w:style>
  <w:style w:type="paragraph" w:customStyle="1" w:styleId="DCUSATableTexta">
    <w:name w:val="DCUSA Table Text a)"/>
    <w:basedOn w:val="Normal"/>
    <w:qFormat/>
    <w:rsid w:val="00F4220D"/>
    <w:pPr>
      <w:numPr>
        <w:numId w:val="23"/>
      </w:numPr>
      <w:tabs>
        <w:tab w:val="num" w:pos="360"/>
      </w:tabs>
      <w:spacing w:line="240" w:lineRule="auto"/>
      <w:ind w:left="0" w:firstLine="0"/>
    </w:pPr>
    <w:rPr>
      <w:rFonts w:ascii="Times New Roman" w:eastAsia="Calibri" w:hAnsi="Times New Roman"/>
      <w:sz w:val="24"/>
      <w:szCs w:val="22"/>
      <w:lang w:eastAsia="en-US"/>
    </w:rPr>
  </w:style>
  <w:style w:type="paragraph" w:customStyle="1" w:styleId="DCUSATableTextbulletpt">
    <w:name w:val="DCUSA Table Text bullet pt"/>
    <w:basedOn w:val="DCUSATableText"/>
    <w:qFormat/>
    <w:rsid w:val="00F4220D"/>
    <w:pPr>
      <w:numPr>
        <w:ilvl w:val="1"/>
        <w:numId w:val="23"/>
      </w:numPr>
      <w:tabs>
        <w:tab w:val="num" w:pos="360"/>
        <w:tab w:val="num" w:pos="454"/>
      </w:tabs>
      <w:spacing w:line="360" w:lineRule="auto"/>
      <w:ind w:left="0" w:firstLine="0"/>
    </w:pPr>
  </w:style>
  <w:style w:type="character" w:customStyle="1" w:styleId="DCUSATabletextnumbersChar">
    <w:name w:val="DCUSA Table text numbers Char"/>
    <w:link w:val="DCUSATabletextnumbers"/>
    <w:locked/>
    <w:rsid w:val="00F4220D"/>
    <w:rPr>
      <w:rFonts w:ascii="Times New Roman" w:hAnsi="Times New Roman"/>
      <w:b/>
      <w:sz w:val="24"/>
    </w:rPr>
  </w:style>
  <w:style w:type="paragraph" w:customStyle="1" w:styleId="DCUSATabletextnumbers">
    <w:name w:val="DCUSA Table text numbers"/>
    <w:basedOn w:val="DCUSATableText"/>
    <w:link w:val="DCUSATabletextnumbersChar"/>
    <w:qFormat/>
    <w:rsid w:val="00F4220D"/>
    <w:pPr>
      <w:spacing w:line="240" w:lineRule="auto"/>
    </w:pPr>
    <w:rPr>
      <w:b/>
    </w:rPr>
  </w:style>
  <w:style w:type="paragraph" w:customStyle="1" w:styleId="xxmsonormal">
    <w:name w:val="x_xmsonormal"/>
    <w:basedOn w:val="Normal"/>
    <w:rsid w:val="00C242C4"/>
    <w:pPr>
      <w:spacing w:before="0" w:after="0" w:line="240" w:lineRule="auto"/>
    </w:pPr>
    <w:rPr>
      <w:rFonts w:ascii="Calibri" w:eastAsia="Calibri" w:hAnsi="Calibri" w:cs="Calibri"/>
      <w:szCs w:val="20"/>
    </w:rPr>
  </w:style>
  <w:style w:type="paragraph" w:styleId="NoSpacing">
    <w:name w:val="No Spacing"/>
    <w:qFormat/>
    <w:rsid w:val="001021F6"/>
    <w:rPr>
      <w:rFonts w:ascii="Arial" w:eastAsia="Times New Roman" w:hAnsi="Arial"/>
      <w:szCs w:val="24"/>
    </w:rPr>
  </w:style>
  <w:style w:type="paragraph" w:customStyle="1" w:styleId="legp1paratext">
    <w:name w:val="legp1paratext"/>
    <w:basedOn w:val="Normal"/>
    <w:rsid w:val="001021F6"/>
    <w:pPr>
      <w:spacing w:before="100" w:beforeAutospacing="1" w:after="100" w:afterAutospacing="1" w:line="240" w:lineRule="auto"/>
    </w:pPr>
    <w:rPr>
      <w:rFonts w:ascii="Times New Roman" w:hAnsi="Times New Roman"/>
      <w:sz w:val="24"/>
    </w:rPr>
  </w:style>
  <w:style w:type="table" w:styleId="GridTable4">
    <w:name w:val="Grid Table 4"/>
    <w:basedOn w:val="TableNormal"/>
    <w:uiPriority w:val="49"/>
    <w:rsid w:val="001021F6"/>
    <w:rPr>
      <w:rFonts w:ascii="Arial" w:eastAsia="Calibri" w:hAnsi="Arial"/>
      <w:sz w:val="22"/>
      <w:szCs w:val="22"/>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legclearfix">
    <w:name w:val="legclearfix"/>
    <w:basedOn w:val="Normal"/>
    <w:rsid w:val="001021F6"/>
    <w:pPr>
      <w:spacing w:before="100" w:beforeAutospacing="1" w:after="100" w:afterAutospacing="1" w:line="240" w:lineRule="auto"/>
    </w:pPr>
    <w:rPr>
      <w:rFonts w:ascii="Times New Roman" w:hAnsi="Times New Roman"/>
      <w:sz w:val="24"/>
    </w:rPr>
  </w:style>
  <w:style w:type="table" w:styleId="MediumGrid2-Accent6">
    <w:name w:val="Medium Grid 2 Accent 6"/>
    <w:basedOn w:val="TableNormal"/>
    <w:rsid w:val="00551BF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2-Accent3">
    <w:name w:val="Medium Grid 2 Accent 3"/>
    <w:basedOn w:val="TableNormal"/>
    <w:rsid w:val="00551BF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character" w:styleId="UnresolvedMention">
    <w:name w:val="Unresolved Mention"/>
    <w:basedOn w:val="DefaultParagraphFont"/>
    <w:uiPriority w:val="99"/>
    <w:semiHidden/>
    <w:unhideWhenUsed/>
    <w:rsid w:val="0054531B"/>
    <w:rPr>
      <w:color w:val="605E5C"/>
      <w:shd w:val="clear" w:color="auto" w:fill="E1DFDD"/>
    </w:rPr>
  </w:style>
  <w:style w:type="paragraph" w:customStyle="1" w:styleId="GSBodyParawithnumb">
    <w:name w:val="GS Body Para with numb"/>
    <w:basedOn w:val="Normal"/>
    <w:link w:val="GSBodyParawithnumbChar"/>
    <w:qFormat/>
    <w:rsid w:val="00E25E4A"/>
    <w:pPr>
      <w:numPr>
        <w:ilvl w:val="1"/>
        <w:numId w:val="39"/>
      </w:numPr>
      <w:spacing w:after="240" w:line="280" w:lineRule="exact"/>
      <w:outlineLvl w:val="1"/>
    </w:pPr>
    <w:rPr>
      <w:rFonts w:asciiTheme="minorHAnsi" w:eastAsiaTheme="minorHAnsi" w:hAnsiTheme="minorHAnsi" w:cs="Arial"/>
      <w:color w:val="4D4D4D"/>
      <w:sz w:val="22"/>
      <w:szCs w:val="22"/>
      <w:lang w:eastAsia="en-US"/>
    </w:rPr>
  </w:style>
  <w:style w:type="character" w:customStyle="1" w:styleId="GSBodyParawithnumbChar">
    <w:name w:val="GS Body Para with numb Char"/>
    <w:basedOn w:val="DefaultParagraphFont"/>
    <w:link w:val="GSBodyParawithnumb"/>
    <w:rsid w:val="00E25E4A"/>
    <w:rPr>
      <w:rFonts w:asciiTheme="minorHAnsi" w:eastAsiaTheme="minorHAnsi" w:hAnsiTheme="minorHAnsi" w:cs="Arial"/>
      <w:color w:val="4D4D4D"/>
      <w:sz w:val="22"/>
      <w:szCs w:val="22"/>
      <w:lang w:eastAsia="en-US"/>
    </w:rPr>
  </w:style>
  <w:style w:type="paragraph" w:customStyle="1" w:styleId="GSHeading1withnumb">
    <w:name w:val="GS Heading 1 with numb"/>
    <w:basedOn w:val="Subtitle"/>
    <w:qFormat/>
    <w:rsid w:val="00E25E4A"/>
    <w:pPr>
      <w:numPr>
        <w:ilvl w:val="0"/>
        <w:numId w:val="39"/>
      </w:numPr>
      <w:pBdr>
        <w:bottom w:val="single" w:sz="2" w:space="5" w:color="CEE0CC"/>
      </w:pBdr>
      <w:tabs>
        <w:tab w:val="clear" w:pos="567"/>
        <w:tab w:val="num" w:pos="720"/>
      </w:tabs>
      <w:spacing w:before="40" w:after="80" w:line="300" w:lineRule="exact"/>
      <w:ind w:left="720" w:hanging="720"/>
      <w:outlineLvl w:val="1"/>
    </w:pPr>
    <w:rPr>
      <w:rFonts w:cs="Arial"/>
      <w:color w:val="3B9164"/>
      <w:sz w:val="28"/>
      <w:szCs w:val="40"/>
    </w:rPr>
  </w:style>
  <w:style w:type="paragraph" w:styleId="Subtitle">
    <w:name w:val="Subtitle"/>
    <w:basedOn w:val="Normal"/>
    <w:next w:val="Normal"/>
    <w:link w:val="SubtitleChar"/>
    <w:qFormat/>
    <w:rsid w:val="00E25E4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25E4A"/>
    <w:rPr>
      <w:rFonts w:asciiTheme="minorHAnsi" w:eastAsiaTheme="minorEastAsia" w:hAnsiTheme="minorHAnsi" w:cstheme="minorBidi"/>
      <w:color w:val="5A5A5A" w:themeColor="text1" w:themeTint="A5"/>
      <w:spacing w:val="15"/>
      <w:sz w:val="22"/>
      <w:szCs w:val="22"/>
    </w:rPr>
  </w:style>
  <w:style w:type="character" w:customStyle="1" w:styleId="legp1no">
    <w:name w:val="legp1no"/>
    <w:basedOn w:val="DefaultParagraphFont"/>
    <w:rsid w:val="00735A6B"/>
  </w:style>
  <w:style w:type="paragraph" w:customStyle="1" w:styleId="legp2paratext">
    <w:name w:val="legp2paratext"/>
    <w:basedOn w:val="Normal"/>
    <w:rsid w:val="00735A6B"/>
    <w:pPr>
      <w:spacing w:before="100" w:beforeAutospacing="1" w:after="100" w:afterAutospacing="1" w:line="240" w:lineRule="auto"/>
    </w:pPr>
    <w:rPr>
      <w:rFonts w:cs="Arial"/>
      <w:sz w:val="24"/>
    </w:rPr>
  </w:style>
  <w:style w:type="paragraph" w:customStyle="1" w:styleId="leglisttextstandard">
    <w:name w:val="leglisttextstandard"/>
    <w:basedOn w:val="Normal"/>
    <w:rsid w:val="00735A6B"/>
    <w:pPr>
      <w:spacing w:before="100" w:beforeAutospacing="1" w:after="100" w:afterAutospacing="1" w:line="240" w:lineRule="auto"/>
    </w:pPr>
    <w:rPr>
      <w:rFonts w:cs="Arial"/>
      <w:sz w:val="24"/>
    </w:rPr>
  </w:style>
  <w:style w:type="character" w:styleId="BookTitle">
    <w:name w:val="Book Title"/>
    <w:basedOn w:val="DefaultParagraphFont"/>
    <w:qFormat/>
    <w:rsid w:val="00527889"/>
    <w:rPr>
      <w:b/>
      <w:bCs/>
      <w:i/>
      <w:iCs/>
      <w:spacing w:val="5"/>
    </w:rPr>
  </w:style>
  <w:style w:type="character" w:customStyle="1" w:styleId="ListParagraphChar">
    <w:name w:val="List Paragraph Char"/>
    <w:link w:val="ListParagraph"/>
    <w:uiPriority w:val="34"/>
    <w:locked/>
    <w:rsid w:val="000B508A"/>
    <w:rPr>
      <w:rFonts w:ascii="Arial" w:eastAsia="Times New Roman"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86039">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430274819">
      <w:bodyDiv w:val="1"/>
      <w:marLeft w:val="0"/>
      <w:marRight w:val="0"/>
      <w:marTop w:val="0"/>
      <w:marBottom w:val="0"/>
      <w:divBdr>
        <w:top w:val="none" w:sz="0" w:space="0" w:color="auto"/>
        <w:left w:val="none" w:sz="0" w:space="0" w:color="auto"/>
        <w:bottom w:val="none" w:sz="0" w:space="0" w:color="auto"/>
        <w:right w:val="none" w:sz="0" w:space="0" w:color="auto"/>
      </w:divBdr>
    </w:div>
    <w:div w:id="512764206">
      <w:bodyDiv w:val="1"/>
      <w:marLeft w:val="0"/>
      <w:marRight w:val="0"/>
      <w:marTop w:val="0"/>
      <w:marBottom w:val="0"/>
      <w:divBdr>
        <w:top w:val="none" w:sz="0" w:space="0" w:color="auto"/>
        <w:left w:val="none" w:sz="0" w:space="0" w:color="auto"/>
        <w:bottom w:val="none" w:sz="0" w:space="0" w:color="auto"/>
        <w:right w:val="none" w:sz="0" w:space="0" w:color="auto"/>
      </w:divBdr>
    </w:div>
    <w:div w:id="604073460">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38090452">
      <w:bodyDiv w:val="1"/>
      <w:marLeft w:val="0"/>
      <w:marRight w:val="0"/>
      <w:marTop w:val="0"/>
      <w:marBottom w:val="0"/>
      <w:divBdr>
        <w:top w:val="none" w:sz="0" w:space="0" w:color="auto"/>
        <w:left w:val="none" w:sz="0" w:space="0" w:color="auto"/>
        <w:bottom w:val="none" w:sz="0" w:space="0" w:color="auto"/>
        <w:right w:val="none" w:sz="0" w:space="0" w:color="auto"/>
      </w:divBdr>
    </w:div>
    <w:div w:id="910389128">
      <w:bodyDiv w:val="1"/>
      <w:marLeft w:val="0"/>
      <w:marRight w:val="0"/>
      <w:marTop w:val="0"/>
      <w:marBottom w:val="0"/>
      <w:divBdr>
        <w:top w:val="none" w:sz="0" w:space="0" w:color="auto"/>
        <w:left w:val="none" w:sz="0" w:space="0" w:color="auto"/>
        <w:bottom w:val="none" w:sz="0" w:space="0" w:color="auto"/>
        <w:right w:val="none" w:sz="0" w:space="0" w:color="auto"/>
      </w:divBdr>
    </w:div>
    <w:div w:id="1229725814">
      <w:bodyDiv w:val="1"/>
      <w:marLeft w:val="0"/>
      <w:marRight w:val="0"/>
      <w:marTop w:val="0"/>
      <w:marBottom w:val="0"/>
      <w:divBdr>
        <w:top w:val="none" w:sz="0" w:space="0" w:color="auto"/>
        <w:left w:val="none" w:sz="0" w:space="0" w:color="auto"/>
        <w:bottom w:val="none" w:sz="0" w:space="0" w:color="auto"/>
        <w:right w:val="none" w:sz="0" w:space="0" w:color="auto"/>
      </w:divBdr>
    </w:div>
    <w:div w:id="1248923094">
      <w:bodyDiv w:val="1"/>
      <w:marLeft w:val="0"/>
      <w:marRight w:val="0"/>
      <w:marTop w:val="0"/>
      <w:marBottom w:val="0"/>
      <w:divBdr>
        <w:top w:val="none" w:sz="0" w:space="0" w:color="auto"/>
        <w:left w:val="none" w:sz="0" w:space="0" w:color="auto"/>
        <w:bottom w:val="none" w:sz="0" w:space="0" w:color="auto"/>
        <w:right w:val="none" w:sz="0" w:space="0" w:color="auto"/>
      </w:divBdr>
    </w:div>
    <w:div w:id="1372614863">
      <w:bodyDiv w:val="1"/>
      <w:marLeft w:val="0"/>
      <w:marRight w:val="0"/>
      <w:marTop w:val="0"/>
      <w:marBottom w:val="0"/>
      <w:divBdr>
        <w:top w:val="none" w:sz="0" w:space="0" w:color="auto"/>
        <w:left w:val="none" w:sz="0" w:space="0" w:color="auto"/>
        <w:bottom w:val="none" w:sz="0" w:space="0" w:color="auto"/>
        <w:right w:val="none" w:sz="0" w:space="0" w:color="auto"/>
      </w:divBdr>
    </w:div>
    <w:div w:id="1548837447">
      <w:bodyDiv w:val="1"/>
      <w:marLeft w:val="0"/>
      <w:marRight w:val="0"/>
      <w:marTop w:val="0"/>
      <w:marBottom w:val="0"/>
      <w:divBdr>
        <w:top w:val="none" w:sz="0" w:space="0" w:color="auto"/>
        <w:left w:val="none" w:sz="0" w:space="0" w:color="auto"/>
        <w:bottom w:val="none" w:sz="0" w:space="0" w:color="auto"/>
        <w:right w:val="none" w:sz="0" w:space="0" w:color="auto"/>
      </w:divBdr>
      <w:divsChild>
        <w:div w:id="1041975507">
          <w:marLeft w:val="0"/>
          <w:marRight w:val="0"/>
          <w:marTop w:val="0"/>
          <w:marBottom w:val="0"/>
          <w:divBdr>
            <w:top w:val="none" w:sz="0" w:space="0" w:color="auto"/>
            <w:left w:val="none" w:sz="0" w:space="0" w:color="auto"/>
            <w:bottom w:val="none" w:sz="0" w:space="0" w:color="auto"/>
            <w:right w:val="none" w:sz="0" w:space="0" w:color="auto"/>
          </w:divBdr>
          <w:divsChild>
            <w:div w:id="1175346267">
              <w:marLeft w:val="0"/>
              <w:marRight w:val="0"/>
              <w:marTop w:val="0"/>
              <w:marBottom w:val="0"/>
              <w:divBdr>
                <w:top w:val="none" w:sz="0" w:space="0" w:color="auto"/>
                <w:left w:val="none" w:sz="0" w:space="0" w:color="auto"/>
                <w:bottom w:val="none" w:sz="0" w:space="0" w:color="auto"/>
                <w:right w:val="none" w:sz="0" w:space="0" w:color="auto"/>
              </w:divBdr>
              <w:divsChild>
                <w:div w:id="44260678">
                  <w:marLeft w:val="0"/>
                  <w:marRight w:val="0"/>
                  <w:marTop w:val="0"/>
                  <w:marBottom w:val="0"/>
                  <w:divBdr>
                    <w:top w:val="none" w:sz="0" w:space="0" w:color="auto"/>
                    <w:left w:val="none" w:sz="0" w:space="0" w:color="auto"/>
                    <w:bottom w:val="none" w:sz="0" w:space="0" w:color="auto"/>
                    <w:right w:val="none" w:sz="0" w:space="0" w:color="auto"/>
                  </w:divBdr>
                  <w:divsChild>
                    <w:div w:id="2021546817">
                      <w:marLeft w:val="0"/>
                      <w:marRight w:val="0"/>
                      <w:marTop w:val="0"/>
                      <w:marBottom w:val="0"/>
                      <w:divBdr>
                        <w:top w:val="none" w:sz="0" w:space="0" w:color="auto"/>
                        <w:left w:val="none" w:sz="0" w:space="0" w:color="auto"/>
                        <w:bottom w:val="none" w:sz="0" w:space="0" w:color="auto"/>
                        <w:right w:val="none" w:sz="0" w:space="0" w:color="auto"/>
                      </w:divBdr>
                      <w:divsChild>
                        <w:div w:id="773667897">
                          <w:marLeft w:val="0"/>
                          <w:marRight w:val="0"/>
                          <w:marTop w:val="0"/>
                          <w:marBottom w:val="0"/>
                          <w:divBdr>
                            <w:top w:val="none" w:sz="0" w:space="0" w:color="auto"/>
                            <w:left w:val="none" w:sz="0" w:space="0" w:color="auto"/>
                            <w:bottom w:val="none" w:sz="0" w:space="0" w:color="auto"/>
                            <w:right w:val="none" w:sz="0" w:space="0" w:color="auto"/>
                          </w:divBdr>
                          <w:divsChild>
                            <w:div w:id="404647926">
                              <w:marLeft w:val="0"/>
                              <w:marRight w:val="0"/>
                              <w:marTop w:val="0"/>
                              <w:marBottom w:val="0"/>
                              <w:divBdr>
                                <w:top w:val="none" w:sz="0" w:space="0" w:color="auto"/>
                                <w:left w:val="none" w:sz="0" w:space="0" w:color="auto"/>
                                <w:bottom w:val="none" w:sz="0" w:space="0" w:color="auto"/>
                                <w:right w:val="none" w:sz="0" w:space="0" w:color="auto"/>
                              </w:divBdr>
                            </w:div>
                            <w:div w:id="131950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262063">
                  <w:marLeft w:val="0"/>
                  <w:marRight w:val="0"/>
                  <w:marTop w:val="0"/>
                  <w:marBottom w:val="0"/>
                  <w:divBdr>
                    <w:top w:val="none" w:sz="0" w:space="0" w:color="auto"/>
                    <w:left w:val="none" w:sz="0" w:space="0" w:color="auto"/>
                    <w:bottom w:val="none" w:sz="0" w:space="0" w:color="auto"/>
                    <w:right w:val="none" w:sz="0" w:space="0" w:color="auto"/>
                  </w:divBdr>
                  <w:divsChild>
                    <w:div w:id="194852733">
                      <w:marLeft w:val="0"/>
                      <w:marRight w:val="0"/>
                      <w:marTop w:val="0"/>
                      <w:marBottom w:val="0"/>
                      <w:divBdr>
                        <w:top w:val="none" w:sz="0" w:space="0" w:color="auto"/>
                        <w:left w:val="none" w:sz="0" w:space="0" w:color="auto"/>
                        <w:bottom w:val="none" w:sz="0" w:space="0" w:color="auto"/>
                        <w:right w:val="none" w:sz="0" w:space="0" w:color="auto"/>
                      </w:divBdr>
                      <w:divsChild>
                        <w:div w:id="491455372">
                          <w:marLeft w:val="0"/>
                          <w:marRight w:val="0"/>
                          <w:marTop w:val="0"/>
                          <w:marBottom w:val="0"/>
                          <w:divBdr>
                            <w:top w:val="none" w:sz="0" w:space="0" w:color="auto"/>
                            <w:left w:val="none" w:sz="0" w:space="0" w:color="auto"/>
                            <w:bottom w:val="none" w:sz="0" w:space="0" w:color="auto"/>
                            <w:right w:val="none" w:sz="0" w:space="0" w:color="auto"/>
                          </w:divBdr>
                          <w:divsChild>
                            <w:div w:id="1571115745">
                              <w:marLeft w:val="0"/>
                              <w:marRight w:val="0"/>
                              <w:marTop w:val="0"/>
                              <w:marBottom w:val="0"/>
                              <w:divBdr>
                                <w:top w:val="none" w:sz="0" w:space="0" w:color="auto"/>
                                <w:left w:val="none" w:sz="0" w:space="0" w:color="auto"/>
                                <w:bottom w:val="none" w:sz="0" w:space="0" w:color="auto"/>
                                <w:right w:val="none" w:sz="0" w:space="0" w:color="auto"/>
                              </w:divBdr>
                            </w:div>
                            <w:div w:id="80520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046304">
                  <w:marLeft w:val="0"/>
                  <w:marRight w:val="0"/>
                  <w:marTop w:val="0"/>
                  <w:marBottom w:val="0"/>
                  <w:divBdr>
                    <w:top w:val="none" w:sz="0" w:space="0" w:color="auto"/>
                    <w:left w:val="none" w:sz="0" w:space="0" w:color="auto"/>
                    <w:bottom w:val="none" w:sz="0" w:space="0" w:color="auto"/>
                    <w:right w:val="none" w:sz="0" w:space="0" w:color="auto"/>
                  </w:divBdr>
                </w:div>
                <w:div w:id="173152022">
                  <w:marLeft w:val="0"/>
                  <w:marRight w:val="0"/>
                  <w:marTop w:val="0"/>
                  <w:marBottom w:val="0"/>
                  <w:divBdr>
                    <w:top w:val="none" w:sz="0" w:space="0" w:color="auto"/>
                    <w:left w:val="none" w:sz="0" w:space="0" w:color="auto"/>
                    <w:bottom w:val="none" w:sz="0" w:space="0" w:color="auto"/>
                    <w:right w:val="none" w:sz="0" w:space="0" w:color="auto"/>
                  </w:divBdr>
                  <w:divsChild>
                    <w:div w:id="1790783882">
                      <w:marLeft w:val="0"/>
                      <w:marRight w:val="0"/>
                      <w:marTop w:val="0"/>
                      <w:marBottom w:val="0"/>
                      <w:divBdr>
                        <w:top w:val="none" w:sz="0" w:space="0" w:color="auto"/>
                        <w:left w:val="none" w:sz="0" w:space="0" w:color="auto"/>
                        <w:bottom w:val="none" w:sz="0" w:space="0" w:color="auto"/>
                        <w:right w:val="none" w:sz="0" w:space="0" w:color="auto"/>
                      </w:divBdr>
                      <w:divsChild>
                        <w:div w:id="553001659">
                          <w:marLeft w:val="0"/>
                          <w:marRight w:val="0"/>
                          <w:marTop w:val="0"/>
                          <w:marBottom w:val="0"/>
                          <w:divBdr>
                            <w:top w:val="none" w:sz="0" w:space="0" w:color="auto"/>
                            <w:left w:val="none" w:sz="0" w:space="0" w:color="auto"/>
                            <w:bottom w:val="none" w:sz="0" w:space="0" w:color="auto"/>
                            <w:right w:val="none" w:sz="0" w:space="0" w:color="auto"/>
                          </w:divBdr>
                          <w:divsChild>
                            <w:div w:id="2075854147">
                              <w:marLeft w:val="0"/>
                              <w:marRight w:val="0"/>
                              <w:marTop w:val="0"/>
                              <w:marBottom w:val="0"/>
                              <w:divBdr>
                                <w:top w:val="none" w:sz="0" w:space="0" w:color="auto"/>
                                <w:left w:val="none" w:sz="0" w:space="0" w:color="auto"/>
                                <w:bottom w:val="none" w:sz="0" w:space="0" w:color="auto"/>
                                <w:right w:val="none" w:sz="0" w:space="0" w:color="auto"/>
                              </w:divBdr>
                            </w:div>
                            <w:div w:id="1425301582">
                              <w:marLeft w:val="0"/>
                              <w:marRight w:val="0"/>
                              <w:marTop w:val="0"/>
                              <w:marBottom w:val="0"/>
                              <w:divBdr>
                                <w:top w:val="none" w:sz="0" w:space="0" w:color="auto"/>
                                <w:left w:val="none" w:sz="0" w:space="0" w:color="auto"/>
                                <w:bottom w:val="none" w:sz="0" w:space="0" w:color="auto"/>
                                <w:right w:val="none" w:sz="0" w:space="0" w:color="auto"/>
                              </w:divBdr>
                            </w:div>
                            <w:div w:id="1014649879">
                              <w:marLeft w:val="0"/>
                              <w:marRight w:val="0"/>
                              <w:marTop w:val="0"/>
                              <w:marBottom w:val="0"/>
                              <w:divBdr>
                                <w:top w:val="none" w:sz="0" w:space="0" w:color="auto"/>
                                <w:left w:val="none" w:sz="0" w:space="0" w:color="auto"/>
                                <w:bottom w:val="none" w:sz="0" w:space="0" w:color="auto"/>
                                <w:right w:val="none" w:sz="0" w:space="0" w:color="auto"/>
                              </w:divBdr>
                            </w:div>
                            <w:div w:id="280065957">
                              <w:marLeft w:val="0"/>
                              <w:marRight w:val="0"/>
                              <w:marTop w:val="0"/>
                              <w:marBottom w:val="0"/>
                              <w:divBdr>
                                <w:top w:val="none" w:sz="0" w:space="0" w:color="auto"/>
                                <w:left w:val="none" w:sz="0" w:space="0" w:color="auto"/>
                                <w:bottom w:val="none" w:sz="0" w:space="0" w:color="auto"/>
                                <w:right w:val="none" w:sz="0" w:space="0" w:color="auto"/>
                              </w:divBdr>
                            </w:div>
                            <w:div w:id="388573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3677044">
      <w:bodyDiv w:val="1"/>
      <w:marLeft w:val="0"/>
      <w:marRight w:val="0"/>
      <w:marTop w:val="0"/>
      <w:marBottom w:val="0"/>
      <w:divBdr>
        <w:top w:val="none" w:sz="0" w:space="0" w:color="auto"/>
        <w:left w:val="none" w:sz="0" w:space="0" w:color="auto"/>
        <w:bottom w:val="none" w:sz="0" w:space="0" w:color="auto"/>
        <w:right w:val="none" w:sz="0" w:space="0" w:color="auto"/>
      </w:divBdr>
    </w:div>
    <w:div w:id="1682971815">
      <w:bodyDiv w:val="1"/>
      <w:marLeft w:val="0"/>
      <w:marRight w:val="0"/>
      <w:marTop w:val="0"/>
      <w:marBottom w:val="0"/>
      <w:divBdr>
        <w:top w:val="none" w:sz="0" w:space="0" w:color="auto"/>
        <w:left w:val="none" w:sz="0" w:space="0" w:color="auto"/>
        <w:bottom w:val="none" w:sz="0" w:space="0" w:color="auto"/>
        <w:right w:val="none" w:sz="0" w:space="0" w:color="auto"/>
      </w:divBdr>
    </w:div>
    <w:div w:id="1694916682">
      <w:bodyDiv w:val="1"/>
      <w:marLeft w:val="0"/>
      <w:marRight w:val="0"/>
      <w:marTop w:val="0"/>
      <w:marBottom w:val="0"/>
      <w:divBdr>
        <w:top w:val="none" w:sz="0" w:space="0" w:color="auto"/>
        <w:left w:val="none" w:sz="0" w:space="0" w:color="auto"/>
        <w:bottom w:val="none" w:sz="0" w:space="0" w:color="auto"/>
        <w:right w:val="none" w:sz="0" w:space="0" w:color="auto"/>
      </w:divBdr>
    </w:div>
    <w:div w:id="1761830039">
      <w:bodyDiv w:val="1"/>
      <w:marLeft w:val="0"/>
      <w:marRight w:val="0"/>
      <w:marTop w:val="0"/>
      <w:marBottom w:val="0"/>
      <w:divBdr>
        <w:top w:val="none" w:sz="0" w:space="0" w:color="auto"/>
        <w:left w:val="none" w:sz="0" w:space="0" w:color="auto"/>
        <w:bottom w:val="none" w:sz="0" w:space="0" w:color="auto"/>
        <w:right w:val="none" w:sz="0" w:space="0" w:color="auto"/>
      </w:divBdr>
    </w:div>
    <w:div w:id="1798140583">
      <w:bodyDiv w:val="1"/>
      <w:marLeft w:val="0"/>
      <w:marRight w:val="0"/>
      <w:marTop w:val="0"/>
      <w:marBottom w:val="0"/>
      <w:divBdr>
        <w:top w:val="none" w:sz="0" w:space="0" w:color="auto"/>
        <w:left w:val="none" w:sz="0" w:space="0" w:color="auto"/>
        <w:bottom w:val="none" w:sz="0" w:space="0" w:color="auto"/>
        <w:right w:val="none" w:sz="0" w:space="0" w:color="auto"/>
      </w:divBdr>
    </w:div>
    <w:div w:id="1808862201">
      <w:bodyDiv w:val="1"/>
      <w:marLeft w:val="0"/>
      <w:marRight w:val="0"/>
      <w:marTop w:val="0"/>
      <w:marBottom w:val="0"/>
      <w:divBdr>
        <w:top w:val="none" w:sz="0" w:space="0" w:color="auto"/>
        <w:left w:val="none" w:sz="0" w:space="0" w:color="auto"/>
        <w:bottom w:val="none" w:sz="0" w:space="0" w:color="auto"/>
        <w:right w:val="none" w:sz="0" w:space="0" w:color="auto"/>
      </w:divBdr>
    </w:div>
    <w:div w:id="1892305609">
      <w:bodyDiv w:val="1"/>
      <w:marLeft w:val="0"/>
      <w:marRight w:val="0"/>
      <w:marTop w:val="0"/>
      <w:marBottom w:val="0"/>
      <w:divBdr>
        <w:top w:val="none" w:sz="0" w:space="0" w:color="auto"/>
        <w:left w:val="none" w:sz="0" w:space="0" w:color="auto"/>
        <w:bottom w:val="none" w:sz="0" w:space="0" w:color="auto"/>
        <w:right w:val="none" w:sz="0" w:space="0" w:color="auto"/>
      </w:divBdr>
    </w:div>
    <w:div w:id="1963730367">
      <w:bodyDiv w:val="1"/>
      <w:marLeft w:val="0"/>
      <w:marRight w:val="0"/>
      <w:marTop w:val="0"/>
      <w:marBottom w:val="0"/>
      <w:divBdr>
        <w:top w:val="none" w:sz="0" w:space="0" w:color="auto"/>
        <w:left w:val="none" w:sz="0" w:space="0" w:color="auto"/>
        <w:bottom w:val="none" w:sz="0" w:space="0" w:color="auto"/>
        <w:right w:val="none" w:sz="0" w:space="0" w:color="auto"/>
      </w:divBdr>
    </w:div>
    <w:div w:id="21198307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cid:image002.png@01D875DB.15E18B20" TargetMode="External"/><Relationship Id="rId7" Type="http://schemas.openxmlformats.org/officeDocument/2006/relationships/endnotes" Target="endnotes.xml"/><Relationship Id="rId12" Type="http://schemas.openxmlformats.org/officeDocument/2006/relationships/image" Target="media/image4.jpeg"/><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oter" Target="footer1.xml"/><Relationship Id="rId10" Type="http://schemas.openxmlformats.org/officeDocument/2006/relationships/image" Target="media/image2.jpe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hyperlink" Target="mailto:andy.pace@energy-potential.com"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ofgem.gov.uk/publications/targeted-charging-review-decision-and-impact-assessme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5B06F-4389-4F07-A6C2-87D43A265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5638</Words>
  <Characters>32140</Characters>
  <Application>Microsoft Office Word</Application>
  <DocSecurity>4</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Manager/>
  <Company>Joint Office of Gas Transporters</Company>
  <LinksUpToDate>false</LinksUpToDate>
  <CharactersWithSpaces>37703</CharactersWithSpaces>
  <SharedDoc>false</SharedDoc>
  <HyperlinkBase/>
  <HLinks>
    <vt:vector size="66" baseType="variant">
      <vt:variant>
        <vt:i4>8192116</vt:i4>
      </vt:variant>
      <vt:variant>
        <vt:i4>42</vt:i4>
      </vt:variant>
      <vt:variant>
        <vt:i4>0</vt:i4>
      </vt:variant>
      <vt:variant>
        <vt:i4>5</vt:i4>
      </vt:variant>
      <vt:variant>
        <vt:lpwstr>http://www.dcusa.co.uk/</vt:lpwstr>
      </vt:variant>
      <vt:variant>
        <vt:lpwstr/>
      </vt:variant>
      <vt:variant>
        <vt:i4>7798806</vt:i4>
      </vt:variant>
      <vt:variant>
        <vt:i4>39</vt:i4>
      </vt:variant>
      <vt:variant>
        <vt:i4>0</vt:i4>
      </vt:variant>
      <vt:variant>
        <vt:i4>5</vt:i4>
      </vt:variant>
      <vt:variant>
        <vt:lpwstr>mailto:Simon.Vicary@edfenergy.com</vt:lpwstr>
      </vt:variant>
      <vt:variant>
        <vt:lpwstr/>
      </vt:variant>
      <vt:variant>
        <vt:i4>2293841</vt:i4>
      </vt:variant>
      <vt:variant>
        <vt:i4>0</vt:i4>
      </vt:variant>
      <vt:variant>
        <vt:i4>0</vt:i4>
      </vt:variant>
      <vt:variant>
        <vt:i4>5</vt:i4>
      </vt:variant>
      <vt:variant>
        <vt:lpwstr>mailto:dcusa@electralink.co.uk</vt:lpwstr>
      </vt:variant>
      <vt:variant>
        <vt:lpwstr/>
      </vt:variant>
      <vt:variant>
        <vt:i4>3473444</vt:i4>
      </vt:variant>
      <vt:variant>
        <vt:i4>21</vt:i4>
      </vt:variant>
      <vt:variant>
        <vt:i4>0</vt:i4>
      </vt:variant>
      <vt:variant>
        <vt:i4>5</vt:i4>
      </vt:variant>
      <vt:variant>
        <vt:lpwstr>https://www.ofgem.gov.uk/publications/access-and-forward-looking-charges-significant-code-review-decision-and-direction</vt:lpwstr>
      </vt:variant>
      <vt:variant>
        <vt:lpwstr/>
      </vt:variant>
      <vt:variant>
        <vt:i4>1507328</vt:i4>
      </vt:variant>
      <vt:variant>
        <vt:i4>18</vt:i4>
      </vt:variant>
      <vt:variant>
        <vt:i4>0</vt:i4>
      </vt:variant>
      <vt:variant>
        <vt:i4>5</vt:i4>
      </vt:variant>
      <vt:variant>
        <vt:lpwstr>https://www.ofgem.gov.uk/sites/default/files/2022-01/Access SCR - Consultation on Updates to Minded to Positions and Response to June 2021 Consultation Feedback.pdf</vt:lpwstr>
      </vt:variant>
      <vt:variant>
        <vt:lpwstr/>
      </vt:variant>
      <vt:variant>
        <vt:i4>5767189</vt:i4>
      </vt:variant>
      <vt:variant>
        <vt:i4>15</vt:i4>
      </vt:variant>
      <vt:variant>
        <vt:i4>0</vt:i4>
      </vt:variant>
      <vt:variant>
        <vt:i4>5</vt:i4>
      </vt:variant>
      <vt:variant>
        <vt:lpwstr>https://www.dcusa.co.uk/change/charging-of-third-party-dno-works-to-transmission-connected-users/</vt:lpwstr>
      </vt:variant>
      <vt:variant>
        <vt:lpwstr/>
      </vt:variant>
      <vt:variant>
        <vt:i4>2687019</vt:i4>
      </vt:variant>
      <vt:variant>
        <vt:i4>12</vt:i4>
      </vt:variant>
      <vt:variant>
        <vt:i4>0</vt:i4>
      </vt:variant>
      <vt:variant>
        <vt:i4>5</vt:i4>
      </vt:variant>
      <vt:variant>
        <vt:lpwstr>https://www.legislation.gov.uk/uksi/2017/106/contents/made</vt:lpwstr>
      </vt:variant>
      <vt:variant>
        <vt:lpwstr/>
      </vt:variant>
      <vt:variant>
        <vt:i4>6619178</vt:i4>
      </vt:variant>
      <vt:variant>
        <vt:i4>9</vt:i4>
      </vt:variant>
      <vt:variant>
        <vt:i4>0</vt:i4>
      </vt:variant>
      <vt:variant>
        <vt:i4>5</vt:i4>
      </vt:variant>
      <vt:variant>
        <vt:lpwstr>https://www.legislation.gov.uk/uksi/2017/106/pdfs/uksiod_20170106_en.pdf</vt:lpwstr>
      </vt:variant>
      <vt:variant>
        <vt:lpwstr/>
      </vt:variant>
      <vt:variant>
        <vt:i4>4456560</vt:i4>
      </vt:variant>
      <vt:variant>
        <vt:i4>6</vt:i4>
      </vt:variant>
      <vt:variant>
        <vt:i4>0</vt:i4>
      </vt:variant>
      <vt:variant>
        <vt:i4>5</vt:i4>
      </vt:variant>
      <vt:variant>
        <vt:lpwstr>https://beis.fra1.qualtrics.com/jfe/form/SV_9F7LETYTrhmYipw</vt:lpwstr>
      </vt:variant>
      <vt:variant>
        <vt:lpwstr/>
      </vt:variant>
      <vt:variant>
        <vt:i4>2687101</vt:i4>
      </vt:variant>
      <vt:variant>
        <vt:i4>3</vt:i4>
      </vt:variant>
      <vt:variant>
        <vt:i4>0</vt:i4>
      </vt:variant>
      <vt:variant>
        <vt:i4>5</vt:i4>
      </vt:variant>
      <vt:variant>
        <vt:lpwstr>https://www.nationalgrideso.com/industry-information/codes/connection-and-use-system-code-cusc-old/modifications/cmp328-connections</vt:lpwstr>
      </vt:variant>
      <vt:variant>
        <vt:lpwstr/>
      </vt:variant>
      <vt:variant>
        <vt:i4>2687019</vt:i4>
      </vt:variant>
      <vt:variant>
        <vt:i4>0</vt:i4>
      </vt:variant>
      <vt:variant>
        <vt:i4>0</vt:i4>
      </vt:variant>
      <vt:variant>
        <vt:i4>5</vt:i4>
      </vt:variant>
      <vt:variant>
        <vt:lpwstr>https://www.legislation.gov.uk/uksi/2017/106/contents/made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Andy Green</cp:lastModifiedBy>
  <cp:revision>2</cp:revision>
  <cp:lastPrinted>2015-03-12T17:50:00Z</cp:lastPrinted>
  <dcterms:created xsi:type="dcterms:W3CDTF">2022-10-31T13:26:00Z</dcterms:created>
  <dcterms:modified xsi:type="dcterms:W3CDTF">2022-10-31T13:26:00Z</dcterms:modified>
  <cp:category/>
</cp:coreProperties>
</file>