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592" w:type="dxa"/>
        <w:tblInd w:w="720" w:type="dxa"/>
        <w:tblLook w:val="04A0" w:firstRow="1" w:lastRow="0" w:firstColumn="1" w:lastColumn="0" w:noHBand="0" w:noVBand="1"/>
      </w:tblPr>
      <w:tblGrid>
        <w:gridCol w:w="3005"/>
        <w:gridCol w:w="5293"/>
        <w:gridCol w:w="5294"/>
      </w:tblGrid>
      <w:tr w:rsidR="0059678F" w14:paraId="7AF1965D" w14:textId="77777777" w:rsidTr="005B140C">
        <w:tc>
          <w:tcPr>
            <w:tcW w:w="3005" w:type="dxa"/>
          </w:tcPr>
          <w:p w14:paraId="38256360" w14:textId="77777777" w:rsidR="0059678F" w:rsidRPr="00A267DC" w:rsidRDefault="0059678F" w:rsidP="005B140C">
            <w:pPr>
              <w:pStyle w:val="ListParagraph"/>
              <w:ind w:left="0"/>
            </w:pPr>
          </w:p>
        </w:tc>
        <w:tc>
          <w:tcPr>
            <w:tcW w:w="5293" w:type="dxa"/>
          </w:tcPr>
          <w:p w14:paraId="0D622BA0" w14:textId="77777777" w:rsidR="0059678F" w:rsidRPr="00A267DC" w:rsidRDefault="0059678F" w:rsidP="005B140C">
            <w:pPr>
              <w:pStyle w:val="ListParagraph"/>
              <w:ind w:left="0"/>
            </w:pPr>
            <w:r w:rsidRPr="00A267DC">
              <w:t>Solution A - Default</w:t>
            </w:r>
          </w:p>
        </w:tc>
        <w:tc>
          <w:tcPr>
            <w:tcW w:w="5294" w:type="dxa"/>
          </w:tcPr>
          <w:p w14:paraId="0A305320" w14:textId="77777777" w:rsidR="0059678F" w:rsidRPr="00A267DC" w:rsidRDefault="0059678F" w:rsidP="005B140C">
            <w:pPr>
              <w:pStyle w:val="ListParagraph"/>
              <w:ind w:left="0"/>
            </w:pPr>
            <w:r w:rsidRPr="00A267DC">
              <w:t>Solution B – Tariff</w:t>
            </w:r>
          </w:p>
        </w:tc>
      </w:tr>
      <w:tr w:rsidR="0059678F" w14:paraId="09C0B470" w14:textId="77777777" w:rsidTr="005B140C">
        <w:tc>
          <w:tcPr>
            <w:tcW w:w="3005" w:type="dxa"/>
          </w:tcPr>
          <w:p w14:paraId="21226047" w14:textId="77777777" w:rsidR="0059678F" w:rsidRPr="00A267DC" w:rsidRDefault="0059678F" w:rsidP="005B140C">
            <w:pPr>
              <w:pStyle w:val="ListParagraph"/>
              <w:ind w:left="0"/>
            </w:pPr>
            <w:r w:rsidRPr="00A267DC">
              <w:t>Changes to CDCM/LC14</w:t>
            </w:r>
          </w:p>
        </w:tc>
        <w:tc>
          <w:tcPr>
            <w:tcW w:w="5293" w:type="dxa"/>
          </w:tcPr>
          <w:p w14:paraId="3ED44C40" w14:textId="77777777" w:rsidR="0059678F" w:rsidRPr="00A267DC" w:rsidRDefault="0059678F" w:rsidP="005B140C">
            <w:pPr>
              <w:pStyle w:val="ListParagraph"/>
              <w:numPr>
                <w:ilvl w:val="0"/>
                <w:numId w:val="1"/>
              </w:numPr>
              <w:ind w:left="357" w:hanging="357"/>
            </w:pPr>
            <w:r w:rsidRPr="00A267DC">
              <w:t>None</w:t>
            </w:r>
          </w:p>
        </w:tc>
        <w:tc>
          <w:tcPr>
            <w:tcW w:w="5294" w:type="dxa"/>
          </w:tcPr>
          <w:p w14:paraId="717DFF86" w14:textId="77777777" w:rsidR="0059678F" w:rsidRPr="00A267DC" w:rsidRDefault="0059678F" w:rsidP="005B140C">
            <w:pPr>
              <w:pStyle w:val="ListParagraph"/>
              <w:numPr>
                <w:ilvl w:val="0"/>
                <w:numId w:val="1"/>
              </w:numPr>
              <w:ind w:left="357" w:hanging="357"/>
            </w:pPr>
            <w:r w:rsidRPr="00A267DC">
              <w:t>New tariff name and new LLFCs required</w:t>
            </w:r>
          </w:p>
        </w:tc>
      </w:tr>
      <w:tr w:rsidR="0059678F" w14:paraId="4DACFAE7" w14:textId="77777777" w:rsidTr="005B140C">
        <w:tc>
          <w:tcPr>
            <w:tcW w:w="3005" w:type="dxa"/>
          </w:tcPr>
          <w:p w14:paraId="40D6F0CC" w14:textId="77777777" w:rsidR="0059678F" w:rsidRPr="00A267DC" w:rsidRDefault="0059678F" w:rsidP="005B140C">
            <w:pPr>
              <w:pStyle w:val="ListParagraph"/>
              <w:ind w:left="0"/>
            </w:pPr>
            <w:r>
              <w:t>Lead in time</w:t>
            </w:r>
          </w:p>
        </w:tc>
        <w:tc>
          <w:tcPr>
            <w:tcW w:w="5293" w:type="dxa"/>
          </w:tcPr>
          <w:p w14:paraId="10E0A039" w14:textId="77777777" w:rsidR="0059678F" w:rsidRPr="00A267DC" w:rsidRDefault="0059678F" w:rsidP="005B140C">
            <w:pPr>
              <w:pStyle w:val="ListParagraph"/>
              <w:numPr>
                <w:ilvl w:val="0"/>
                <w:numId w:val="1"/>
              </w:numPr>
              <w:ind w:left="357" w:hanging="357"/>
            </w:pPr>
            <w:r>
              <w:t>None</w:t>
            </w:r>
          </w:p>
        </w:tc>
        <w:tc>
          <w:tcPr>
            <w:tcW w:w="5294" w:type="dxa"/>
          </w:tcPr>
          <w:p w14:paraId="146F6395" w14:textId="77777777" w:rsidR="0059678F" w:rsidRDefault="0059678F" w:rsidP="005B140C">
            <w:pPr>
              <w:pStyle w:val="ListParagraph"/>
              <w:numPr>
                <w:ilvl w:val="0"/>
                <w:numId w:val="1"/>
              </w:numPr>
              <w:ind w:left="357" w:hanging="357"/>
            </w:pPr>
            <w:r>
              <w:t>Time for changes to CDCM and LLFCs opening in MDD</w:t>
            </w:r>
          </w:p>
          <w:p w14:paraId="104BF970" w14:textId="77777777" w:rsidR="0059678F" w:rsidRPr="00A267DC" w:rsidRDefault="0059678F" w:rsidP="005B140C">
            <w:pPr>
              <w:pStyle w:val="ListParagraph"/>
              <w:numPr>
                <w:ilvl w:val="0"/>
                <w:numId w:val="1"/>
              </w:numPr>
              <w:ind w:left="357" w:hanging="357"/>
            </w:pPr>
            <w:r>
              <w:t>Need an Ofgem derogation and form approval for LC14</w:t>
            </w:r>
          </w:p>
        </w:tc>
      </w:tr>
      <w:tr w:rsidR="0059678F" w14:paraId="7DBDE2C8" w14:textId="77777777" w:rsidTr="005B140C">
        <w:tc>
          <w:tcPr>
            <w:tcW w:w="3005" w:type="dxa"/>
          </w:tcPr>
          <w:p w14:paraId="0022591F" w14:textId="77777777" w:rsidR="0059678F" w:rsidRPr="00A267DC" w:rsidRDefault="0059678F" w:rsidP="005B140C">
            <w:pPr>
              <w:pStyle w:val="ListParagraph"/>
              <w:ind w:left="0"/>
            </w:pPr>
            <w:r>
              <w:t>Migration (LLFC)</w:t>
            </w:r>
          </w:p>
        </w:tc>
        <w:tc>
          <w:tcPr>
            <w:tcW w:w="5293" w:type="dxa"/>
          </w:tcPr>
          <w:p w14:paraId="40C1AEA3" w14:textId="77777777" w:rsidR="0059678F" w:rsidRDefault="0059678F" w:rsidP="005B140C">
            <w:pPr>
              <w:pStyle w:val="ListParagraph"/>
              <w:numPr>
                <w:ilvl w:val="0"/>
                <w:numId w:val="1"/>
              </w:numPr>
              <w:ind w:left="357" w:hanging="357"/>
            </w:pPr>
            <w:r>
              <w:t>Single migration to HH LLFC</w:t>
            </w:r>
          </w:p>
          <w:p w14:paraId="61557BC8" w14:textId="77777777" w:rsidR="0059678F" w:rsidRPr="00A267DC" w:rsidRDefault="0059678F" w:rsidP="005B140C">
            <w:pPr>
              <w:pStyle w:val="ListParagraph"/>
              <w:numPr>
                <w:ilvl w:val="0"/>
                <w:numId w:val="1"/>
              </w:numPr>
              <w:ind w:left="357" w:hanging="357"/>
            </w:pPr>
            <w:r>
              <w:t xml:space="preserve">Re-banding may be required for some sites </w:t>
            </w:r>
            <w:proofErr w:type="gramStart"/>
            <w:r>
              <w:t>later on</w:t>
            </w:r>
            <w:proofErr w:type="gramEnd"/>
          </w:p>
        </w:tc>
        <w:tc>
          <w:tcPr>
            <w:tcW w:w="5294" w:type="dxa"/>
          </w:tcPr>
          <w:p w14:paraId="277A8458" w14:textId="77777777" w:rsidR="0059678F" w:rsidRDefault="0059678F" w:rsidP="005B140C">
            <w:pPr>
              <w:pStyle w:val="ListParagraph"/>
              <w:numPr>
                <w:ilvl w:val="0"/>
                <w:numId w:val="1"/>
              </w:numPr>
              <w:ind w:left="357" w:hanging="357"/>
            </w:pPr>
            <w:r>
              <w:t>Two migrations required</w:t>
            </w:r>
          </w:p>
          <w:p w14:paraId="2233F1E5" w14:textId="77777777" w:rsidR="0059678F" w:rsidRDefault="0059678F" w:rsidP="005B140C">
            <w:pPr>
              <w:pStyle w:val="ListParagraph"/>
              <w:numPr>
                <w:ilvl w:val="1"/>
                <w:numId w:val="1"/>
              </w:numPr>
              <w:ind w:left="470" w:hanging="357"/>
            </w:pPr>
            <w:r>
              <w:t>First to migrate to HH aggregated tariff</w:t>
            </w:r>
          </w:p>
          <w:p w14:paraId="3DD3B46F" w14:textId="77777777" w:rsidR="0059678F" w:rsidRPr="00A267DC" w:rsidRDefault="0059678F" w:rsidP="005B140C">
            <w:pPr>
              <w:pStyle w:val="ListParagraph"/>
              <w:numPr>
                <w:ilvl w:val="1"/>
                <w:numId w:val="1"/>
              </w:numPr>
              <w:ind w:left="470" w:hanging="357"/>
            </w:pPr>
            <w:r>
              <w:t>Second to migrate to HH site specific tariff (or back to NHH)</w:t>
            </w:r>
          </w:p>
        </w:tc>
      </w:tr>
      <w:tr w:rsidR="0059678F" w14:paraId="1A721C56" w14:textId="77777777" w:rsidTr="005B140C">
        <w:tc>
          <w:tcPr>
            <w:tcW w:w="3005" w:type="dxa"/>
          </w:tcPr>
          <w:p w14:paraId="78B21866" w14:textId="77777777" w:rsidR="0059678F" w:rsidRPr="00A267DC" w:rsidRDefault="0059678F" w:rsidP="005B140C">
            <w:pPr>
              <w:pStyle w:val="ListParagraph"/>
              <w:ind w:left="0"/>
            </w:pPr>
            <w:r>
              <w:t>Capacity charges</w:t>
            </w:r>
          </w:p>
        </w:tc>
        <w:tc>
          <w:tcPr>
            <w:tcW w:w="5293" w:type="dxa"/>
          </w:tcPr>
          <w:p w14:paraId="635F0A19" w14:textId="77777777" w:rsidR="0059678F" w:rsidRDefault="0059678F" w:rsidP="005B140C">
            <w:pPr>
              <w:pStyle w:val="ListParagraph"/>
              <w:numPr>
                <w:ilvl w:val="0"/>
                <w:numId w:val="1"/>
              </w:numPr>
              <w:ind w:left="357" w:hanging="357"/>
            </w:pPr>
            <w:r>
              <w:t>Initially default MIC is applied to all MPANs (unless an agreed capacity already exists)</w:t>
            </w:r>
          </w:p>
          <w:p w14:paraId="50134376" w14:textId="77777777" w:rsidR="0059678F" w:rsidRDefault="0059678F" w:rsidP="005B140C">
            <w:pPr>
              <w:pStyle w:val="ListParagraph"/>
              <w:numPr>
                <w:ilvl w:val="0"/>
                <w:numId w:val="1"/>
              </w:numPr>
              <w:ind w:left="357" w:hanging="357"/>
            </w:pPr>
            <w:r>
              <w:t xml:space="preserve">Following </w:t>
            </w:r>
            <w:proofErr w:type="gramStart"/>
            <w:r>
              <w:t>transition</w:t>
            </w:r>
            <w:proofErr w:type="gramEnd"/>
            <w:r>
              <w:t xml:space="preserve"> the DNO calculates a new MIC.</w:t>
            </w:r>
          </w:p>
          <w:p w14:paraId="0E0FF2AB" w14:textId="77777777" w:rsidR="0059678F" w:rsidRDefault="0059678F" w:rsidP="005B140C">
            <w:pPr>
              <w:pStyle w:val="ListParagraph"/>
              <w:numPr>
                <w:ilvl w:val="0"/>
                <w:numId w:val="1"/>
              </w:numPr>
              <w:ind w:left="357" w:hanging="357"/>
            </w:pPr>
            <w:r>
              <w:t>Three scenarios:</w:t>
            </w:r>
          </w:p>
          <w:p w14:paraId="14DD33B6" w14:textId="77777777" w:rsidR="0059678F" w:rsidRDefault="0059678F" w:rsidP="005B140C">
            <w:pPr>
              <w:pStyle w:val="ListParagraph"/>
              <w:numPr>
                <w:ilvl w:val="1"/>
                <w:numId w:val="1"/>
              </w:numPr>
              <w:ind w:left="470" w:hanging="357"/>
            </w:pPr>
            <w:r>
              <w:t xml:space="preserve">Default capacity is appropriate – capacity charges are </w:t>
            </w:r>
            <w:proofErr w:type="gramStart"/>
            <w:r>
              <w:t>correct</w:t>
            </w:r>
            <w:proofErr w:type="gramEnd"/>
            <w:r>
              <w:t xml:space="preserve"> and banding is correct</w:t>
            </w:r>
          </w:p>
          <w:p w14:paraId="05157954" w14:textId="77777777" w:rsidR="0059678F" w:rsidRDefault="0059678F" w:rsidP="005B140C">
            <w:pPr>
              <w:pStyle w:val="ListParagraph"/>
              <w:numPr>
                <w:ilvl w:val="1"/>
                <w:numId w:val="1"/>
              </w:numPr>
              <w:ind w:left="470" w:hanging="357"/>
            </w:pPr>
            <w:r>
              <w:t xml:space="preserve">Default is too low – excess capacity charges are incurred until the MIC is revised. MIC is backdated to date of migration and site is rebilled. Site initially receives higher charges but will have these refunded </w:t>
            </w:r>
            <w:proofErr w:type="gramStart"/>
            <w:r>
              <w:t>later on</w:t>
            </w:r>
            <w:proofErr w:type="gramEnd"/>
            <w:r>
              <w:t>. May require a change to a higher residual band. This should not be backdated.</w:t>
            </w:r>
          </w:p>
          <w:p w14:paraId="23DC4570" w14:textId="77777777" w:rsidR="0059678F" w:rsidRPr="00A267DC" w:rsidRDefault="0059678F" w:rsidP="005B140C">
            <w:pPr>
              <w:pStyle w:val="ListParagraph"/>
              <w:numPr>
                <w:ilvl w:val="1"/>
                <w:numId w:val="1"/>
              </w:numPr>
              <w:ind w:left="470" w:hanging="357"/>
            </w:pPr>
            <w:r>
              <w:t xml:space="preserve">Default is too high – customer pays higher capacity charges initially until the MIC is revised (agreed capacity tariff applied to higher kVA than needed). MIC is backdated to date of migration and the site is rebilled. Site initially receives higher charges but will have these refunded </w:t>
            </w:r>
            <w:proofErr w:type="gramStart"/>
            <w:r>
              <w:t>later on</w:t>
            </w:r>
            <w:proofErr w:type="gramEnd"/>
            <w:r>
              <w:t>. Default will likely be in residual band 1 so no change to the band allocation should be required.</w:t>
            </w:r>
          </w:p>
        </w:tc>
        <w:tc>
          <w:tcPr>
            <w:tcW w:w="5294" w:type="dxa"/>
          </w:tcPr>
          <w:p w14:paraId="54609CD3" w14:textId="77777777" w:rsidR="0059678F" w:rsidRDefault="0059678F" w:rsidP="005B140C">
            <w:pPr>
              <w:pStyle w:val="ListParagraph"/>
              <w:numPr>
                <w:ilvl w:val="0"/>
                <w:numId w:val="1"/>
              </w:numPr>
              <w:ind w:left="357" w:hanging="357"/>
            </w:pPr>
            <w:r>
              <w:t xml:space="preserve">During transition the site continues to be billed on aggregated </w:t>
            </w:r>
            <w:proofErr w:type="gramStart"/>
            <w:r>
              <w:t>tariffs</w:t>
            </w:r>
            <w:proofErr w:type="gramEnd"/>
            <w:r>
              <w:t xml:space="preserve"> so no separate capacity charge applies</w:t>
            </w:r>
          </w:p>
          <w:p w14:paraId="196D1AE7" w14:textId="77777777" w:rsidR="0059678F" w:rsidRDefault="0059678F" w:rsidP="005B140C">
            <w:pPr>
              <w:pStyle w:val="ListParagraph"/>
              <w:numPr>
                <w:ilvl w:val="0"/>
                <w:numId w:val="1"/>
              </w:numPr>
              <w:ind w:left="357" w:hanging="357"/>
            </w:pPr>
            <w:r>
              <w:t>Post transition the new MIC is applied (which is either agreed with the customer or calculated from actual data) and this is set at the correct level so there should be no overcharging of capacity charges.</w:t>
            </w:r>
          </w:p>
          <w:p w14:paraId="09ADD801" w14:textId="77777777" w:rsidR="0059678F" w:rsidRDefault="0059678F" w:rsidP="005B140C">
            <w:pPr>
              <w:pStyle w:val="ListParagraph"/>
              <w:numPr>
                <w:ilvl w:val="0"/>
                <w:numId w:val="1"/>
              </w:numPr>
              <w:ind w:left="357" w:hanging="357"/>
            </w:pPr>
            <w:r>
              <w:t>Post transition all sites will need to be allocated to a residual band.</w:t>
            </w:r>
          </w:p>
          <w:p w14:paraId="6D4447CC" w14:textId="77777777" w:rsidR="0059678F" w:rsidRDefault="0059678F" w:rsidP="005B140C">
            <w:pPr>
              <w:pStyle w:val="ListParagraph"/>
              <w:numPr>
                <w:ilvl w:val="0"/>
                <w:numId w:val="1"/>
              </w:numPr>
              <w:ind w:left="357" w:hanging="357"/>
            </w:pPr>
            <w:r>
              <w:t>Suppliers/Consultants don’t have to keep track of default MICs for different areas</w:t>
            </w:r>
          </w:p>
          <w:p w14:paraId="6F83481B" w14:textId="77777777" w:rsidR="0059678F" w:rsidRPr="00A267DC" w:rsidRDefault="0059678F" w:rsidP="005B140C">
            <w:pPr>
              <w:pStyle w:val="ListParagraph"/>
              <w:ind w:left="0"/>
            </w:pPr>
          </w:p>
        </w:tc>
      </w:tr>
      <w:tr w:rsidR="0059678F" w14:paraId="1634C6DD" w14:textId="77777777" w:rsidTr="005B140C">
        <w:tc>
          <w:tcPr>
            <w:tcW w:w="3005" w:type="dxa"/>
          </w:tcPr>
          <w:p w14:paraId="26B5D1B5" w14:textId="77777777" w:rsidR="0059678F" w:rsidRPr="00A267DC" w:rsidRDefault="0059678F" w:rsidP="005B140C">
            <w:pPr>
              <w:pStyle w:val="ListParagraph"/>
              <w:ind w:left="0"/>
            </w:pPr>
            <w:r>
              <w:t>Communication</w:t>
            </w:r>
          </w:p>
        </w:tc>
        <w:tc>
          <w:tcPr>
            <w:tcW w:w="5293" w:type="dxa"/>
          </w:tcPr>
          <w:p w14:paraId="283AC4A7" w14:textId="77777777" w:rsidR="0059678F" w:rsidRDefault="0059678F" w:rsidP="005B140C">
            <w:pPr>
              <w:pStyle w:val="ListParagraph"/>
              <w:numPr>
                <w:ilvl w:val="0"/>
                <w:numId w:val="1"/>
              </w:numPr>
              <w:ind w:left="357" w:hanging="357"/>
            </w:pPr>
            <w:r>
              <w:t>Initially Supplier contacts customer</w:t>
            </w:r>
          </w:p>
          <w:p w14:paraId="71970179" w14:textId="77777777" w:rsidR="0059678F" w:rsidRDefault="0059678F" w:rsidP="005B140C">
            <w:pPr>
              <w:pStyle w:val="ListParagraph"/>
              <w:numPr>
                <w:ilvl w:val="0"/>
                <w:numId w:val="1"/>
              </w:numPr>
              <w:ind w:left="357" w:hanging="357"/>
            </w:pPr>
            <w:r>
              <w:lastRenderedPageBreak/>
              <w:t>DNO contacts customer directly to agree the MIC</w:t>
            </w:r>
          </w:p>
          <w:p w14:paraId="492071BF" w14:textId="77777777" w:rsidR="0059678F" w:rsidRPr="00A267DC" w:rsidRDefault="0059678F" w:rsidP="005B140C">
            <w:pPr>
              <w:pStyle w:val="ListParagraph"/>
              <w:numPr>
                <w:ilvl w:val="0"/>
                <w:numId w:val="1"/>
              </w:numPr>
              <w:ind w:left="357" w:hanging="357"/>
            </w:pPr>
            <w:r>
              <w:t>DNO has 6 months to agree the MIC with the customer after 12 months of data has been received.</w:t>
            </w:r>
          </w:p>
        </w:tc>
        <w:tc>
          <w:tcPr>
            <w:tcW w:w="5294" w:type="dxa"/>
          </w:tcPr>
          <w:p w14:paraId="7CB890B6" w14:textId="77777777" w:rsidR="0059678F" w:rsidRDefault="0059678F" w:rsidP="005B140C">
            <w:pPr>
              <w:pStyle w:val="ListParagraph"/>
              <w:numPr>
                <w:ilvl w:val="0"/>
                <w:numId w:val="1"/>
              </w:numPr>
              <w:ind w:left="357" w:hanging="357"/>
            </w:pPr>
            <w:r>
              <w:lastRenderedPageBreak/>
              <w:t>Initially Supplier contacts customer</w:t>
            </w:r>
          </w:p>
          <w:p w14:paraId="4F949EA3" w14:textId="77777777" w:rsidR="0059678F" w:rsidRDefault="0059678F" w:rsidP="005B140C">
            <w:pPr>
              <w:pStyle w:val="ListParagraph"/>
              <w:numPr>
                <w:ilvl w:val="0"/>
                <w:numId w:val="1"/>
              </w:numPr>
              <w:ind w:left="357" w:hanging="357"/>
            </w:pPr>
            <w:r>
              <w:lastRenderedPageBreak/>
              <w:t>DNO contacts customer directly to agree the MIC</w:t>
            </w:r>
          </w:p>
          <w:p w14:paraId="1396AB42" w14:textId="77777777" w:rsidR="0059678F" w:rsidRPr="00A267DC" w:rsidRDefault="0059678F" w:rsidP="005B140C">
            <w:pPr>
              <w:pStyle w:val="ListParagraph"/>
              <w:numPr>
                <w:ilvl w:val="0"/>
                <w:numId w:val="1"/>
              </w:numPr>
              <w:ind w:left="357" w:hanging="357"/>
            </w:pPr>
            <w:r>
              <w:t>DNO has 6 months to agree the MIC with the customer after 12 months of data has been received.</w:t>
            </w:r>
          </w:p>
        </w:tc>
      </w:tr>
      <w:tr w:rsidR="0059678F" w14:paraId="23D23F89" w14:textId="77777777" w:rsidTr="005B140C">
        <w:tc>
          <w:tcPr>
            <w:tcW w:w="3005" w:type="dxa"/>
          </w:tcPr>
          <w:p w14:paraId="01BDD57F" w14:textId="77777777" w:rsidR="0059678F" w:rsidRDefault="0059678F" w:rsidP="005B140C">
            <w:pPr>
              <w:pStyle w:val="ListParagraph"/>
              <w:ind w:left="0"/>
            </w:pPr>
            <w:r>
              <w:lastRenderedPageBreak/>
              <w:t>MIC calculation</w:t>
            </w:r>
          </w:p>
        </w:tc>
        <w:tc>
          <w:tcPr>
            <w:tcW w:w="5293" w:type="dxa"/>
          </w:tcPr>
          <w:p w14:paraId="6AB40801" w14:textId="77777777" w:rsidR="0059678F" w:rsidRDefault="0059678F" w:rsidP="005B140C">
            <w:pPr>
              <w:pStyle w:val="ListParagraph"/>
              <w:numPr>
                <w:ilvl w:val="0"/>
                <w:numId w:val="1"/>
              </w:numPr>
              <w:ind w:left="357" w:hanging="357"/>
            </w:pPr>
            <w:r>
              <w:t xml:space="preserve">DNO has to have a default MIC to </w:t>
            </w:r>
            <w:proofErr w:type="gramStart"/>
            <w:r>
              <w:t>apply</w:t>
            </w:r>
            <w:proofErr w:type="gramEnd"/>
          </w:p>
          <w:p w14:paraId="17A40847" w14:textId="77777777" w:rsidR="0059678F" w:rsidRDefault="0059678F" w:rsidP="005B140C">
            <w:pPr>
              <w:pStyle w:val="ListParagraph"/>
              <w:numPr>
                <w:ilvl w:val="0"/>
                <w:numId w:val="1"/>
              </w:numPr>
              <w:ind w:left="357" w:hanging="357"/>
            </w:pPr>
            <w:r>
              <w:t>MIC is either agreed with the customer or calculated based on 12 months of actual meter data.</w:t>
            </w:r>
          </w:p>
          <w:p w14:paraId="0ADE4438" w14:textId="77777777" w:rsidR="0059678F" w:rsidRDefault="0059678F" w:rsidP="005B140C">
            <w:pPr>
              <w:pStyle w:val="ListParagraph"/>
              <w:numPr>
                <w:ilvl w:val="0"/>
                <w:numId w:val="1"/>
              </w:numPr>
              <w:ind w:left="357" w:hanging="357"/>
            </w:pPr>
            <w:r>
              <w:t>DNO has 6 months to calculate and then contact the customer to agree the calculated value.</w:t>
            </w:r>
          </w:p>
        </w:tc>
        <w:tc>
          <w:tcPr>
            <w:tcW w:w="5294" w:type="dxa"/>
          </w:tcPr>
          <w:p w14:paraId="0BEBC335" w14:textId="77777777" w:rsidR="0059678F" w:rsidRDefault="0059678F" w:rsidP="005B140C">
            <w:pPr>
              <w:pStyle w:val="ListParagraph"/>
              <w:numPr>
                <w:ilvl w:val="0"/>
                <w:numId w:val="1"/>
              </w:numPr>
              <w:ind w:left="357" w:hanging="357"/>
            </w:pPr>
            <w:r>
              <w:t>No default MIC required</w:t>
            </w:r>
          </w:p>
          <w:p w14:paraId="6EAC77D5" w14:textId="77777777" w:rsidR="0059678F" w:rsidRDefault="0059678F" w:rsidP="005B140C">
            <w:pPr>
              <w:pStyle w:val="ListParagraph"/>
              <w:numPr>
                <w:ilvl w:val="0"/>
                <w:numId w:val="1"/>
              </w:numPr>
              <w:ind w:left="357" w:hanging="357"/>
            </w:pPr>
            <w:r>
              <w:t>MIC is either agreed with the customer or calculated based on 12 months of actual meter data.</w:t>
            </w:r>
          </w:p>
          <w:p w14:paraId="697E0D54" w14:textId="77777777" w:rsidR="0059678F" w:rsidRDefault="0059678F" w:rsidP="005B140C">
            <w:pPr>
              <w:pStyle w:val="ListParagraph"/>
              <w:numPr>
                <w:ilvl w:val="0"/>
                <w:numId w:val="1"/>
              </w:numPr>
              <w:ind w:left="357" w:hanging="357"/>
            </w:pPr>
            <w:r>
              <w:t>DNO has 6 months to calculate and then contact the customer to agree the calculated value.</w:t>
            </w:r>
          </w:p>
        </w:tc>
      </w:tr>
    </w:tbl>
    <w:p w14:paraId="6AB531A0" w14:textId="77777777" w:rsidR="001E2872" w:rsidRDefault="001E2872"/>
    <w:sectPr w:rsidR="001E2872" w:rsidSect="0059678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33847"/>
    <w:multiLevelType w:val="hybridMultilevel"/>
    <w:tmpl w:val="51463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6878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78F"/>
    <w:rsid w:val="001E2872"/>
    <w:rsid w:val="0059678F"/>
    <w:rsid w:val="00855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B84F"/>
  <w15:chartTrackingRefBased/>
  <w15:docId w15:val="{92D87FDE-DA16-4D0F-A8BA-5D59B6EF6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78F"/>
    <w:pPr>
      <w:ind w:left="720"/>
      <w:contextualSpacing/>
    </w:pPr>
  </w:style>
  <w:style w:type="table" w:styleId="TableGrid">
    <w:name w:val="Table Grid"/>
    <w:basedOn w:val="TableNormal"/>
    <w:uiPriority w:val="39"/>
    <w:rsid w:val="00596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2305</Characters>
  <Application>Microsoft Office Word</Application>
  <DocSecurity>4</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Burke, Kara (Northern Powergrid)</dc:creator>
  <cp:keywords/>
  <dc:description/>
  <cp:lastModifiedBy>Andy Green</cp:lastModifiedBy>
  <cp:revision>2</cp:revision>
  <dcterms:created xsi:type="dcterms:W3CDTF">2023-04-04T13:57:00Z</dcterms:created>
  <dcterms:modified xsi:type="dcterms:W3CDTF">2023-04-04T13:57:00Z</dcterms:modified>
</cp:coreProperties>
</file>