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Theme="minorHAnsi" w:eastAsiaTheme="minorHAnsi" w:hAnsiTheme="minorHAnsi" w:cstheme="minorBidi"/>
          <w:color w:val="auto"/>
          <w:kern w:val="2"/>
          <w:sz w:val="22"/>
          <w:szCs w:val="22"/>
          <w:lang w:val="en-GB"/>
          <w14:ligatures w14:val="standardContextual"/>
        </w:rPr>
        <w:id w:val="-2097166457"/>
        <w:docPartObj>
          <w:docPartGallery w:val="Table of Contents"/>
          <w:docPartUnique/>
        </w:docPartObj>
      </w:sdtPr>
      <w:sdtEndPr>
        <w:rPr>
          <w:b/>
          <w:bCs/>
          <w:noProof/>
        </w:rPr>
      </w:sdtEndPr>
      <w:sdtContent>
        <w:p w14:paraId="6C0EB1EC" w14:textId="0D3EE911" w:rsidR="002367D6" w:rsidRPr="00241D7A" w:rsidRDefault="002367D6">
          <w:pPr>
            <w:pStyle w:val="TOCHeading"/>
            <w:rPr>
              <w:color w:val="339966"/>
            </w:rPr>
          </w:pPr>
          <w:r w:rsidRPr="00241D7A">
            <w:rPr>
              <w:color w:val="339966"/>
            </w:rPr>
            <w:t>Contents</w:t>
          </w:r>
        </w:p>
        <w:p w14:paraId="2A4E99F8" w14:textId="53F491AA" w:rsidR="00DC1947" w:rsidRDefault="002367D6">
          <w:pPr>
            <w:pStyle w:val="TOC2"/>
            <w:tabs>
              <w:tab w:val="right" w:leader="dot" w:pos="9016"/>
            </w:tabs>
            <w:rPr>
              <w:rFonts w:eastAsiaTheme="minorEastAsia"/>
              <w:noProof/>
              <w:lang w:eastAsia="en-GB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65453763" w:history="1">
            <w:r w:rsidR="00DC1947" w:rsidRPr="00682791">
              <w:rPr>
                <w:rStyle w:val="Hyperlink"/>
                <w:noProof/>
              </w:rPr>
              <w:t>Ensuring the solution creates the right economic impact</w:t>
            </w:r>
            <w:r w:rsidR="00DC1947">
              <w:rPr>
                <w:noProof/>
                <w:webHidden/>
              </w:rPr>
              <w:tab/>
            </w:r>
            <w:r w:rsidR="00DC1947">
              <w:rPr>
                <w:noProof/>
                <w:webHidden/>
              </w:rPr>
              <w:fldChar w:fldCharType="begin"/>
            </w:r>
            <w:r w:rsidR="00DC1947">
              <w:rPr>
                <w:noProof/>
                <w:webHidden/>
              </w:rPr>
              <w:instrText xml:space="preserve"> PAGEREF _Toc165453763 \h </w:instrText>
            </w:r>
            <w:r w:rsidR="00DC1947">
              <w:rPr>
                <w:noProof/>
                <w:webHidden/>
              </w:rPr>
            </w:r>
            <w:r w:rsidR="00DC1947">
              <w:rPr>
                <w:noProof/>
                <w:webHidden/>
              </w:rPr>
              <w:fldChar w:fldCharType="separate"/>
            </w:r>
            <w:r w:rsidR="00DC1947">
              <w:rPr>
                <w:noProof/>
                <w:webHidden/>
              </w:rPr>
              <w:t>2</w:t>
            </w:r>
            <w:r w:rsidR="00DC1947">
              <w:rPr>
                <w:noProof/>
                <w:webHidden/>
              </w:rPr>
              <w:fldChar w:fldCharType="end"/>
            </w:r>
          </w:hyperlink>
        </w:p>
        <w:p w14:paraId="24757B30" w14:textId="4F68FC4A" w:rsidR="00DC1947" w:rsidRDefault="00DC1947">
          <w:pPr>
            <w:pStyle w:val="TOC2"/>
            <w:tabs>
              <w:tab w:val="right" w:leader="dot" w:pos="9016"/>
            </w:tabs>
            <w:rPr>
              <w:rFonts w:eastAsiaTheme="minorEastAsia"/>
              <w:noProof/>
              <w:lang w:eastAsia="en-GB"/>
            </w:rPr>
          </w:pPr>
          <w:hyperlink w:anchor="_Toc165453764" w:history="1">
            <w:r w:rsidRPr="00682791">
              <w:rPr>
                <w:rStyle w:val="Hyperlink"/>
                <w:noProof/>
              </w:rPr>
              <w:t>Defining who is in scope of the Change Proposal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_Toc165453764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A03ADD7" w14:textId="5EA2357E" w:rsidR="00DC1947" w:rsidRDefault="00DC1947">
          <w:pPr>
            <w:pStyle w:val="TOC2"/>
            <w:tabs>
              <w:tab w:val="right" w:leader="dot" w:pos="9016"/>
            </w:tabs>
            <w:rPr>
              <w:rFonts w:eastAsiaTheme="minorEastAsia"/>
              <w:noProof/>
              <w:lang w:eastAsia="en-GB"/>
            </w:rPr>
          </w:pPr>
          <w:hyperlink w:anchor="_Toc165453765" w:history="1">
            <w:r w:rsidRPr="00682791">
              <w:rPr>
                <w:rStyle w:val="Hyperlink"/>
                <w:noProof/>
              </w:rPr>
              <w:t>Funding the support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_Toc165453765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A30DCF0" w14:textId="092BA7E6" w:rsidR="00DC1947" w:rsidRDefault="00DC1947">
          <w:pPr>
            <w:pStyle w:val="TOC2"/>
            <w:tabs>
              <w:tab w:val="right" w:leader="dot" w:pos="9016"/>
            </w:tabs>
            <w:rPr>
              <w:rFonts w:eastAsiaTheme="minorEastAsia"/>
              <w:noProof/>
              <w:lang w:eastAsia="en-GB"/>
            </w:rPr>
          </w:pPr>
          <w:hyperlink w:anchor="_Toc165453766" w:history="1">
            <w:r w:rsidRPr="00682791">
              <w:rPr>
                <w:rStyle w:val="Hyperlink"/>
                <w:noProof/>
              </w:rPr>
              <w:t>Lead time for support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_Toc165453766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F988FC6" w14:textId="4E4DA9F0" w:rsidR="00DC1947" w:rsidRDefault="00DC1947">
          <w:pPr>
            <w:pStyle w:val="TOC2"/>
            <w:tabs>
              <w:tab w:val="right" w:leader="dot" w:pos="9016"/>
            </w:tabs>
            <w:rPr>
              <w:rFonts w:eastAsiaTheme="minorEastAsia"/>
              <w:noProof/>
              <w:lang w:eastAsia="en-GB"/>
            </w:rPr>
          </w:pPr>
          <w:hyperlink w:anchor="_Toc165453767" w:history="1">
            <w:r w:rsidRPr="00682791">
              <w:rPr>
                <w:rStyle w:val="Hyperlink"/>
                <w:noProof/>
              </w:rPr>
              <w:t>Additional new processes and/or manual processes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_Toc165453767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AD05553" w14:textId="23B6F9F6" w:rsidR="00DC1947" w:rsidRDefault="00DC1947">
          <w:pPr>
            <w:pStyle w:val="TOC2"/>
            <w:tabs>
              <w:tab w:val="right" w:leader="dot" w:pos="9016"/>
            </w:tabs>
            <w:rPr>
              <w:rFonts w:eastAsiaTheme="minorEastAsia"/>
              <w:noProof/>
              <w:lang w:eastAsia="en-GB"/>
            </w:rPr>
          </w:pPr>
          <w:hyperlink w:anchor="_Toc165453768" w:history="1">
            <w:r w:rsidRPr="00682791">
              <w:rPr>
                <w:rStyle w:val="Hyperlink"/>
                <w:noProof/>
              </w:rPr>
              <w:t>Potential CUSC impacts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_Toc165453768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ACC95A9" w14:textId="55664C69" w:rsidR="002367D6" w:rsidRDefault="002367D6">
          <w:r>
            <w:rPr>
              <w:b/>
              <w:bCs/>
              <w:noProof/>
            </w:rPr>
            <w:fldChar w:fldCharType="end"/>
          </w:r>
        </w:p>
      </w:sdtContent>
    </w:sdt>
    <w:p w14:paraId="2886E18F" w14:textId="0F40C3E5" w:rsidR="00791E42" w:rsidRDefault="00791E42"/>
    <w:p w14:paraId="080A53E2" w14:textId="19BF5090" w:rsidR="00EF2DCB" w:rsidRDefault="00EF2DCB">
      <w:r>
        <w:br w:type="page"/>
      </w:r>
    </w:p>
    <w:p w14:paraId="5B82638D" w14:textId="09D65848" w:rsidR="008378AF" w:rsidRDefault="003A709A" w:rsidP="00F804A2">
      <w:pPr>
        <w:pStyle w:val="Heading2"/>
      </w:pPr>
      <w:bookmarkStart w:id="0" w:name="_Toc165453763"/>
      <w:r>
        <w:lastRenderedPageBreak/>
        <w:t xml:space="preserve">Ensuring the solution creates the right economic </w:t>
      </w:r>
      <w:proofErr w:type="gramStart"/>
      <w:r>
        <w:t>impact</w:t>
      </w:r>
      <w:bookmarkEnd w:id="0"/>
      <w:proofErr w:type="gramEnd"/>
    </w:p>
    <w:p w14:paraId="27ACED60" w14:textId="77777777" w:rsidR="00947025" w:rsidRDefault="00947025" w:rsidP="00947025">
      <w:pPr>
        <w:spacing w:after="0"/>
        <w:jc w:val="both"/>
      </w:pPr>
    </w:p>
    <w:p w14:paraId="022C0F1B" w14:textId="7B0FCEF0" w:rsidR="00F804A2" w:rsidRDefault="0076404E" w:rsidP="00F804A2">
      <w:pPr>
        <w:pStyle w:val="ListParagraph"/>
        <w:numPr>
          <w:ilvl w:val="0"/>
          <w:numId w:val="1"/>
        </w:numPr>
        <w:spacing w:after="0"/>
        <w:jc w:val="both"/>
      </w:pPr>
      <w:r>
        <w:t xml:space="preserve">The Working Group has </w:t>
      </w:r>
      <w:r w:rsidR="00CB7A9B">
        <w:t xml:space="preserve">considered </w:t>
      </w:r>
      <w:r w:rsidR="00B201DF">
        <w:t xml:space="preserve">how </w:t>
      </w:r>
      <w:r w:rsidR="005A310B">
        <w:t>it would select the most appropriate mechanism for providing support, within the remits of the DCUSA</w:t>
      </w:r>
      <w:r w:rsidR="003B2D08">
        <w:t xml:space="preserve">, such as reducing the residual charges to a pre-TCR level, providing a total relief from residual charges, and re-banding sites (e.g., reducing the band to the lowest band, reducing by one </w:t>
      </w:r>
      <w:proofErr w:type="gramStart"/>
      <w:r w:rsidR="003B2D08">
        <w:t>band</w:t>
      </w:r>
      <w:proofErr w:type="gramEnd"/>
      <w:r w:rsidR="003B2D08">
        <w:t xml:space="preserve"> or reducing based on </w:t>
      </w:r>
      <w:r w:rsidR="00175EED">
        <w:t>a yet to be defined methodology).</w:t>
      </w:r>
    </w:p>
    <w:p w14:paraId="4D399D35" w14:textId="77777777" w:rsidR="00175EED" w:rsidRDefault="00175EED" w:rsidP="00175EED">
      <w:pPr>
        <w:spacing w:after="0"/>
        <w:jc w:val="both"/>
      </w:pPr>
    </w:p>
    <w:p w14:paraId="1110DA1E" w14:textId="4EB49C1A" w:rsidR="00175EED" w:rsidRDefault="00175EED" w:rsidP="00F804A2">
      <w:pPr>
        <w:pStyle w:val="ListParagraph"/>
        <w:numPr>
          <w:ilvl w:val="0"/>
          <w:numId w:val="1"/>
        </w:numPr>
        <w:spacing w:after="0"/>
        <w:jc w:val="both"/>
      </w:pPr>
      <w:r>
        <w:t xml:space="preserve">The Working Group has considered </w:t>
      </w:r>
      <w:r w:rsidR="00297810">
        <w:t>when support would need to be withdrawn</w:t>
      </w:r>
      <w:r w:rsidR="00F175E7">
        <w:t xml:space="preserve">, whether the support would be withdrawn based on individual assessments of commercial viability or </w:t>
      </w:r>
      <w:r w:rsidR="003C72A0">
        <w:t xml:space="preserve">withdrawn for the EV </w:t>
      </w:r>
      <w:r w:rsidR="005E727E">
        <w:t>c</w:t>
      </w:r>
      <w:r w:rsidR="003C72A0">
        <w:t xml:space="preserve">harging market as a whole, </w:t>
      </w:r>
      <w:r w:rsidR="005505FC">
        <w:t xml:space="preserve">how the commercial viability of EV </w:t>
      </w:r>
      <w:r w:rsidR="002D765E">
        <w:t>c</w:t>
      </w:r>
      <w:r w:rsidR="005505FC">
        <w:t>harging sites would be assess</w:t>
      </w:r>
      <w:r w:rsidR="002D765E">
        <w:t>ed</w:t>
      </w:r>
      <w:r w:rsidR="005505FC">
        <w:t xml:space="preserve">, and </w:t>
      </w:r>
      <w:r w:rsidR="00297810">
        <w:t>the manner in which the support would be withdrawn</w:t>
      </w:r>
      <w:r w:rsidR="003C72A0">
        <w:t xml:space="preserve"> and whether this would be a phased withdrawal of support or </w:t>
      </w:r>
      <w:r w:rsidR="005505FC">
        <w:t>a total removal of support</w:t>
      </w:r>
      <w:r w:rsidR="00297810">
        <w:t>.</w:t>
      </w:r>
    </w:p>
    <w:p w14:paraId="32088C36" w14:textId="77777777" w:rsidR="00857027" w:rsidRDefault="00857027" w:rsidP="00857027">
      <w:pPr>
        <w:pStyle w:val="ListParagraph"/>
      </w:pPr>
    </w:p>
    <w:p w14:paraId="6E28E5E6" w14:textId="34C410D2" w:rsidR="00857027" w:rsidRDefault="00857027" w:rsidP="00F804A2">
      <w:pPr>
        <w:pStyle w:val="ListParagraph"/>
        <w:numPr>
          <w:ilvl w:val="0"/>
          <w:numId w:val="1"/>
        </w:numPr>
        <w:spacing w:after="0"/>
        <w:jc w:val="both"/>
      </w:pPr>
      <w:r>
        <w:t xml:space="preserve">The Working Group has considered whether it can accurately predict the level of support required and, depending on the solution, how the costs associated with </w:t>
      </w:r>
      <w:r w:rsidR="002D765E">
        <w:t xml:space="preserve">this </w:t>
      </w:r>
      <w:r>
        <w:t>are recovered.</w:t>
      </w:r>
    </w:p>
    <w:p w14:paraId="407309CD" w14:textId="77777777" w:rsidR="00BE52AF" w:rsidRDefault="00BE52AF" w:rsidP="00BE52AF">
      <w:pPr>
        <w:pStyle w:val="ListParagraph"/>
      </w:pPr>
    </w:p>
    <w:p w14:paraId="756E3C4A" w14:textId="4E00C8FD" w:rsidR="002B29F8" w:rsidRDefault="00BE52AF" w:rsidP="00240692">
      <w:pPr>
        <w:pStyle w:val="ListParagraph"/>
        <w:numPr>
          <w:ilvl w:val="0"/>
          <w:numId w:val="1"/>
        </w:numPr>
        <w:spacing w:after="0"/>
        <w:jc w:val="both"/>
      </w:pPr>
      <w:r>
        <w:t xml:space="preserve">The Working Group discussed the feasibility of assessing the full scale of the issue and of any potential </w:t>
      </w:r>
      <w:r w:rsidR="008B65BF">
        <w:t xml:space="preserve">solution it develops. The Working Group considered whether </w:t>
      </w:r>
      <w:proofErr w:type="spellStart"/>
      <w:r w:rsidR="008B65BF">
        <w:t>ChargeUK</w:t>
      </w:r>
      <w:proofErr w:type="spellEnd"/>
      <w:r w:rsidR="008B65BF">
        <w:t xml:space="preserve">, as the trade association, would be able to facilitate </w:t>
      </w:r>
      <w:r w:rsidR="002B29F8">
        <w:t xml:space="preserve">information gathering to allow this, however </w:t>
      </w:r>
      <w:proofErr w:type="spellStart"/>
      <w:r w:rsidR="002B29F8">
        <w:t>ChargeUK</w:t>
      </w:r>
      <w:proofErr w:type="spellEnd"/>
      <w:r w:rsidR="002B29F8">
        <w:t xml:space="preserve"> advised that this would be an incomplete picture due to:</w:t>
      </w:r>
    </w:p>
    <w:p w14:paraId="5E3E04DC" w14:textId="77777777" w:rsidR="00FD6C92" w:rsidRDefault="00FD6C92" w:rsidP="00FD6C92">
      <w:pPr>
        <w:spacing w:after="0"/>
        <w:jc w:val="both"/>
      </w:pPr>
    </w:p>
    <w:p w14:paraId="34FF08D2" w14:textId="6BAB1D9B" w:rsidR="00BE52AF" w:rsidRDefault="002B29F8" w:rsidP="000F59B8">
      <w:pPr>
        <w:pStyle w:val="ListParagraph"/>
        <w:numPr>
          <w:ilvl w:val="1"/>
          <w:numId w:val="1"/>
        </w:numPr>
        <w:spacing w:after="0"/>
        <w:ind w:left="993" w:hanging="567"/>
        <w:jc w:val="both"/>
      </w:pPr>
      <w:r>
        <w:t>limitations of its membership coverage (as it does not cover all EV charging companies);</w:t>
      </w:r>
    </w:p>
    <w:p w14:paraId="1873D813" w14:textId="382C2C8E" w:rsidR="002B29F8" w:rsidRDefault="002B29F8" w:rsidP="000F59B8">
      <w:pPr>
        <w:pStyle w:val="ListParagraph"/>
        <w:numPr>
          <w:ilvl w:val="1"/>
          <w:numId w:val="1"/>
        </w:numPr>
        <w:spacing w:after="0"/>
        <w:ind w:left="993" w:hanging="567"/>
        <w:jc w:val="both"/>
      </w:pPr>
      <w:r>
        <w:t>limitations of the information that some of its members are permitted to share with the trade association;</w:t>
      </w:r>
      <w:r w:rsidR="00DA566C">
        <w:t xml:space="preserve"> and</w:t>
      </w:r>
    </w:p>
    <w:p w14:paraId="70022517" w14:textId="6ACD82A0" w:rsidR="00A91148" w:rsidRDefault="00DA566C" w:rsidP="000F59B8">
      <w:pPr>
        <w:pStyle w:val="ListParagraph"/>
        <w:numPr>
          <w:ilvl w:val="1"/>
          <w:numId w:val="1"/>
        </w:numPr>
        <w:spacing w:after="0"/>
        <w:ind w:left="993" w:hanging="567"/>
        <w:jc w:val="both"/>
      </w:pPr>
      <w:r>
        <w:t xml:space="preserve">differences between companies in terms of structure, </w:t>
      </w:r>
      <w:proofErr w:type="gramStart"/>
      <w:r>
        <w:t>technology</w:t>
      </w:r>
      <w:proofErr w:type="gramEnd"/>
      <w:r>
        <w:t xml:space="preserve"> and distribution of sites.</w:t>
      </w:r>
    </w:p>
    <w:p w14:paraId="587DAF42" w14:textId="77777777" w:rsidR="005505FC" w:rsidRDefault="005505FC" w:rsidP="005505FC">
      <w:pPr>
        <w:pStyle w:val="ListParagraph"/>
      </w:pPr>
    </w:p>
    <w:p w14:paraId="08462010" w14:textId="0ECCD13A" w:rsidR="00120118" w:rsidRDefault="00857027" w:rsidP="00240692">
      <w:pPr>
        <w:pStyle w:val="ListParagraph"/>
        <w:numPr>
          <w:ilvl w:val="0"/>
          <w:numId w:val="1"/>
        </w:numPr>
        <w:spacing w:after="0"/>
        <w:jc w:val="both"/>
      </w:pPr>
      <w:r>
        <w:t>In considering the above</w:t>
      </w:r>
      <w:r w:rsidR="00BE1BDE">
        <w:t xml:space="preserve">, the Working Group has expressed concerns </w:t>
      </w:r>
      <w:r w:rsidR="00120118">
        <w:t>around:</w:t>
      </w:r>
    </w:p>
    <w:p w14:paraId="76145FD5" w14:textId="77777777" w:rsidR="00FD6C92" w:rsidRDefault="00FD6C92" w:rsidP="00FD6C92">
      <w:pPr>
        <w:pStyle w:val="ListParagraph"/>
        <w:spacing w:after="0"/>
        <w:ind w:left="425"/>
        <w:jc w:val="both"/>
      </w:pPr>
    </w:p>
    <w:p w14:paraId="1E9D0143" w14:textId="4E6BF8C3" w:rsidR="00120118" w:rsidRDefault="00F63817" w:rsidP="000F59B8">
      <w:pPr>
        <w:pStyle w:val="ListParagraph"/>
        <w:numPr>
          <w:ilvl w:val="1"/>
          <w:numId w:val="1"/>
        </w:numPr>
        <w:spacing w:after="0"/>
        <w:ind w:left="993" w:hanging="567"/>
        <w:jc w:val="both"/>
      </w:pPr>
      <w:r>
        <w:t xml:space="preserve">whether </w:t>
      </w:r>
      <w:r w:rsidR="00120118">
        <w:t>it</w:t>
      </w:r>
      <w:r>
        <w:t xml:space="preserve"> </w:t>
      </w:r>
      <w:proofErr w:type="gramStart"/>
      <w:r>
        <w:t>is</w:t>
      </w:r>
      <w:r w:rsidR="00120118">
        <w:t xml:space="preserve"> </w:t>
      </w:r>
      <w:r>
        <w:t xml:space="preserve">able </w:t>
      </w:r>
      <w:r w:rsidR="00120118">
        <w:t>to</w:t>
      </w:r>
      <w:proofErr w:type="gramEnd"/>
      <w:r w:rsidR="00120118">
        <w:t xml:space="preserve"> determine the most appropriate mechanism for providing support;</w:t>
      </w:r>
    </w:p>
    <w:p w14:paraId="2BA7B2E4" w14:textId="5BE99E0E" w:rsidR="00120118" w:rsidRDefault="00F86711" w:rsidP="000F59B8">
      <w:pPr>
        <w:pStyle w:val="ListParagraph"/>
        <w:numPr>
          <w:ilvl w:val="1"/>
          <w:numId w:val="1"/>
        </w:numPr>
        <w:spacing w:after="0"/>
        <w:ind w:left="993" w:hanging="567"/>
        <w:jc w:val="both"/>
      </w:pPr>
      <w:r>
        <w:t>whether it can adequately assess the overall economic impact of the support</w:t>
      </w:r>
      <w:r w:rsidR="003E3875">
        <w:t xml:space="preserve"> required</w:t>
      </w:r>
      <w:r>
        <w:t>;</w:t>
      </w:r>
    </w:p>
    <w:p w14:paraId="56878010" w14:textId="60D91662" w:rsidR="00F86711" w:rsidRDefault="00F86711" w:rsidP="000F59B8">
      <w:pPr>
        <w:pStyle w:val="ListParagraph"/>
        <w:numPr>
          <w:ilvl w:val="1"/>
          <w:numId w:val="1"/>
        </w:numPr>
        <w:spacing w:after="0"/>
        <w:ind w:left="993" w:hanging="567"/>
        <w:jc w:val="both"/>
      </w:pPr>
      <w:r>
        <w:t xml:space="preserve">whether it can anticipate the consequences of the solution on </w:t>
      </w:r>
      <w:r w:rsidR="005C31F2">
        <w:t>investments;</w:t>
      </w:r>
    </w:p>
    <w:p w14:paraId="4F3E2ABE" w14:textId="144FE544" w:rsidR="00323E96" w:rsidRDefault="00323E96" w:rsidP="000F59B8">
      <w:pPr>
        <w:pStyle w:val="ListParagraph"/>
        <w:numPr>
          <w:ilvl w:val="1"/>
          <w:numId w:val="1"/>
        </w:numPr>
        <w:spacing w:after="0"/>
        <w:ind w:left="993" w:hanging="567"/>
        <w:jc w:val="both"/>
      </w:pPr>
      <w:r>
        <w:t>whether it could unintentionally distort competition by creating an unlevel playing field;</w:t>
      </w:r>
    </w:p>
    <w:p w14:paraId="44138C80" w14:textId="3C405AF8" w:rsidR="005C31F2" w:rsidRDefault="005C31F2" w:rsidP="000F59B8">
      <w:pPr>
        <w:pStyle w:val="ListParagraph"/>
        <w:numPr>
          <w:ilvl w:val="1"/>
          <w:numId w:val="1"/>
        </w:numPr>
        <w:spacing w:after="0"/>
        <w:ind w:left="993" w:hanging="567"/>
        <w:jc w:val="both"/>
      </w:pPr>
      <w:r>
        <w:t>whether it could unintentionally create perverse incentives; and</w:t>
      </w:r>
      <w:r w:rsidR="00611506">
        <w:t>, ultimately,</w:t>
      </w:r>
    </w:p>
    <w:p w14:paraId="536EE2FA" w14:textId="5C0C3CFF" w:rsidR="00947025" w:rsidRDefault="005C31F2" w:rsidP="000F59B8">
      <w:pPr>
        <w:pStyle w:val="ListParagraph"/>
        <w:numPr>
          <w:ilvl w:val="1"/>
          <w:numId w:val="1"/>
        </w:numPr>
        <w:spacing w:after="0"/>
        <w:ind w:left="993" w:hanging="567"/>
        <w:jc w:val="both"/>
      </w:pPr>
      <w:r>
        <w:t>whether a solution within the DCUSA is the appropriate mechanism for providing this support.</w:t>
      </w:r>
    </w:p>
    <w:p w14:paraId="2326C3AB" w14:textId="77777777" w:rsidR="00EE303B" w:rsidRDefault="00EE303B" w:rsidP="00EE303B">
      <w:pPr>
        <w:spacing w:after="0"/>
        <w:jc w:val="both"/>
      </w:pPr>
    </w:p>
    <w:p w14:paraId="31ECDABF" w14:textId="5427CB29" w:rsidR="00B66EE4" w:rsidRDefault="00F25D71" w:rsidP="00F25D71">
      <w:pPr>
        <w:pStyle w:val="Heading2"/>
      </w:pPr>
      <w:bookmarkStart w:id="1" w:name="_Toc165453764"/>
      <w:r>
        <w:t>Defining who is in scope of the Change Proposal</w:t>
      </w:r>
      <w:bookmarkEnd w:id="1"/>
    </w:p>
    <w:p w14:paraId="43C18345" w14:textId="77777777" w:rsidR="00B66EE4" w:rsidRDefault="00B66EE4" w:rsidP="00B66EE4">
      <w:pPr>
        <w:spacing w:after="0"/>
        <w:jc w:val="both"/>
      </w:pPr>
    </w:p>
    <w:p w14:paraId="69B28035" w14:textId="129A63DC" w:rsidR="005C31F2" w:rsidRDefault="001A4CA8" w:rsidP="005C31F2">
      <w:pPr>
        <w:pStyle w:val="ListParagraph"/>
        <w:numPr>
          <w:ilvl w:val="0"/>
          <w:numId w:val="1"/>
        </w:numPr>
        <w:spacing w:after="0"/>
        <w:jc w:val="both"/>
      </w:pPr>
      <w:r>
        <w:t xml:space="preserve">The Working Group has spent considerable time </w:t>
      </w:r>
      <w:r w:rsidR="007305D1">
        <w:t xml:space="preserve">trying to define the scope of the Change Proposal, in terms of the EV charging sites that </w:t>
      </w:r>
      <w:r w:rsidR="00B9132F">
        <w:t>would qualify for support.</w:t>
      </w:r>
    </w:p>
    <w:p w14:paraId="2B482628" w14:textId="77777777" w:rsidR="00F63817" w:rsidRDefault="00F63817" w:rsidP="00F63817">
      <w:pPr>
        <w:spacing w:after="0"/>
        <w:jc w:val="both"/>
      </w:pPr>
    </w:p>
    <w:p w14:paraId="5F8DCD0B" w14:textId="0D6D104D" w:rsidR="00D42624" w:rsidRDefault="00D42624" w:rsidP="00240692">
      <w:pPr>
        <w:pStyle w:val="ListParagraph"/>
        <w:numPr>
          <w:ilvl w:val="0"/>
          <w:numId w:val="1"/>
        </w:numPr>
        <w:spacing w:after="0"/>
        <w:jc w:val="both"/>
      </w:pPr>
      <w:r>
        <w:t>The Working Group considered the following scenarios where support may or may not be appropriate</w:t>
      </w:r>
      <w:r w:rsidR="00074A16">
        <w:t xml:space="preserve"> (within the current scope of the intent)</w:t>
      </w:r>
      <w:r>
        <w:t>:</w:t>
      </w:r>
    </w:p>
    <w:p w14:paraId="5534A43E" w14:textId="3A249CC8" w:rsidR="00D42624" w:rsidRDefault="00916800" w:rsidP="000F59B8">
      <w:pPr>
        <w:pStyle w:val="ListParagraph"/>
        <w:numPr>
          <w:ilvl w:val="1"/>
          <w:numId w:val="1"/>
        </w:numPr>
        <w:spacing w:after="0"/>
        <w:ind w:left="993" w:hanging="567"/>
        <w:jc w:val="both"/>
      </w:pPr>
      <w:r>
        <w:lastRenderedPageBreak/>
        <w:t>public EV charging sites where the sole use of energy is for selling EV charging to private users;</w:t>
      </w:r>
    </w:p>
    <w:p w14:paraId="4EF223CB" w14:textId="184965DD" w:rsidR="00074A16" w:rsidRDefault="00074A16" w:rsidP="000F59B8">
      <w:pPr>
        <w:pStyle w:val="ListParagraph"/>
        <w:numPr>
          <w:ilvl w:val="1"/>
          <w:numId w:val="1"/>
        </w:numPr>
        <w:spacing w:after="0"/>
        <w:ind w:left="993" w:hanging="567"/>
        <w:jc w:val="both"/>
      </w:pPr>
      <w:r>
        <w:t xml:space="preserve">public EV charging sites where the sole use of energy is not for </w:t>
      </w:r>
      <w:r w:rsidRPr="00074A16">
        <w:t>selling EV charging to private users</w:t>
      </w:r>
      <w:r w:rsidR="00E50AA8">
        <w:t xml:space="preserve">, which could </w:t>
      </w:r>
      <w:r w:rsidR="00692BC4">
        <w:t>include (but is not necessarily limited to)</w:t>
      </w:r>
      <w:r w:rsidR="00E50AA8">
        <w:t>:</w:t>
      </w:r>
    </w:p>
    <w:p w14:paraId="2ECE4B18" w14:textId="77777777" w:rsidR="009303CF" w:rsidRDefault="009303CF" w:rsidP="009303CF">
      <w:pPr>
        <w:pStyle w:val="ListParagraph"/>
        <w:spacing w:after="0"/>
        <w:ind w:left="993"/>
        <w:jc w:val="both"/>
      </w:pPr>
    </w:p>
    <w:p w14:paraId="0944B400" w14:textId="6F4B64D6" w:rsidR="00E50AA8" w:rsidRDefault="00692BC4" w:rsidP="000F59B8">
      <w:pPr>
        <w:pStyle w:val="ListParagraph"/>
        <w:numPr>
          <w:ilvl w:val="2"/>
          <w:numId w:val="1"/>
        </w:numPr>
        <w:spacing w:after="0"/>
        <w:ind w:left="1701" w:hanging="708"/>
        <w:jc w:val="both"/>
      </w:pPr>
      <w:r>
        <w:t>EV chargers installed by an existing business to provide EV charging to its customers</w:t>
      </w:r>
      <w:r w:rsidR="003870C2">
        <w:t>, on its existing connection</w:t>
      </w:r>
      <w:r>
        <w:t>;</w:t>
      </w:r>
    </w:p>
    <w:p w14:paraId="123CCE52" w14:textId="7A801B77" w:rsidR="003870C2" w:rsidRPr="003870C2" w:rsidRDefault="003870C2" w:rsidP="000F59B8">
      <w:pPr>
        <w:pStyle w:val="ListParagraph"/>
        <w:numPr>
          <w:ilvl w:val="2"/>
          <w:numId w:val="1"/>
        </w:numPr>
        <w:spacing w:after="0"/>
        <w:ind w:left="1701" w:hanging="708"/>
        <w:jc w:val="both"/>
      </w:pPr>
      <w:r w:rsidRPr="003870C2">
        <w:t xml:space="preserve">EV chargers installed by an existing business to provide EV charging to its customers, on </w:t>
      </w:r>
      <w:r>
        <w:t>a new</w:t>
      </w:r>
      <w:r w:rsidRPr="003870C2">
        <w:t xml:space="preserve"> connection</w:t>
      </w:r>
      <w:r w:rsidR="00664C31">
        <w:t xml:space="preserve"> (the new connection may </w:t>
      </w:r>
      <w:r w:rsidR="00060B98">
        <w:t xml:space="preserve">therefore </w:t>
      </w:r>
      <w:r w:rsidR="00664C31">
        <w:t>match the criteria for sole use);</w:t>
      </w:r>
      <w:r w:rsidR="00AD1669">
        <w:t xml:space="preserve"> and</w:t>
      </w:r>
    </w:p>
    <w:p w14:paraId="3801AE04" w14:textId="3E83CC9E" w:rsidR="00F63817" w:rsidRDefault="00664C31" w:rsidP="000F59B8">
      <w:pPr>
        <w:pStyle w:val="ListParagraph"/>
        <w:numPr>
          <w:ilvl w:val="2"/>
          <w:numId w:val="1"/>
        </w:numPr>
        <w:spacing w:after="0"/>
        <w:ind w:left="1701" w:hanging="708"/>
        <w:jc w:val="both"/>
      </w:pPr>
      <w:r>
        <w:t xml:space="preserve">EV chargers installed where </w:t>
      </w:r>
      <w:r w:rsidR="009D6013">
        <w:t xml:space="preserve">some of the energy will be used for amenities (e.g., on site toilets, CCTV, lighting, café, </w:t>
      </w:r>
      <w:r w:rsidR="00060B98">
        <w:t xml:space="preserve">vending machines, </w:t>
      </w:r>
      <w:r w:rsidR="009D6013">
        <w:t>etc.)</w:t>
      </w:r>
      <w:r w:rsidR="00AD1669">
        <w:t>.</w:t>
      </w:r>
    </w:p>
    <w:p w14:paraId="68798A2D" w14:textId="77777777" w:rsidR="00AD1669" w:rsidRDefault="00AD1669" w:rsidP="00AD1669">
      <w:pPr>
        <w:spacing w:after="0"/>
        <w:jc w:val="both"/>
      </w:pPr>
    </w:p>
    <w:p w14:paraId="28755319" w14:textId="4B92529C" w:rsidR="00F63817" w:rsidRDefault="00AD1669" w:rsidP="005C31F2">
      <w:pPr>
        <w:pStyle w:val="ListParagraph"/>
        <w:numPr>
          <w:ilvl w:val="0"/>
          <w:numId w:val="1"/>
        </w:numPr>
        <w:spacing w:after="0"/>
        <w:jc w:val="both"/>
      </w:pPr>
      <w:r>
        <w:t xml:space="preserve">The Working Group further noted, in the above scenarios, that the definition of ‘sole use of energy’ may not </w:t>
      </w:r>
      <w:r w:rsidR="00117C95">
        <w:t>be clear cut, as some energy will invariably be used for other on-site equipment, such as CCTV, barriers, etc.</w:t>
      </w:r>
      <w:r w:rsidR="0024758A">
        <w:t xml:space="preserve"> The Working Group therefore concluded that it may be necessary to set a threshold of energy use (e.g., that 95% of the energy used needs to be for the purpose of charging EVs) and considered that this would add additional complexity</w:t>
      </w:r>
      <w:r w:rsidR="00A46453">
        <w:t>, as different charging sites could have vastly different splits depending on the capacity of the chargers and the number of chargers</w:t>
      </w:r>
      <w:r w:rsidR="004F5E71">
        <w:t xml:space="preserve">. This would </w:t>
      </w:r>
      <w:r w:rsidR="00A46453">
        <w:t xml:space="preserve">add an additional </w:t>
      </w:r>
      <w:r w:rsidR="0024758A">
        <w:t>administrative burden in</w:t>
      </w:r>
      <w:r w:rsidR="00A46453">
        <w:t xml:space="preserve"> making such assessments</w:t>
      </w:r>
      <w:r w:rsidR="0024758A">
        <w:t>.</w:t>
      </w:r>
    </w:p>
    <w:p w14:paraId="4CA2B4AA" w14:textId="77777777" w:rsidR="00E24772" w:rsidRDefault="00E24772" w:rsidP="00E24772">
      <w:pPr>
        <w:pStyle w:val="ListParagraph"/>
        <w:spacing w:after="0"/>
        <w:ind w:left="360"/>
        <w:jc w:val="both"/>
      </w:pPr>
    </w:p>
    <w:p w14:paraId="50CE9AB1" w14:textId="6ABB3DC7" w:rsidR="00B67E77" w:rsidRDefault="00E24772" w:rsidP="00EE303B">
      <w:pPr>
        <w:pStyle w:val="ListParagraph"/>
        <w:numPr>
          <w:ilvl w:val="0"/>
          <w:numId w:val="1"/>
        </w:numPr>
        <w:spacing w:after="0"/>
        <w:jc w:val="both"/>
      </w:pPr>
      <w:r>
        <w:t xml:space="preserve">The Working Group also considered that </w:t>
      </w:r>
      <w:r w:rsidR="005B1F08">
        <w:t xml:space="preserve">depending on </w:t>
      </w:r>
      <w:r>
        <w:t>the definition of in-scope sites</w:t>
      </w:r>
      <w:r w:rsidR="005B1F08">
        <w:t xml:space="preserve"> arrived at for the solution, this could inadvertently incentivise other businesses to </w:t>
      </w:r>
      <w:r w:rsidR="00F73B5C">
        <w:t xml:space="preserve">install </w:t>
      </w:r>
      <w:r w:rsidR="00A13B1A">
        <w:t xml:space="preserve">an </w:t>
      </w:r>
      <w:r w:rsidR="00F73B5C">
        <w:t xml:space="preserve">EV charger </w:t>
      </w:r>
      <w:proofErr w:type="gramStart"/>
      <w:r w:rsidR="00F73B5C">
        <w:t>in order to</w:t>
      </w:r>
      <w:proofErr w:type="gramEnd"/>
      <w:r w:rsidR="00F73B5C">
        <w:t xml:space="preserve"> gain the support. The Working Group noted that those sites in scope of the DCP 412 Change Proposal, which itself </w:t>
      </w:r>
      <w:r w:rsidR="00A13B1A">
        <w:t xml:space="preserve">does </w:t>
      </w:r>
      <w:r w:rsidR="00F73B5C">
        <w:t xml:space="preserve">not yet </w:t>
      </w:r>
      <w:r w:rsidR="00A13B1A">
        <w:t xml:space="preserve">have a </w:t>
      </w:r>
      <w:r w:rsidR="00F73B5C">
        <w:t>defined</w:t>
      </w:r>
      <w:r w:rsidR="00A13B1A">
        <w:t xml:space="preserve"> solution</w:t>
      </w:r>
      <w:r w:rsidR="00F73B5C">
        <w:t xml:space="preserve">, </w:t>
      </w:r>
      <w:r w:rsidR="00A13B1A">
        <w:t>could be incentivised to get support through the installation of an EV charger.</w:t>
      </w:r>
    </w:p>
    <w:p w14:paraId="1B1CF915" w14:textId="77777777" w:rsidR="000F59B8" w:rsidRDefault="000F59B8" w:rsidP="000F59B8">
      <w:pPr>
        <w:pStyle w:val="ListParagraph"/>
      </w:pPr>
    </w:p>
    <w:p w14:paraId="613721EA" w14:textId="2349A9FC" w:rsidR="000F59B8" w:rsidRDefault="000F59B8" w:rsidP="00EE303B">
      <w:pPr>
        <w:pStyle w:val="ListParagraph"/>
        <w:numPr>
          <w:ilvl w:val="0"/>
          <w:numId w:val="1"/>
        </w:numPr>
        <w:spacing w:after="0"/>
        <w:jc w:val="both"/>
      </w:pPr>
      <w:r w:rsidRPr="000F59B8">
        <w:t>The Working Group considered whether</w:t>
      </w:r>
      <w:r>
        <w:t xml:space="preserve">, in defining the scope, any solution arrived at would </w:t>
      </w:r>
      <w:r w:rsidRPr="000F59B8">
        <w:t xml:space="preserve">meet the basic principles of fairness </w:t>
      </w:r>
      <w:r>
        <w:t xml:space="preserve">and not </w:t>
      </w:r>
      <w:r w:rsidRPr="000F59B8">
        <w:t>result in undue discrimination between network users</w:t>
      </w:r>
      <w:r>
        <w:t>.</w:t>
      </w:r>
    </w:p>
    <w:p w14:paraId="34E38566" w14:textId="77777777" w:rsidR="00EE303B" w:rsidRDefault="00EE303B" w:rsidP="00B67E77">
      <w:pPr>
        <w:pStyle w:val="ListParagraph"/>
      </w:pPr>
    </w:p>
    <w:p w14:paraId="317942CA" w14:textId="038D1C8C" w:rsidR="00E6544B" w:rsidRDefault="00B67E77" w:rsidP="000F59B8">
      <w:pPr>
        <w:pStyle w:val="ListParagraph"/>
        <w:numPr>
          <w:ilvl w:val="0"/>
          <w:numId w:val="1"/>
        </w:numPr>
        <w:spacing w:after="0"/>
        <w:jc w:val="both"/>
      </w:pPr>
      <w:r>
        <w:t>In considering the above, the Working Group has expressed concerns around</w:t>
      </w:r>
      <w:r w:rsidR="000F59B8">
        <w:t xml:space="preserve"> </w:t>
      </w:r>
      <w:r>
        <w:t xml:space="preserve">whether </w:t>
      </w:r>
      <w:r w:rsidR="00EE303B">
        <w:t xml:space="preserve">it will be possible to define the scope of customers in a way that </w:t>
      </w:r>
      <w:r w:rsidR="00E6544B">
        <w:t>is:</w:t>
      </w:r>
    </w:p>
    <w:p w14:paraId="607FADBA" w14:textId="77777777" w:rsidR="009303CF" w:rsidRDefault="009303CF" w:rsidP="009303CF">
      <w:pPr>
        <w:spacing w:after="0"/>
        <w:jc w:val="both"/>
      </w:pPr>
    </w:p>
    <w:p w14:paraId="2BFC0452" w14:textId="7E3E99CC" w:rsidR="00E6544B" w:rsidRDefault="00E6544B" w:rsidP="000F59B8">
      <w:pPr>
        <w:pStyle w:val="ListParagraph"/>
        <w:numPr>
          <w:ilvl w:val="1"/>
          <w:numId w:val="1"/>
        </w:numPr>
        <w:spacing w:after="0"/>
        <w:ind w:left="993" w:hanging="567"/>
        <w:jc w:val="both"/>
      </w:pPr>
      <w:r>
        <w:t>fair;</w:t>
      </w:r>
    </w:p>
    <w:p w14:paraId="5BFE3549" w14:textId="77777777" w:rsidR="00E6544B" w:rsidRDefault="00E6544B" w:rsidP="000F59B8">
      <w:pPr>
        <w:pStyle w:val="ListParagraph"/>
        <w:numPr>
          <w:ilvl w:val="1"/>
          <w:numId w:val="1"/>
        </w:numPr>
        <w:spacing w:after="0"/>
        <w:ind w:left="993" w:hanging="567"/>
        <w:jc w:val="both"/>
      </w:pPr>
      <w:r>
        <w:t>manageable;</w:t>
      </w:r>
    </w:p>
    <w:p w14:paraId="21AA400F" w14:textId="77777777" w:rsidR="009303CF" w:rsidRDefault="00E6544B" w:rsidP="000F59B8">
      <w:pPr>
        <w:pStyle w:val="ListParagraph"/>
        <w:numPr>
          <w:ilvl w:val="1"/>
          <w:numId w:val="1"/>
        </w:numPr>
        <w:spacing w:after="0"/>
        <w:ind w:left="993" w:hanging="567"/>
        <w:jc w:val="both"/>
      </w:pPr>
      <w:r>
        <w:t>not unduly discriminatory;</w:t>
      </w:r>
    </w:p>
    <w:p w14:paraId="1D30A143" w14:textId="6FF577B6" w:rsidR="00A55215" w:rsidRDefault="00A55215" w:rsidP="000F59B8">
      <w:pPr>
        <w:pStyle w:val="ListParagraph"/>
        <w:numPr>
          <w:ilvl w:val="1"/>
          <w:numId w:val="1"/>
        </w:numPr>
        <w:spacing w:after="0"/>
        <w:ind w:left="993" w:hanging="567"/>
        <w:jc w:val="both"/>
      </w:pPr>
      <w:r>
        <w:t>does not expose the solution to gaming;</w:t>
      </w:r>
    </w:p>
    <w:p w14:paraId="79AACA9D" w14:textId="5E6E3536" w:rsidR="00A55215" w:rsidRDefault="00A55215" w:rsidP="000F59B8">
      <w:pPr>
        <w:pStyle w:val="ListParagraph"/>
        <w:numPr>
          <w:ilvl w:val="1"/>
          <w:numId w:val="1"/>
        </w:numPr>
        <w:spacing w:after="0"/>
        <w:ind w:left="993" w:hanging="567"/>
        <w:jc w:val="both"/>
      </w:pPr>
      <w:r>
        <w:t>caters for EV charging sites of varying configurations;</w:t>
      </w:r>
    </w:p>
    <w:p w14:paraId="4ED9EFF5" w14:textId="2D5BFCDD" w:rsidR="00B67E77" w:rsidRDefault="009303CF" w:rsidP="000F59B8">
      <w:pPr>
        <w:pStyle w:val="ListParagraph"/>
        <w:numPr>
          <w:ilvl w:val="1"/>
          <w:numId w:val="1"/>
        </w:numPr>
        <w:spacing w:after="0"/>
        <w:ind w:left="993" w:hanging="567"/>
        <w:jc w:val="both"/>
      </w:pPr>
      <w:r>
        <w:t xml:space="preserve">provides support to all EV charging sites that genuinely require it; </w:t>
      </w:r>
      <w:r w:rsidR="00240692">
        <w:t>and</w:t>
      </w:r>
    </w:p>
    <w:p w14:paraId="04BBF34C" w14:textId="03963557" w:rsidR="00E6544B" w:rsidRDefault="00240692" w:rsidP="000F59B8">
      <w:pPr>
        <w:pStyle w:val="ListParagraph"/>
        <w:numPr>
          <w:ilvl w:val="1"/>
          <w:numId w:val="1"/>
        </w:numPr>
        <w:spacing w:after="0"/>
        <w:ind w:left="993" w:hanging="567"/>
        <w:jc w:val="both"/>
      </w:pPr>
      <w:r>
        <w:t>does not create unintended consequences.</w:t>
      </w:r>
    </w:p>
    <w:p w14:paraId="028A600C" w14:textId="77777777" w:rsidR="00C36590" w:rsidRDefault="00C36590" w:rsidP="000F59B8">
      <w:pPr>
        <w:spacing w:after="0"/>
        <w:jc w:val="both"/>
      </w:pPr>
    </w:p>
    <w:p w14:paraId="7C8982C1" w14:textId="77777777" w:rsidR="003D462A" w:rsidRDefault="003D462A" w:rsidP="00D31E4F">
      <w:pPr>
        <w:pStyle w:val="Heading2"/>
      </w:pPr>
    </w:p>
    <w:p w14:paraId="7EC8269E" w14:textId="77777777" w:rsidR="003D462A" w:rsidRDefault="003D462A">
      <w:pPr>
        <w:rPr>
          <w:rFonts w:asciiTheme="majorHAnsi" w:eastAsiaTheme="majorEastAsia" w:hAnsiTheme="majorHAnsi" w:cstheme="majorBidi"/>
          <w:color w:val="339966"/>
          <w:sz w:val="26"/>
          <w:szCs w:val="26"/>
        </w:rPr>
      </w:pPr>
      <w:r>
        <w:br w:type="page"/>
      </w:r>
    </w:p>
    <w:p w14:paraId="56256024" w14:textId="4B906D91" w:rsidR="00C36590" w:rsidRDefault="00D31E4F" w:rsidP="00D31E4F">
      <w:pPr>
        <w:pStyle w:val="Heading2"/>
      </w:pPr>
      <w:bookmarkStart w:id="2" w:name="_Toc165453765"/>
      <w:r>
        <w:lastRenderedPageBreak/>
        <w:t>Funding the support</w:t>
      </w:r>
      <w:bookmarkEnd w:id="2"/>
    </w:p>
    <w:p w14:paraId="4236926A" w14:textId="77777777" w:rsidR="00C36590" w:rsidRDefault="00C36590" w:rsidP="00C36590">
      <w:pPr>
        <w:pStyle w:val="ListParagraph"/>
      </w:pPr>
    </w:p>
    <w:p w14:paraId="1F7CE82C" w14:textId="0F198015" w:rsidR="008739CA" w:rsidRDefault="00C66E3A" w:rsidP="000F59B8">
      <w:pPr>
        <w:pStyle w:val="ListParagraph"/>
        <w:numPr>
          <w:ilvl w:val="0"/>
          <w:numId w:val="1"/>
        </w:numPr>
        <w:spacing w:after="0"/>
        <w:jc w:val="both"/>
      </w:pPr>
      <w:r>
        <w:t xml:space="preserve">The Working Group considered </w:t>
      </w:r>
      <w:r w:rsidR="00C1672F">
        <w:t>how the support of any solution it arrives at would be funded</w:t>
      </w:r>
      <w:r w:rsidR="005A5D8D">
        <w:t xml:space="preserve">, and arrived at </w:t>
      </w:r>
      <w:r w:rsidR="00AB20F4">
        <w:t xml:space="preserve">two </w:t>
      </w:r>
      <w:r w:rsidR="005A5D8D">
        <w:t>options:</w:t>
      </w:r>
    </w:p>
    <w:p w14:paraId="019AB4CC" w14:textId="77777777" w:rsidR="009303CF" w:rsidRDefault="009303CF" w:rsidP="009303CF">
      <w:pPr>
        <w:spacing w:after="0"/>
        <w:jc w:val="both"/>
      </w:pPr>
    </w:p>
    <w:p w14:paraId="4F813D87" w14:textId="2824AAB3" w:rsidR="005A5D8D" w:rsidRDefault="007D38A4" w:rsidP="000F59B8">
      <w:pPr>
        <w:pStyle w:val="ListParagraph"/>
        <w:numPr>
          <w:ilvl w:val="1"/>
          <w:numId w:val="1"/>
        </w:numPr>
        <w:spacing w:after="0"/>
        <w:ind w:left="993" w:hanging="567"/>
        <w:jc w:val="both"/>
      </w:pPr>
      <w:r>
        <w:t xml:space="preserve">the company receives total </w:t>
      </w:r>
      <w:r w:rsidR="00094646">
        <w:t>support,</w:t>
      </w:r>
      <w:r>
        <w:t xml:space="preserve"> and </w:t>
      </w:r>
      <w:r w:rsidR="00927609">
        <w:t>the costs of this support are recovered from other users;</w:t>
      </w:r>
      <w:r w:rsidR="00094646">
        <w:t xml:space="preserve"> or</w:t>
      </w:r>
    </w:p>
    <w:p w14:paraId="56445082" w14:textId="2BB98A20" w:rsidR="00927609" w:rsidRDefault="00927609" w:rsidP="000F59B8">
      <w:pPr>
        <w:pStyle w:val="ListParagraph"/>
        <w:numPr>
          <w:ilvl w:val="1"/>
          <w:numId w:val="1"/>
        </w:numPr>
        <w:spacing w:after="0"/>
        <w:ind w:left="993" w:hanging="567"/>
        <w:jc w:val="both"/>
      </w:pPr>
      <w:r>
        <w:t xml:space="preserve">the company receives a more limited </w:t>
      </w:r>
      <w:r w:rsidR="00094646">
        <w:t>support,</w:t>
      </w:r>
      <w:r>
        <w:t xml:space="preserve"> and the costs of this support are recovered from other users</w:t>
      </w:r>
      <w:r w:rsidR="00AB20F4">
        <w:t>.</w:t>
      </w:r>
    </w:p>
    <w:p w14:paraId="0166D63F" w14:textId="77777777" w:rsidR="000F59B8" w:rsidRDefault="000F59B8" w:rsidP="000F59B8">
      <w:pPr>
        <w:spacing w:after="0"/>
        <w:jc w:val="both"/>
      </w:pPr>
    </w:p>
    <w:p w14:paraId="175542F7" w14:textId="60D72770" w:rsidR="00FE1C83" w:rsidRDefault="00094646" w:rsidP="000F59B8">
      <w:pPr>
        <w:pStyle w:val="ListParagraph"/>
        <w:numPr>
          <w:ilvl w:val="0"/>
          <w:numId w:val="1"/>
        </w:numPr>
        <w:spacing w:after="0"/>
        <w:jc w:val="both"/>
      </w:pPr>
      <w:r>
        <w:t>The Working Group considered</w:t>
      </w:r>
      <w:r w:rsidR="00FE1C83">
        <w:t xml:space="preserve"> who, if other users of the network are to cover these costs, should pay for this, and arrived at the following options:</w:t>
      </w:r>
    </w:p>
    <w:p w14:paraId="19B54EF4" w14:textId="77777777" w:rsidR="009303CF" w:rsidRDefault="009303CF" w:rsidP="009303CF">
      <w:pPr>
        <w:pStyle w:val="ListParagraph"/>
        <w:spacing w:after="0"/>
        <w:ind w:left="425"/>
        <w:jc w:val="both"/>
      </w:pPr>
    </w:p>
    <w:p w14:paraId="2FC7996A" w14:textId="7581A829" w:rsidR="00FE1C83" w:rsidRDefault="006625F0" w:rsidP="000F59B8">
      <w:pPr>
        <w:pStyle w:val="ListParagraph"/>
        <w:numPr>
          <w:ilvl w:val="1"/>
          <w:numId w:val="1"/>
        </w:numPr>
        <w:spacing w:after="0"/>
        <w:ind w:left="993" w:hanging="567"/>
        <w:jc w:val="both"/>
      </w:pPr>
      <w:r>
        <w:t>all users, whether domestic or non-domestic, would cover the costs;</w:t>
      </w:r>
    </w:p>
    <w:p w14:paraId="1CA2A678" w14:textId="44E970F4" w:rsidR="006625F0" w:rsidRDefault="006625F0" w:rsidP="000F59B8">
      <w:pPr>
        <w:pStyle w:val="ListParagraph"/>
        <w:numPr>
          <w:ilvl w:val="1"/>
          <w:numId w:val="1"/>
        </w:numPr>
        <w:spacing w:after="0"/>
        <w:ind w:left="993" w:hanging="567"/>
        <w:jc w:val="both"/>
      </w:pPr>
      <w:r>
        <w:t>all non-domestic users would cover the costs; or</w:t>
      </w:r>
    </w:p>
    <w:p w14:paraId="7B6EA20C" w14:textId="5BBBB14B" w:rsidR="006625F0" w:rsidRDefault="006625F0" w:rsidP="000F59B8">
      <w:pPr>
        <w:pStyle w:val="ListParagraph"/>
        <w:numPr>
          <w:ilvl w:val="1"/>
          <w:numId w:val="1"/>
        </w:numPr>
        <w:spacing w:after="0"/>
        <w:ind w:left="993" w:hanging="567"/>
        <w:jc w:val="both"/>
      </w:pPr>
      <w:r>
        <w:t>all non-domestic users in the same TCR band would cover the costs.</w:t>
      </w:r>
    </w:p>
    <w:p w14:paraId="614F7053" w14:textId="77777777" w:rsidR="006625F0" w:rsidRDefault="006625F0" w:rsidP="006625F0">
      <w:pPr>
        <w:spacing w:after="0"/>
        <w:jc w:val="both"/>
      </w:pPr>
    </w:p>
    <w:p w14:paraId="2AE6A5B6" w14:textId="77777777" w:rsidR="0030114D" w:rsidRDefault="0030114D" w:rsidP="0030114D">
      <w:pPr>
        <w:pStyle w:val="ListParagraph"/>
        <w:numPr>
          <w:ilvl w:val="0"/>
          <w:numId w:val="1"/>
        </w:numPr>
        <w:spacing w:after="0"/>
        <w:jc w:val="both"/>
      </w:pPr>
      <w:r>
        <w:t>The Working Group considered that it was not able to define other cost recovery mechanisms (e.g., through a levy, government funded scheme, etc.) as this would be outside the remit of the DCUSA and outside the remit of a DCUSA Working Group.</w:t>
      </w:r>
    </w:p>
    <w:p w14:paraId="1F0F0D48" w14:textId="77777777" w:rsidR="0030114D" w:rsidRDefault="0030114D" w:rsidP="006625F0">
      <w:pPr>
        <w:spacing w:after="0"/>
        <w:jc w:val="both"/>
      </w:pPr>
    </w:p>
    <w:p w14:paraId="31B7BE74" w14:textId="737C9D99" w:rsidR="006625F0" w:rsidRDefault="006625F0" w:rsidP="006625F0">
      <w:pPr>
        <w:pStyle w:val="ListParagraph"/>
        <w:numPr>
          <w:ilvl w:val="0"/>
          <w:numId w:val="1"/>
        </w:numPr>
        <w:spacing w:after="0"/>
        <w:jc w:val="both"/>
      </w:pPr>
      <w:r>
        <w:t xml:space="preserve">The Working Group considered the fairness aspect of subsidising one </w:t>
      </w:r>
      <w:r w:rsidR="00D4119F">
        <w:t>group of users by charg</w:t>
      </w:r>
      <w:r w:rsidR="0030114D">
        <w:t>ing</w:t>
      </w:r>
      <w:r w:rsidR="00D4119F">
        <w:t xml:space="preserve"> some or all other users, and the </w:t>
      </w:r>
      <w:r w:rsidR="0030114D">
        <w:t xml:space="preserve">impacts on the </w:t>
      </w:r>
      <w:r w:rsidR="00D4119F">
        <w:t xml:space="preserve">perception of the energy industry </w:t>
      </w:r>
      <w:proofErr w:type="gramStart"/>
      <w:r w:rsidR="00D4119F">
        <w:t>as a result of</w:t>
      </w:r>
      <w:proofErr w:type="gramEnd"/>
      <w:r w:rsidR="00D4119F">
        <w:t xml:space="preserve"> increasing other users’ standing charges to do so, particularly at a time when the cost of standing charges are in focus more publicly.</w:t>
      </w:r>
    </w:p>
    <w:p w14:paraId="7046BD98" w14:textId="77777777" w:rsidR="00D4119F" w:rsidRDefault="00D4119F" w:rsidP="001240B6">
      <w:pPr>
        <w:spacing w:after="0"/>
        <w:jc w:val="both"/>
      </w:pPr>
    </w:p>
    <w:p w14:paraId="18CCEEBF" w14:textId="6EC4A9B5" w:rsidR="001240B6" w:rsidRDefault="00213509" w:rsidP="001240B6">
      <w:pPr>
        <w:pStyle w:val="ListParagraph"/>
        <w:numPr>
          <w:ilvl w:val="0"/>
          <w:numId w:val="1"/>
        </w:numPr>
        <w:spacing w:after="0"/>
        <w:jc w:val="both"/>
      </w:pPr>
      <w:r>
        <w:t xml:space="preserve">The Working Group noted that Ofgem has been conducting a standing charge review, to which it received </w:t>
      </w:r>
      <w:r w:rsidR="0030114D">
        <w:t xml:space="preserve">media attention and </w:t>
      </w:r>
      <w:r>
        <w:t xml:space="preserve">a large number of responses illustrating the attention this topic is </w:t>
      </w:r>
      <w:proofErr w:type="gramStart"/>
      <w:r>
        <w:t>receiving, and</w:t>
      </w:r>
      <w:proofErr w:type="gramEnd"/>
      <w:r>
        <w:t xml:space="preserve"> considered that Ofgem could include EV charging sites in the scope of its standing charge review.</w:t>
      </w:r>
    </w:p>
    <w:p w14:paraId="380A2C44" w14:textId="77777777" w:rsidR="003D462A" w:rsidRDefault="003D462A" w:rsidP="003D462A">
      <w:pPr>
        <w:pStyle w:val="ListParagraph"/>
      </w:pPr>
    </w:p>
    <w:p w14:paraId="47A23C19" w14:textId="75F36CB3" w:rsidR="003D462A" w:rsidRDefault="003D462A" w:rsidP="003D462A">
      <w:pPr>
        <w:pStyle w:val="ListParagraph"/>
        <w:numPr>
          <w:ilvl w:val="0"/>
          <w:numId w:val="1"/>
        </w:numPr>
        <w:spacing w:after="0"/>
        <w:jc w:val="both"/>
      </w:pPr>
      <w:r>
        <w:t>In considering the above, the Working Group has expressed concerns around whether:</w:t>
      </w:r>
    </w:p>
    <w:p w14:paraId="35E87748" w14:textId="77777777" w:rsidR="003D462A" w:rsidRDefault="003D462A" w:rsidP="003D462A">
      <w:pPr>
        <w:spacing w:after="0"/>
        <w:jc w:val="both"/>
      </w:pPr>
    </w:p>
    <w:p w14:paraId="3234DABA" w14:textId="0CD15024" w:rsidR="003D462A" w:rsidRDefault="00583205" w:rsidP="003D462A">
      <w:pPr>
        <w:pStyle w:val="ListParagraph"/>
        <w:numPr>
          <w:ilvl w:val="1"/>
          <w:numId w:val="1"/>
        </w:numPr>
        <w:spacing w:after="0"/>
        <w:ind w:left="993" w:hanging="567"/>
        <w:jc w:val="both"/>
      </w:pPr>
      <w:r>
        <w:t>it is appropriate for a DCUSA Working Group to define solutions that arbitrarily pass costs between network users</w:t>
      </w:r>
      <w:r w:rsidR="003D462A">
        <w:t>;</w:t>
      </w:r>
      <w:r w:rsidR="003C2E8F">
        <w:t xml:space="preserve"> and</w:t>
      </w:r>
    </w:p>
    <w:p w14:paraId="30B7D5AE" w14:textId="5719C877" w:rsidR="003D462A" w:rsidRDefault="00583205" w:rsidP="003D462A">
      <w:pPr>
        <w:pStyle w:val="ListParagraph"/>
        <w:numPr>
          <w:ilvl w:val="1"/>
          <w:numId w:val="1"/>
        </w:numPr>
        <w:spacing w:after="0"/>
        <w:ind w:left="993" w:hanging="567"/>
        <w:jc w:val="both"/>
      </w:pPr>
      <w:r>
        <w:t xml:space="preserve">whether, in defining a solution that </w:t>
      </w:r>
      <w:r w:rsidR="00764052">
        <w:t>arbitrarily passes costs between network users, it exposes the energy industry to negative public scrutiny</w:t>
      </w:r>
      <w:r w:rsidR="003C2E8F">
        <w:t>.</w:t>
      </w:r>
    </w:p>
    <w:p w14:paraId="2823530E" w14:textId="77777777" w:rsidR="003C2E8F" w:rsidRDefault="003C2E8F" w:rsidP="003C2E8F">
      <w:pPr>
        <w:spacing w:after="0"/>
        <w:jc w:val="both"/>
      </w:pPr>
    </w:p>
    <w:p w14:paraId="12C8AFBA" w14:textId="513EEEA8" w:rsidR="003D462A" w:rsidRDefault="003C2E8F" w:rsidP="003C2E8F">
      <w:pPr>
        <w:pStyle w:val="ListParagraph"/>
        <w:numPr>
          <w:ilvl w:val="0"/>
          <w:numId w:val="1"/>
        </w:numPr>
        <w:spacing w:after="0"/>
        <w:jc w:val="both"/>
      </w:pPr>
      <w:r>
        <w:t xml:space="preserve">The Working Group also </w:t>
      </w:r>
      <w:r w:rsidR="009F632D">
        <w:t xml:space="preserve">expressed interest </w:t>
      </w:r>
      <w:r>
        <w:t xml:space="preserve">in </w:t>
      </w:r>
      <w:r w:rsidR="00306221">
        <w:t xml:space="preserve">understanding </w:t>
      </w:r>
      <w:r w:rsidR="00F0598E">
        <w:t xml:space="preserve">whether, </w:t>
      </w:r>
      <w:r>
        <w:t>in considering the above</w:t>
      </w:r>
      <w:r w:rsidR="00F0598E">
        <w:t xml:space="preserve">, the support needed for EV charging sites </w:t>
      </w:r>
      <w:r w:rsidR="00306221">
        <w:t xml:space="preserve">would </w:t>
      </w:r>
      <w:r w:rsidR="008A6467">
        <w:t xml:space="preserve">be </w:t>
      </w:r>
      <w:r w:rsidR="00306221">
        <w:t xml:space="preserve">better </w:t>
      </w:r>
      <w:r w:rsidR="008A6467">
        <w:t xml:space="preserve">considered as </w:t>
      </w:r>
      <w:r w:rsidR="00F0598E">
        <w:t>part of an Ofgem or Government led initiative (such as the standing charge review)</w:t>
      </w:r>
      <w:r w:rsidR="009F632D">
        <w:t>, however this is outside the scope of a DCUSA Working Group</w:t>
      </w:r>
      <w:r w:rsidR="00F0598E">
        <w:t>.</w:t>
      </w:r>
    </w:p>
    <w:p w14:paraId="130B2BC7" w14:textId="77777777" w:rsidR="001240B6" w:rsidRDefault="001240B6" w:rsidP="001240B6">
      <w:pPr>
        <w:spacing w:after="0"/>
        <w:jc w:val="both"/>
      </w:pPr>
    </w:p>
    <w:p w14:paraId="6F6126D5" w14:textId="77777777" w:rsidR="003C2E8F" w:rsidRDefault="003C2E8F">
      <w:pPr>
        <w:rPr>
          <w:rFonts w:asciiTheme="majorHAnsi" w:eastAsiaTheme="majorEastAsia" w:hAnsiTheme="majorHAnsi" w:cstheme="majorBidi"/>
          <w:color w:val="339966"/>
          <w:sz w:val="26"/>
          <w:szCs w:val="26"/>
        </w:rPr>
      </w:pPr>
      <w:r>
        <w:br w:type="page"/>
      </w:r>
    </w:p>
    <w:p w14:paraId="189B25F0" w14:textId="490F69F8" w:rsidR="001240B6" w:rsidRDefault="00737069" w:rsidP="00737069">
      <w:pPr>
        <w:pStyle w:val="Heading2"/>
      </w:pPr>
      <w:bookmarkStart w:id="3" w:name="_Toc165453766"/>
      <w:r>
        <w:lastRenderedPageBreak/>
        <w:t xml:space="preserve">Lead time for </w:t>
      </w:r>
      <w:proofErr w:type="gramStart"/>
      <w:r>
        <w:t>support</w:t>
      </w:r>
      <w:bookmarkEnd w:id="3"/>
      <w:proofErr w:type="gramEnd"/>
    </w:p>
    <w:p w14:paraId="1D47FEE1" w14:textId="77777777" w:rsidR="001240B6" w:rsidRDefault="001240B6" w:rsidP="00737069">
      <w:pPr>
        <w:spacing w:after="0"/>
        <w:jc w:val="both"/>
      </w:pPr>
    </w:p>
    <w:p w14:paraId="01321945" w14:textId="518BEE62" w:rsidR="00D81813" w:rsidRDefault="00D81813" w:rsidP="00D81813">
      <w:pPr>
        <w:pStyle w:val="ListParagraph"/>
        <w:numPr>
          <w:ilvl w:val="0"/>
          <w:numId w:val="1"/>
        </w:numPr>
        <w:spacing w:after="0"/>
        <w:jc w:val="both"/>
      </w:pPr>
      <w:r>
        <w:t xml:space="preserve">The Working Group </w:t>
      </w:r>
      <w:r w:rsidR="00737069">
        <w:t xml:space="preserve">discussed whether the support that could be provided through </w:t>
      </w:r>
      <w:r w:rsidR="001B1408">
        <w:t>the</w:t>
      </w:r>
      <w:r w:rsidR="00737069">
        <w:t xml:space="preserve"> DCUSA </w:t>
      </w:r>
      <w:r w:rsidR="001B1408">
        <w:t xml:space="preserve">would </w:t>
      </w:r>
      <w:r w:rsidR="005E24D2">
        <w:t>provide the support needed by EV charging sites in time for it to be meaningful.</w:t>
      </w:r>
    </w:p>
    <w:p w14:paraId="7507E131" w14:textId="77777777" w:rsidR="005E24D2" w:rsidRDefault="005E24D2" w:rsidP="005E24D2">
      <w:pPr>
        <w:spacing w:after="0"/>
        <w:jc w:val="both"/>
      </w:pPr>
    </w:p>
    <w:p w14:paraId="1E03F032" w14:textId="4B79A1BF" w:rsidR="00213509" w:rsidRDefault="005E24D2" w:rsidP="006625F0">
      <w:pPr>
        <w:pStyle w:val="ListParagraph"/>
        <w:numPr>
          <w:ilvl w:val="0"/>
          <w:numId w:val="1"/>
        </w:numPr>
        <w:spacing w:after="0"/>
        <w:jc w:val="both"/>
      </w:pPr>
      <w:r>
        <w:t xml:space="preserve">The Working Group noted that, assuming </w:t>
      </w:r>
      <w:r w:rsidR="00532316">
        <w:t xml:space="preserve">a Change Declaration being issued towards the end of the year, </w:t>
      </w:r>
      <w:r w:rsidR="005A5193">
        <w:t xml:space="preserve">taking into consideration the lead time for a decision from Ofgem, </w:t>
      </w:r>
      <w:r w:rsidR="00532316">
        <w:t xml:space="preserve">and depending on the solution the Working Group develops, the support may not be available until </w:t>
      </w:r>
      <w:r w:rsidR="00AB31AE">
        <w:t>the 2027/2028 charging year</w:t>
      </w:r>
      <w:r w:rsidR="00A675AE">
        <w:t xml:space="preserve"> at the earliest</w:t>
      </w:r>
      <w:r w:rsidR="00AB31AE">
        <w:t>.</w:t>
      </w:r>
    </w:p>
    <w:p w14:paraId="6CDCA83F" w14:textId="77777777" w:rsidR="00AB31AE" w:rsidRDefault="00AB31AE" w:rsidP="00AB31AE">
      <w:pPr>
        <w:pStyle w:val="ListParagraph"/>
      </w:pPr>
    </w:p>
    <w:p w14:paraId="0806183E" w14:textId="75DE6E1F" w:rsidR="00AB31AE" w:rsidRDefault="00AB31AE" w:rsidP="006625F0">
      <w:pPr>
        <w:pStyle w:val="ListParagraph"/>
        <w:numPr>
          <w:ilvl w:val="0"/>
          <w:numId w:val="1"/>
        </w:numPr>
        <w:spacing w:after="0"/>
        <w:jc w:val="both"/>
      </w:pPr>
      <w:r>
        <w:t xml:space="preserve">The Working Group considered that financial support provided through another means </w:t>
      </w:r>
      <w:r w:rsidR="00FE5642">
        <w:t xml:space="preserve">could </w:t>
      </w:r>
      <w:r>
        <w:t xml:space="preserve">result in </w:t>
      </w:r>
      <w:r w:rsidR="00FE5642">
        <w:t>quicker support being made available</w:t>
      </w:r>
      <w:r w:rsidR="005A5193">
        <w:t xml:space="preserve"> to EV charging sites</w:t>
      </w:r>
      <w:r w:rsidR="00FE5642">
        <w:t>.</w:t>
      </w:r>
    </w:p>
    <w:p w14:paraId="3BC56C04" w14:textId="77777777" w:rsidR="003C2E8F" w:rsidRDefault="003C2E8F" w:rsidP="003C2E8F">
      <w:pPr>
        <w:pStyle w:val="ListParagraph"/>
      </w:pPr>
    </w:p>
    <w:p w14:paraId="2D957ED8" w14:textId="47F4725D" w:rsidR="003C2E8F" w:rsidRDefault="003C2E8F" w:rsidP="003C2E8F">
      <w:pPr>
        <w:pStyle w:val="ListParagraph"/>
        <w:numPr>
          <w:ilvl w:val="0"/>
          <w:numId w:val="1"/>
        </w:numPr>
        <w:spacing w:after="0"/>
        <w:jc w:val="both"/>
      </w:pPr>
      <w:bookmarkStart w:id="4" w:name="_Ref164256741"/>
      <w:bookmarkStart w:id="5" w:name="_Hlk164256537"/>
      <w:r>
        <w:t>In considering the above, the Working Group has expressed concerns around whether it will be possible to provide the necessary support in a timescale required to have a positive effect.</w:t>
      </w:r>
      <w:bookmarkEnd w:id="4"/>
    </w:p>
    <w:bookmarkEnd w:id="5"/>
    <w:p w14:paraId="7C4081D7" w14:textId="77777777" w:rsidR="00213509" w:rsidRDefault="00213509" w:rsidP="00FE5642">
      <w:pPr>
        <w:spacing w:after="0"/>
        <w:jc w:val="both"/>
      </w:pPr>
    </w:p>
    <w:p w14:paraId="22AA59B7" w14:textId="6FC3B40E" w:rsidR="00213509" w:rsidRDefault="00AA3A65" w:rsidP="00AA3A65">
      <w:pPr>
        <w:pStyle w:val="Heading2"/>
      </w:pPr>
      <w:bookmarkStart w:id="6" w:name="_Toc165453767"/>
      <w:r>
        <w:t>Additional new processes and/or manual processes</w:t>
      </w:r>
      <w:bookmarkEnd w:id="6"/>
    </w:p>
    <w:p w14:paraId="4C3E7EDC" w14:textId="77777777" w:rsidR="00213509" w:rsidRDefault="00213509" w:rsidP="00FE5642">
      <w:pPr>
        <w:spacing w:after="0"/>
        <w:jc w:val="both"/>
      </w:pPr>
    </w:p>
    <w:p w14:paraId="4D9AF1E3" w14:textId="43EE85B6" w:rsidR="00213509" w:rsidRDefault="00AA3A65" w:rsidP="006625F0">
      <w:pPr>
        <w:pStyle w:val="ListParagraph"/>
        <w:numPr>
          <w:ilvl w:val="0"/>
          <w:numId w:val="1"/>
        </w:numPr>
        <w:spacing w:after="0"/>
        <w:jc w:val="both"/>
      </w:pPr>
      <w:r>
        <w:t xml:space="preserve">The Working Group discussed that any solution arising from this Change Proposal </w:t>
      </w:r>
      <w:r w:rsidR="00EB4A86">
        <w:t xml:space="preserve">will inevitably lead to additional administrative burdens, and new processes which, depending on the solution, may be manual in nature. The Working Group noted that this could be costly to </w:t>
      </w:r>
      <w:r w:rsidR="003526D2">
        <w:t>administer,</w:t>
      </w:r>
      <w:r w:rsidR="00EB4A86">
        <w:t xml:space="preserve"> and these costs would need to be recovered.</w:t>
      </w:r>
    </w:p>
    <w:p w14:paraId="4674E614" w14:textId="77777777" w:rsidR="0022105B" w:rsidRDefault="0022105B" w:rsidP="0022105B">
      <w:pPr>
        <w:spacing w:after="0"/>
        <w:jc w:val="both"/>
      </w:pPr>
    </w:p>
    <w:p w14:paraId="24D49549" w14:textId="06D73D84" w:rsidR="003526D2" w:rsidRDefault="0022105B" w:rsidP="00AD4296">
      <w:pPr>
        <w:pStyle w:val="ListParagraph"/>
        <w:numPr>
          <w:ilvl w:val="0"/>
          <w:numId w:val="1"/>
        </w:numPr>
        <w:spacing w:after="0"/>
        <w:jc w:val="both"/>
      </w:pPr>
      <w:r>
        <w:t xml:space="preserve">The Working Group noted, through one of the alternative proposals (brought forward by Brook Green) that </w:t>
      </w:r>
      <w:r w:rsidR="00826F1A">
        <w:t xml:space="preserve">a database solution had been proposed, based on an existing database developed by </w:t>
      </w:r>
      <w:proofErr w:type="spellStart"/>
      <w:r w:rsidR="00826F1A">
        <w:t>GreenSync</w:t>
      </w:r>
      <w:proofErr w:type="spellEnd"/>
      <w:r w:rsidR="00826F1A">
        <w:t xml:space="preserve"> and used by Ofgem for recording domestic EV charging installations. The Working Group </w:t>
      </w:r>
      <w:r w:rsidR="00E20D8F">
        <w:t>discussed</w:t>
      </w:r>
      <w:r w:rsidR="00826F1A">
        <w:t xml:space="preserve"> that whilst a database may be one possible solution, this </w:t>
      </w:r>
      <w:r w:rsidR="000D6E51">
        <w:t>did not resolve the issue of defining the scope of the support, would still require administration in some form, and would need to be the subject of a competitive tender process.</w:t>
      </w:r>
    </w:p>
    <w:p w14:paraId="5DEBDADB" w14:textId="77777777" w:rsidR="006F02F1" w:rsidRDefault="006F02F1" w:rsidP="006F02F1">
      <w:pPr>
        <w:pStyle w:val="ListParagraph"/>
      </w:pPr>
    </w:p>
    <w:p w14:paraId="065D202E" w14:textId="77777777" w:rsidR="006F02F1" w:rsidRDefault="006F02F1" w:rsidP="006F02F1">
      <w:pPr>
        <w:pStyle w:val="ListParagraph"/>
        <w:numPr>
          <w:ilvl w:val="0"/>
          <w:numId w:val="1"/>
        </w:numPr>
        <w:spacing w:after="0"/>
        <w:jc w:val="both"/>
      </w:pPr>
      <w:r>
        <w:t>In considering the above, the Working Group has expressed concerns around whether:</w:t>
      </w:r>
    </w:p>
    <w:p w14:paraId="3DA82B00" w14:textId="77777777" w:rsidR="006F02F1" w:rsidRDefault="006F02F1" w:rsidP="006F02F1">
      <w:pPr>
        <w:pStyle w:val="ListParagraph"/>
      </w:pPr>
    </w:p>
    <w:p w14:paraId="6E91796A" w14:textId="3B4CA135" w:rsidR="006F02F1" w:rsidRDefault="006F02F1" w:rsidP="006F02F1">
      <w:pPr>
        <w:pStyle w:val="ListParagraph"/>
        <w:numPr>
          <w:ilvl w:val="1"/>
          <w:numId w:val="1"/>
        </w:numPr>
        <w:spacing w:after="0"/>
        <w:ind w:left="993" w:hanging="567"/>
        <w:jc w:val="both"/>
      </w:pPr>
      <w:r>
        <w:t xml:space="preserve">it is </w:t>
      </w:r>
      <w:r w:rsidR="00735F8A">
        <w:t xml:space="preserve">in the spirit of the DCUSA, and DCUSA General Objective 6, to introduce costly administrative processes to support </w:t>
      </w:r>
      <w:r w:rsidR="003341B3">
        <w:t>another sector or an unrelated Government target; and</w:t>
      </w:r>
    </w:p>
    <w:p w14:paraId="47C1FE29" w14:textId="0F13EB64" w:rsidR="003341B3" w:rsidRDefault="003341B3" w:rsidP="006F02F1">
      <w:pPr>
        <w:pStyle w:val="ListParagraph"/>
        <w:numPr>
          <w:ilvl w:val="1"/>
          <w:numId w:val="1"/>
        </w:numPr>
        <w:spacing w:after="0"/>
        <w:ind w:left="993" w:hanging="567"/>
        <w:jc w:val="both"/>
      </w:pPr>
      <w:r>
        <w:t>how the costs for implementing and administering such a scheme would be recovered.</w:t>
      </w:r>
    </w:p>
    <w:p w14:paraId="27A7A612" w14:textId="77777777" w:rsidR="003526D2" w:rsidRDefault="003526D2" w:rsidP="00AD4296">
      <w:pPr>
        <w:spacing w:after="0"/>
        <w:jc w:val="both"/>
      </w:pPr>
    </w:p>
    <w:p w14:paraId="26F34B13" w14:textId="0A3A0810" w:rsidR="00826F1A" w:rsidRDefault="00AD4296" w:rsidP="00AD4296">
      <w:pPr>
        <w:pStyle w:val="Heading2"/>
      </w:pPr>
      <w:bookmarkStart w:id="7" w:name="_Toc165453768"/>
      <w:r>
        <w:t>Potential CUSC impacts</w:t>
      </w:r>
      <w:bookmarkEnd w:id="7"/>
    </w:p>
    <w:p w14:paraId="759646B1" w14:textId="77777777" w:rsidR="00213509" w:rsidRDefault="00213509" w:rsidP="00AD4296">
      <w:pPr>
        <w:spacing w:after="0"/>
        <w:jc w:val="both"/>
      </w:pPr>
    </w:p>
    <w:p w14:paraId="06BF494D" w14:textId="155B451B" w:rsidR="00213509" w:rsidRDefault="00AD4296" w:rsidP="00D81813">
      <w:pPr>
        <w:pStyle w:val="ListParagraph"/>
        <w:numPr>
          <w:ilvl w:val="0"/>
          <w:numId w:val="1"/>
        </w:numPr>
        <w:spacing w:after="0"/>
        <w:jc w:val="both"/>
      </w:pPr>
      <w:r>
        <w:t>The Working Group discussed whether a CUSC modification may be necessary as some EV charging sites may be connected at the transmission level.</w:t>
      </w:r>
    </w:p>
    <w:p w14:paraId="0E830DCC" w14:textId="77777777" w:rsidR="00AD4296" w:rsidRDefault="00AD4296" w:rsidP="00AD4296">
      <w:pPr>
        <w:pStyle w:val="ListParagraph"/>
        <w:spacing w:after="0"/>
        <w:ind w:left="425"/>
        <w:jc w:val="both"/>
      </w:pPr>
    </w:p>
    <w:p w14:paraId="159B6D5D" w14:textId="3A547434" w:rsidR="00213509" w:rsidRDefault="00AD4296" w:rsidP="006625F0">
      <w:pPr>
        <w:pStyle w:val="ListParagraph"/>
        <w:numPr>
          <w:ilvl w:val="0"/>
          <w:numId w:val="1"/>
        </w:numPr>
        <w:spacing w:after="0"/>
        <w:jc w:val="both"/>
      </w:pPr>
      <w:r>
        <w:t xml:space="preserve">The Working Group considered that if DUoS charges were an issue for distribution connected sites, then </w:t>
      </w:r>
      <w:proofErr w:type="spellStart"/>
      <w:r>
        <w:t>TNUoS</w:t>
      </w:r>
      <w:proofErr w:type="spellEnd"/>
      <w:r>
        <w:t xml:space="preserve"> charges </w:t>
      </w:r>
      <w:r w:rsidR="00DC1947">
        <w:t>c</w:t>
      </w:r>
      <w:r>
        <w:t xml:space="preserve">ould be an issue for </w:t>
      </w:r>
      <w:r w:rsidR="00DC1947">
        <w:t xml:space="preserve">both distribution and </w:t>
      </w:r>
      <w:r>
        <w:t xml:space="preserve">transmission connected </w:t>
      </w:r>
      <w:r>
        <w:lastRenderedPageBreak/>
        <w:t xml:space="preserve">sites, </w:t>
      </w:r>
      <w:r w:rsidR="001568FD">
        <w:t xml:space="preserve">and that to not consider </w:t>
      </w:r>
      <w:r w:rsidR="00DC1947">
        <w:t xml:space="preserve">transmission connected </w:t>
      </w:r>
      <w:r w:rsidR="001568FD">
        <w:t xml:space="preserve">sites </w:t>
      </w:r>
      <w:r w:rsidR="00DC1947">
        <w:t xml:space="preserve">may </w:t>
      </w:r>
      <w:r w:rsidR="001568FD">
        <w:t>distort competition or create an unlevel playing field</w:t>
      </w:r>
      <w:r w:rsidR="00F661D8">
        <w:t>, leaving some EV charging sites without access to support that others are receiving</w:t>
      </w:r>
      <w:r w:rsidR="001568FD">
        <w:t>.</w:t>
      </w:r>
    </w:p>
    <w:p w14:paraId="75005A83" w14:textId="77777777" w:rsidR="001568FD" w:rsidRDefault="001568FD" w:rsidP="001568FD">
      <w:pPr>
        <w:pStyle w:val="ListParagraph"/>
      </w:pPr>
    </w:p>
    <w:p w14:paraId="7788255A" w14:textId="5BF95E5D" w:rsidR="00D4119F" w:rsidRDefault="001568FD" w:rsidP="00BB5A38">
      <w:pPr>
        <w:pStyle w:val="ListParagraph"/>
        <w:numPr>
          <w:ilvl w:val="0"/>
          <w:numId w:val="1"/>
        </w:numPr>
        <w:spacing w:after="0"/>
        <w:jc w:val="both"/>
      </w:pPr>
      <w:r>
        <w:t xml:space="preserve">The Working Group noted that to raise </w:t>
      </w:r>
      <w:r w:rsidR="00EF007A">
        <w:t xml:space="preserve">a consequential change for the CUSC to address </w:t>
      </w:r>
      <w:proofErr w:type="spellStart"/>
      <w:r w:rsidR="00DC1947">
        <w:t>TNUoS</w:t>
      </w:r>
      <w:proofErr w:type="spellEnd"/>
      <w:r w:rsidR="00DC1947">
        <w:t xml:space="preserve"> charges </w:t>
      </w:r>
      <w:r w:rsidR="00EF007A">
        <w:t xml:space="preserve">would add further complexity and likely result in increased timescales for the </w:t>
      </w:r>
      <w:r w:rsidR="00BB5A38">
        <w:t xml:space="preserve">definition </w:t>
      </w:r>
      <w:r w:rsidR="00EF007A">
        <w:t>of a solution</w:t>
      </w:r>
      <w:r w:rsidR="00BB5A38">
        <w:t xml:space="preserve"> for Ofgem’s consideration</w:t>
      </w:r>
      <w:r w:rsidR="00EF007A">
        <w:t>.</w:t>
      </w:r>
    </w:p>
    <w:p w14:paraId="23630299" w14:textId="77777777" w:rsidR="003341B3" w:rsidRDefault="003341B3" w:rsidP="003341B3">
      <w:pPr>
        <w:pStyle w:val="ListParagraph"/>
      </w:pPr>
    </w:p>
    <w:p w14:paraId="17D64374" w14:textId="31405922" w:rsidR="003341B3" w:rsidRPr="00D97AF8" w:rsidRDefault="003341B3" w:rsidP="003341B3">
      <w:pPr>
        <w:pStyle w:val="ListParagraph"/>
        <w:numPr>
          <w:ilvl w:val="0"/>
          <w:numId w:val="1"/>
        </w:numPr>
        <w:spacing w:after="0"/>
        <w:jc w:val="both"/>
      </w:pPr>
      <w:r>
        <w:t>In considering the above</w:t>
      </w:r>
      <w:r w:rsidR="00CA4483">
        <w:t xml:space="preserve"> </w:t>
      </w:r>
      <w:r>
        <w:t xml:space="preserve">the Working Group has expressed concerns around whether it </w:t>
      </w:r>
      <w:r w:rsidR="001D6839">
        <w:t>would</w:t>
      </w:r>
      <w:r>
        <w:t xml:space="preserve"> be possible to provide the necessary support in a timescale required to have a positive effect</w:t>
      </w:r>
      <w:r w:rsidR="001D6839">
        <w:t xml:space="preserve">, if a CUSC modification </w:t>
      </w:r>
      <w:r w:rsidR="00443923">
        <w:t xml:space="preserve">needs </w:t>
      </w:r>
      <w:r w:rsidR="001D6839">
        <w:t>to be raised.</w:t>
      </w:r>
    </w:p>
    <w:sectPr w:rsidR="003341B3" w:rsidRPr="00D97AF8" w:rsidSect="000E0656">
      <w:headerReference w:type="default" r:id="rId8"/>
      <w:footerReference w:type="default" r:id="rId9"/>
      <w:pgSz w:w="11906" w:h="16838"/>
      <w:pgMar w:top="2306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32BFE3" w14:textId="77777777" w:rsidR="000E0656" w:rsidRDefault="000E0656" w:rsidP="00313422">
      <w:pPr>
        <w:spacing w:after="0" w:line="240" w:lineRule="auto"/>
      </w:pPr>
      <w:r>
        <w:separator/>
      </w:r>
    </w:p>
  </w:endnote>
  <w:endnote w:type="continuationSeparator" w:id="0">
    <w:p w14:paraId="2A07D256" w14:textId="77777777" w:rsidR="000E0656" w:rsidRDefault="000E0656" w:rsidP="003134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A27BAB" w14:textId="7484C826" w:rsidR="008378AF" w:rsidRPr="00DF2C52" w:rsidRDefault="00DF2C52">
    <w:pPr>
      <w:pStyle w:val="Footer"/>
    </w:pPr>
    <w:r>
      <w:t>DCP 420</w:t>
    </w:r>
    <w:r>
      <w:tab/>
      <w:t xml:space="preserve">Page </w:t>
    </w:r>
    <w:r>
      <w:rPr>
        <w:b/>
        <w:bCs/>
      </w:rPr>
      <w:fldChar w:fldCharType="begin"/>
    </w:r>
    <w:r>
      <w:rPr>
        <w:b/>
        <w:bCs/>
      </w:rPr>
      <w:instrText xml:space="preserve"> PAGE  \* Arabic  \* MERGEFORMAT </w:instrText>
    </w:r>
    <w:r>
      <w:rPr>
        <w:b/>
        <w:bCs/>
      </w:rPr>
      <w:fldChar w:fldCharType="separate"/>
    </w:r>
    <w:r>
      <w:rPr>
        <w:b/>
        <w:bCs/>
        <w:noProof/>
      </w:rPr>
      <w:t>1</w:t>
    </w:r>
    <w:r>
      <w:rPr>
        <w:b/>
        <w:bCs/>
      </w:rPr>
      <w:fldChar w:fldCharType="end"/>
    </w:r>
    <w:r>
      <w:t xml:space="preserve"> of </w:t>
    </w:r>
    <w:r>
      <w:rPr>
        <w:b/>
        <w:bCs/>
      </w:rPr>
      <w:fldChar w:fldCharType="begin"/>
    </w:r>
    <w:r>
      <w:rPr>
        <w:b/>
        <w:bCs/>
      </w:rPr>
      <w:instrText xml:space="preserve"> NUMPAGES  \* Arabic  \* MERGEFORMAT </w:instrText>
    </w:r>
    <w:r>
      <w:rPr>
        <w:b/>
        <w:bCs/>
      </w:rPr>
      <w:fldChar w:fldCharType="separate"/>
    </w:r>
    <w:r>
      <w:rPr>
        <w:b/>
        <w:bCs/>
        <w:noProof/>
      </w:rPr>
      <w:t>2</w:t>
    </w:r>
    <w:r>
      <w:rPr>
        <w:b/>
        <w:bCs/>
      </w:rPr>
      <w:fldChar w:fldCharType="end"/>
    </w:r>
    <w:r>
      <w:rPr>
        <w:b/>
        <w:bCs/>
      </w:rPr>
      <w:tab/>
    </w:r>
    <w:r w:rsidR="00791E42">
      <w:t>25 April 2024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032F91" w14:textId="77777777" w:rsidR="000E0656" w:rsidRDefault="000E0656" w:rsidP="00313422">
      <w:pPr>
        <w:spacing w:after="0" w:line="240" w:lineRule="auto"/>
      </w:pPr>
      <w:r>
        <w:separator/>
      </w:r>
    </w:p>
  </w:footnote>
  <w:footnote w:type="continuationSeparator" w:id="0">
    <w:p w14:paraId="443DAE45" w14:textId="77777777" w:rsidR="000E0656" w:rsidRDefault="000E0656" w:rsidP="003134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4AAC2F" w14:textId="77777777" w:rsidR="00D97AF8" w:rsidRDefault="00D97AF8">
    <w:pPr>
      <w:pStyle w:val="Header"/>
    </w:pPr>
  </w:p>
  <w:p w14:paraId="33A59C4A" w14:textId="77777777" w:rsidR="00D97AF8" w:rsidRDefault="00D97AF8">
    <w:pPr>
      <w:pStyle w:val="Header"/>
    </w:pPr>
  </w:p>
  <w:p w14:paraId="3169E806" w14:textId="77777777" w:rsidR="00D97AF8" w:rsidRDefault="00D97AF8">
    <w:pPr>
      <w:pStyle w:val="Header"/>
    </w:pPr>
  </w:p>
  <w:p w14:paraId="23EFF0EF" w14:textId="735D2885" w:rsidR="00313422" w:rsidRDefault="00313422" w:rsidP="00951459">
    <w:pPr>
      <w:pStyle w:val="Title"/>
    </w:pPr>
    <w:r w:rsidRPr="00A61E19">
      <w:rPr>
        <w:noProof/>
        <w:lang w:eastAsia="en-GB"/>
      </w:rPr>
      <w:drawing>
        <wp:anchor distT="0" distB="0" distL="114300" distR="114300" simplePos="0" relativeHeight="251659264" behindDoc="1" locked="0" layoutInCell="1" allowOverlap="1" wp14:anchorId="6ECB410F" wp14:editId="2969F134">
          <wp:simplePos x="0" y="0"/>
          <wp:positionH relativeFrom="page">
            <wp:posOffset>-117043</wp:posOffset>
          </wp:positionH>
          <wp:positionV relativeFrom="page">
            <wp:posOffset>0</wp:posOffset>
          </wp:positionV>
          <wp:extent cx="7668895" cy="1714500"/>
          <wp:effectExtent l="0" t="0" r="8255" b="0"/>
          <wp:wrapNone/>
          <wp:docPr id="767721779" name="Picture 767721779" descr="A green fabric with a white background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23109413" name="Picture 723109413" descr="A green fabric with a white background&#10;&#10;Description automatically generated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668895" cy="17145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53027D"/>
    <w:multiLevelType w:val="multilevel"/>
    <w:tmpl w:val="D9066ED0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67" w:hanging="14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55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1054682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0C02"/>
    <w:rsid w:val="000104FE"/>
    <w:rsid w:val="00060B98"/>
    <w:rsid w:val="00074A16"/>
    <w:rsid w:val="00094646"/>
    <w:rsid w:val="000D6E51"/>
    <w:rsid w:val="000D6F50"/>
    <w:rsid w:val="000E0656"/>
    <w:rsid w:val="000F59B8"/>
    <w:rsid w:val="000F67EC"/>
    <w:rsid w:val="00117C95"/>
    <w:rsid w:val="00117CED"/>
    <w:rsid w:val="00120118"/>
    <w:rsid w:val="001240B6"/>
    <w:rsid w:val="001568FD"/>
    <w:rsid w:val="00175EED"/>
    <w:rsid w:val="001A3BA3"/>
    <w:rsid w:val="001A4CA8"/>
    <w:rsid w:val="001B1408"/>
    <w:rsid w:val="001D6839"/>
    <w:rsid w:val="00213509"/>
    <w:rsid w:val="0022105B"/>
    <w:rsid w:val="002316AA"/>
    <w:rsid w:val="002367D6"/>
    <w:rsid w:val="00240692"/>
    <w:rsid w:val="00241D7A"/>
    <w:rsid w:val="0024758A"/>
    <w:rsid w:val="00261AFE"/>
    <w:rsid w:val="00297810"/>
    <w:rsid w:val="00297C40"/>
    <w:rsid w:val="002B29F8"/>
    <w:rsid w:val="002D765E"/>
    <w:rsid w:val="002E16B1"/>
    <w:rsid w:val="0030114D"/>
    <w:rsid w:val="00306221"/>
    <w:rsid w:val="00313422"/>
    <w:rsid w:val="00323E96"/>
    <w:rsid w:val="003341B3"/>
    <w:rsid w:val="0034273E"/>
    <w:rsid w:val="003526D2"/>
    <w:rsid w:val="0037565A"/>
    <w:rsid w:val="003870C2"/>
    <w:rsid w:val="003A709A"/>
    <w:rsid w:val="003B2D08"/>
    <w:rsid w:val="003C2E8F"/>
    <w:rsid w:val="003C72A0"/>
    <w:rsid w:val="003D462A"/>
    <w:rsid w:val="003E3875"/>
    <w:rsid w:val="0041573A"/>
    <w:rsid w:val="00443923"/>
    <w:rsid w:val="004F5E71"/>
    <w:rsid w:val="0051304A"/>
    <w:rsid w:val="00532316"/>
    <w:rsid w:val="00532B1E"/>
    <w:rsid w:val="005505FC"/>
    <w:rsid w:val="00583205"/>
    <w:rsid w:val="005A310B"/>
    <w:rsid w:val="005A5193"/>
    <w:rsid w:val="005A5D8D"/>
    <w:rsid w:val="005A665F"/>
    <w:rsid w:val="005B1F08"/>
    <w:rsid w:val="005B5C59"/>
    <w:rsid w:val="005C31F2"/>
    <w:rsid w:val="005E24D2"/>
    <w:rsid w:val="005E727E"/>
    <w:rsid w:val="005E7644"/>
    <w:rsid w:val="00611506"/>
    <w:rsid w:val="006625F0"/>
    <w:rsid w:val="00664C31"/>
    <w:rsid w:val="00692BC4"/>
    <w:rsid w:val="006A14E2"/>
    <w:rsid w:val="006A1B12"/>
    <w:rsid w:val="006F02F1"/>
    <w:rsid w:val="007305D1"/>
    <w:rsid w:val="007344B3"/>
    <w:rsid w:val="00735F8A"/>
    <w:rsid w:val="00737069"/>
    <w:rsid w:val="00740C02"/>
    <w:rsid w:val="00744268"/>
    <w:rsid w:val="0076404E"/>
    <w:rsid w:val="00764052"/>
    <w:rsid w:val="00791E42"/>
    <w:rsid w:val="007D38A4"/>
    <w:rsid w:val="007E082D"/>
    <w:rsid w:val="00802A2C"/>
    <w:rsid w:val="00816F6F"/>
    <w:rsid w:val="00826F1A"/>
    <w:rsid w:val="008378AF"/>
    <w:rsid w:val="00857027"/>
    <w:rsid w:val="008739CA"/>
    <w:rsid w:val="0089747D"/>
    <w:rsid w:val="008A6467"/>
    <w:rsid w:val="008A6DB5"/>
    <w:rsid w:val="008B09DD"/>
    <w:rsid w:val="008B65BF"/>
    <w:rsid w:val="008D5908"/>
    <w:rsid w:val="00916800"/>
    <w:rsid w:val="00927609"/>
    <w:rsid w:val="009303CF"/>
    <w:rsid w:val="00931AC5"/>
    <w:rsid w:val="00937F92"/>
    <w:rsid w:val="00947025"/>
    <w:rsid w:val="00951459"/>
    <w:rsid w:val="009B36BE"/>
    <w:rsid w:val="009D6013"/>
    <w:rsid w:val="009D7C23"/>
    <w:rsid w:val="009F632D"/>
    <w:rsid w:val="00A13B1A"/>
    <w:rsid w:val="00A46453"/>
    <w:rsid w:val="00A55215"/>
    <w:rsid w:val="00A675AE"/>
    <w:rsid w:val="00A77214"/>
    <w:rsid w:val="00A90B04"/>
    <w:rsid w:val="00A91148"/>
    <w:rsid w:val="00AA3A65"/>
    <w:rsid w:val="00AB20F4"/>
    <w:rsid w:val="00AB31AE"/>
    <w:rsid w:val="00AD1669"/>
    <w:rsid w:val="00AD4296"/>
    <w:rsid w:val="00AE4077"/>
    <w:rsid w:val="00B201DF"/>
    <w:rsid w:val="00B66EE4"/>
    <w:rsid w:val="00B67E77"/>
    <w:rsid w:val="00B9132F"/>
    <w:rsid w:val="00BB5A38"/>
    <w:rsid w:val="00BE1BDE"/>
    <w:rsid w:val="00BE52AF"/>
    <w:rsid w:val="00C050AE"/>
    <w:rsid w:val="00C1672F"/>
    <w:rsid w:val="00C2165C"/>
    <w:rsid w:val="00C36590"/>
    <w:rsid w:val="00C66E3A"/>
    <w:rsid w:val="00CA4483"/>
    <w:rsid w:val="00CB7A9B"/>
    <w:rsid w:val="00D1378A"/>
    <w:rsid w:val="00D31E4F"/>
    <w:rsid w:val="00D4119F"/>
    <w:rsid w:val="00D42624"/>
    <w:rsid w:val="00D81813"/>
    <w:rsid w:val="00D97AF8"/>
    <w:rsid w:val="00DA566C"/>
    <w:rsid w:val="00DC1947"/>
    <w:rsid w:val="00DF2C52"/>
    <w:rsid w:val="00E20D8F"/>
    <w:rsid w:val="00E24772"/>
    <w:rsid w:val="00E35F56"/>
    <w:rsid w:val="00E50AA8"/>
    <w:rsid w:val="00E6544B"/>
    <w:rsid w:val="00E77E76"/>
    <w:rsid w:val="00EB4A86"/>
    <w:rsid w:val="00EE303B"/>
    <w:rsid w:val="00EF007A"/>
    <w:rsid w:val="00EF2DCB"/>
    <w:rsid w:val="00F0598E"/>
    <w:rsid w:val="00F175E7"/>
    <w:rsid w:val="00F25D71"/>
    <w:rsid w:val="00F63817"/>
    <w:rsid w:val="00F661D8"/>
    <w:rsid w:val="00F73B5C"/>
    <w:rsid w:val="00F804A2"/>
    <w:rsid w:val="00F86711"/>
    <w:rsid w:val="00FD6C92"/>
    <w:rsid w:val="00FE1C83"/>
    <w:rsid w:val="00FE5642"/>
    <w:rsid w:val="00FF67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B64D9F3"/>
  <w15:chartTrackingRefBased/>
  <w15:docId w15:val="{55D1D110-38D5-4DF5-8FCE-0E4E03C448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E764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b/>
      <w:color w:val="339966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E764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39966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4702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339966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1342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13422"/>
  </w:style>
  <w:style w:type="paragraph" w:styleId="Footer">
    <w:name w:val="footer"/>
    <w:basedOn w:val="Normal"/>
    <w:link w:val="FooterChar"/>
    <w:uiPriority w:val="99"/>
    <w:unhideWhenUsed/>
    <w:rsid w:val="0031342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13422"/>
  </w:style>
  <w:style w:type="character" w:customStyle="1" w:styleId="Heading1Char">
    <w:name w:val="Heading 1 Char"/>
    <w:basedOn w:val="DefaultParagraphFont"/>
    <w:link w:val="Heading1"/>
    <w:uiPriority w:val="9"/>
    <w:rsid w:val="005E7644"/>
    <w:rPr>
      <w:rFonts w:asciiTheme="majorHAnsi" w:eastAsiaTheme="majorEastAsia" w:hAnsiTheme="majorHAnsi" w:cstheme="majorBidi"/>
      <w:b/>
      <w:color w:val="339966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E7644"/>
    <w:rPr>
      <w:rFonts w:asciiTheme="majorHAnsi" w:eastAsiaTheme="majorEastAsia" w:hAnsiTheme="majorHAnsi" w:cstheme="majorBidi"/>
      <w:color w:val="339966"/>
      <w:sz w:val="26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9D7C23"/>
    <w:pPr>
      <w:spacing w:after="0" w:line="240" w:lineRule="auto"/>
      <w:contextualSpacing/>
    </w:pPr>
    <w:rPr>
      <w:rFonts w:asciiTheme="majorHAnsi" w:eastAsiaTheme="majorEastAsia" w:hAnsiTheme="majorHAnsi" w:cstheme="majorBidi"/>
      <w:b/>
      <w:color w:val="339966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D7C23"/>
    <w:rPr>
      <w:rFonts w:asciiTheme="majorHAnsi" w:eastAsiaTheme="majorEastAsia" w:hAnsiTheme="majorHAnsi" w:cstheme="majorBidi"/>
      <w:b/>
      <w:color w:val="339966"/>
      <w:spacing w:val="-10"/>
      <w:kern w:val="28"/>
      <w:sz w:val="56"/>
      <w:szCs w:val="56"/>
    </w:rPr>
  </w:style>
  <w:style w:type="character" w:styleId="Hyperlink">
    <w:name w:val="Hyperlink"/>
    <w:basedOn w:val="DefaultParagraphFont"/>
    <w:uiPriority w:val="99"/>
    <w:unhideWhenUsed/>
    <w:rsid w:val="002E16B1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E16B1"/>
    <w:rPr>
      <w:color w:val="605E5C"/>
      <w:shd w:val="clear" w:color="auto" w:fill="E1DFDD"/>
    </w:rPr>
  </w:style>
  <w:style w:type="paragraph" w:styleId="TOCHeading">
    <w:name w:val="TOC Heading"/>
    <w:basedOn w:val="Heading1"/>
    <w:next w:val="Normal"/>
    <w:uiPriority w:val="39"/>
    <w:unhideWhenUsed/>
    <w:qFormat/>
    <w:rsid w:val="002367D6"/>
    <w:pPr>
      <w:outlineLvl w:val="9"/>
    </w:pPr>
    <w:rPr>
      <w:b w:val="0"/>
      <w:color w:val="2F5496" w:themeColor="accent1" w:themeShade="BF"/>
      <w:kern w:val="0"/>
      <w:lang w:val="en-US"/>
      <w14:ligatures w14:val="none"/>
    </w:rPr>
  </w:style>
  <w:style w:type="paragraph" w:styleId="TOC1">
    <w:name w:val="toc 1"/>
    <w:basedOn w:val="Normal"/>
    <w:next w:val="Normal"/>
    <w:autoRedefine/>
    <w:uiPriority w:val="39"/>
    <w:unhideWhenUsed/>
    <w:rsid w:val="002367D6"/>
    <w:pPr>
      <w:spacing w:after="100"/>
    </w:pPr>
  </w:style>
  <w:style w:type="paragraph" w:styleId="ListParagraph">
    <w:name w:val="List Paragraph"/>
    <w:basedOn w:val="Normal"/>
    <w:uiPriority w:val="34"/>
    <w:qFormat/>
    <w:rsid w:val="00F804A2"/>
    <w:pPr>
      <w:ind w:left="720"/>
      <w:contextualSpacing/>
    </w:pPr>
  </w:style>
  <w:style w:type="paragraph" w:styleId="TOC2">
    <w:name w:val="toc 2"/>
    <w:basedOn w:val="Normal"/>
    <w:next w:val="Normal"/>
    <w:autoRedefine/>
    <w:uiPriority w:val="39"/>
    <w:unhideWhenUsed/>
    <w:rsid w:val="00241D7A"/>
    <w:pPr>
      <w:spacing w:after="100"/>
      <w:ind w:left="220"/>
    </w:pPr>
  </w:style>
  <w:style w:type="character" w:styleId="CommentReference">
    <w:name w:val="annotation reference"/>
    <w:basedOn w:val="DefaultParagraphFont"/>
    <w:uiPriority w:val="99"/>
    <w:semiHidden/>
    <w:unhideWhenUsed/>
    <w:rsid w:val="000104F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104F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104F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104F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104FE"/>
    <w:rPr>
      <w:b/>
      <w:bCs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rsid w:val="00947025"/>
    <w:rPr>
      <w:rFonts w:asciiTheme="majorHAnsi" w:eastAsiaTheme="majorEastAsia" w:hAnsiTheme="majorHAnsi" w:cstheme="majorBidi"/>
      <w:color w:val="339966"/>
      <w:szCs w:val="24"/>
    </w:rPr>
  </w:style>
  <w:style w:type="paragraph" w:styleId="TOC3">
    <w:name w:val="toc 3"/>
    <w:basedOn w:val="Normal"/>
    <w:next w:val="Normal"/>
    <w:autoRedefine/>
    <w:uiPriority w:val="39"/>
    <w:unhideWhenUsed/>
    <w:rsid w:val="00947025"/>
    <w:pPr>
      <w:spacing w:after="100"/>
      <w:ind w:left="4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544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C65E8B-E475-4048-A765-F624A64E30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6</Pages>
  <Words>1648</Words>
  <Characters>9395</Characters>
  <Application>Microsoft Office Word</Application>
  <DocSecurity>0</DocSecurity>
  <Lines>78</Lines>
  <Paragraphs>22</Paragraphs>
  <ScaleCrop>false</ScaleCrop>
  <Company/>
  <LinksUpToDate>false</LinksUpToDate>
  <CharactersWithSpaces>11021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Craig Booth</dc:creator>
  <cp:keywords/>
  <dc:description/>
  <cp:lastModifiedBy>Craig Booth</cp:lastModifiedBy>
  <cp:revision>4</cp:revision>
  <dcterms:created xsi:type="dcterms:W3CDTF">2024-05-01T09:56:00Z</dcterms:created>
  <dcterms:modified xsi:type="dcterms:W3CDTF">2024-05-01T10:06:00Z</dcterms:modified>
</cp:coreProperties>
</file>