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079A7" w14:textId="20526400" w:rsidR="00315909" w:rsidRPr="00315909" w:rsidRDefault="002627D6" w:rsidP="0051226B">
      <w:pPr>
        <w:pStyle w:val="Title"/>
        <w:spacing w:after="120"/>
        <w:contextualSpacing w:val="0"/>
        <w:rPr>
          <w:rFonts w:ascii="Calibri" w:hAnsi="Calibri"/>
          <w:i/>
          <w:sz w:val="22"/>
          <w:szCs w:val="22"/>
        </w:rPr>
      </w:pPr>
      <w:r w:rsidRPr="002B7C6C">
        <w:rPr>
          <w:rFonts w:ascii="Calibri" w:hAnsi="Calibri" w:cs="Calibri"/>
          <w:sz w:val="22"/>
          <w:szCs w:val="22"/>
        </w:rPr>
        <w:t xml:space="preserve">DCP </w:t>
      </w:r>
      <w:r w:rsidR="0051226B">
        <w:rPr>
          <w:rFonts w:ascii="Calibri" w:hAnsi="Calibri" w:cs="Calibri"/>
          <w:sz w:val="22"/>
          <w:szCs w:val="22"/>
        </w:rPr>
        <w:t>4</w:t>
      </w:r>
      <w:r w:rsidR="00C43C03">
        <w:rPr>
          <w:rFonts w:ascii="Calibri" w:hAnsi="Calibri" w:cs="Calibri"/>
          <w:sz w:val="22"/>
          <w:szCs w:val="22"/>
        </w:rPr>
        <w:t>39</w:t>
      </w:r>
      <w:r w:rsidRPr="002B7C6C">
        <w:rPr>
          <w:rFonts w:ascii="Calibri" w:hAnsi="Calibri" w:cs="Calibri"/>
          <w:sz w:val="22"/>
          <w:szCs w:val="22"/>
        </w:rPr>
        <w:t xml:space="preserve">- </w:t>
      </w:r>
      <w:r w:rsidR="00C43C03" w:rsidRPr="00C43C03">
        <w:rPr>
          <w:rFonts w:ascii="Calibri" w:hAnsi="Calibri" w:cs="Calibri"/>
          <w:sz w:val="22"/>
          <w:szCs w:val="22"/>
        </w:rPr>
        <w:t>Backdating Tariff Changes</w:t>
      </w:r>
    </w:p>
    <w:p w14:paraId="5AD26110" w14:textId="0040F680"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754A3D">
        <w:rPr>
          <w:rFonts w:ascii="Calibri" w:hAnsi="Calibri"/>
          <w:sz w:val="22"/>
          <w:szCs w:val="22"/>
        </w:rPr>
        <w:t>Andy Green</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0BC6C348"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131E11">
        <w:rPr>
          <w:rFonts w:ascii="Calibri" w:hAnsi="Calibri"/>
          <w:sz w:val="22"/>
          <w:szCs w:val="22"/>
        </w:rPr>
        <w:t>3</w:t>
      </w:r>
      <w:r w:rsidR="00C43C03">
        <w:rPr>
          <w:rFonts w:ascii="Calibri" w:hAnsi="Calibri"/>
          <w:sz w:val="22"/>
          <w:szCs w:val="22"/>
        </w:rPr>
        <w:t>1</w:t>
      </w:r>
      <w:r w:rsidR="00BD083F">
        <w:rPr>
          <w:rFonts w:ascii="Calibri" w:hAnsi="Calibri"/>
          <w:sz w:val="22"/>
          <w:szCs w:val="22"/>
        </w:rPr>
        <w:t xml:space="preserve"> </w:t>
      </w:r>
      <w:r w:rsidR="00C43C03">
        <w:rPr>
          <w:rFonts w:ascii="Calibri" w:hAnsi="Calibri"/>
          <w:sz w:val="22"/>
          <w:szCs w:val="22"/>
        </w:rPr>
        <w:t>May</w:t>
      </w:r>
      <w:r w:rsidR="00131E11">
        <w:rPr>
          <w:rFonts w:ascii="Calibri" w:hAnsi="Calibri"/>
          <w:sz w:val="22"/>
          <w:szCs w:val="22"/>
        </w:rPr>
        <w:t xml:space="preserve"> </w:t>
      </w:r>
      <w:r w:rsidR="004D6571" w:rsidRPr="004D6571">
        <w:rPr>
          <w:rFonts w:ascii="Calibri" w:hAnsi="Calibri"/>
          <w:sz w:val="22"/>
          <w:szCs w:val="22"/>
        </w:rPr>
        <w:t>202</w:t>
      </w:r>
      <w:r w:rsidR="00C43C03">
        <w:rPr>
          <w:rFonts w:ascii="Calibri" w:hAnsi="Calibri"/>
          <w:sz w:val="22"/>
          <w:szCs w:val="22"/>
        </w:rPr>
        <w:t>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0206E6E4" w14:textId="77777777" w:rsidR="00A24745" w:rsidRDefault="00C43C03" w:rsidP="004F1F52">
            <w:pPr>
              <w:pStyle w:val="Question"/>
              <w:rPr>
                <w:rFonts w:cs="Arial"/>
                <w:bCs/>
              </w:rPr>
            </w:pPr>
            <w:r w:rsidRPr="00C43C03">
              <w:rPr>
                <w:rFonts w:cs="Arial"/>
                <w:bCs/>
              </w:rPr>
              <w:t>Have you backdated tariff changes for any of the following reasons?</w:t>
            </w:r>
          </w:p>
          <w:p w14:paraId="01B503CE" w14:textId="51983727" w:rsidR="00C43C03" w:rsidRDefault="00C43C03" w:rsidP="00C43C03">
            <w:pPr>
              <w:pStyle w:val="ListParagraph"/>
              <w:keepLines/>
              <w:numPr>
                <w:ilvl w:val="0"/>
                <w:numId w:val="20"/>
              </w:numPr>
              <w:spacing w:before="60" w:after="60"/>
            </w:pPr>
            <w:r>
              <w:t xml:space="preserve">     </w:t>
            </w:r>
            <w:r>
              <w:t xml:space="preserve">the voltage of </w:t>
            </w:r>
            <w:proofErr w:type="gramStart"/>
            <w:r>
              <w:t>connection;</w:t>
            </w:r>
            <w:proofErr w:type="gramEnd"/>
          </w:p>
          <w:p w14:paraId="185FB7ED" w14:textId="77777777" w:rsidR="00C43C03" w:rsidRDefault="00C43C03" w:rsidP="00C43C03">
            <w:pPr>
              <w:keepLines/>
              <w:spacing w:before="60" w:after="60"/>
            </w:pPr>
            <w:r>
              <w:t>•</w:t>
            </w:r>
            <w:r>
              <w:tab/>
              <w:t xml:space="preserve">import/export </w:t>
            </w:r>
            <w:proofErr w:type="gramStart"/>
            <w:r>
              <w:t>details;</w:t>
            </w:r>
            <w:proofErr w:type="gramEnd"/>
            <w:r>
              <w:t xml:space="preserve"> </w:t>
            </w:r>
          </w:p>
          <w:p w14:paraId="2B1FBA85" w14:textId="77777777" w:rsidR="00C43C03" w:rsidRDefault="00C43C03" w:rsidP="00C43C03">
            <w:pPr>
              <w:keepLines/>
              <w:spacing w:before="60" w:after="60"/>
            </w:pPr>
            <w:r>
              <w:t>•</w:t>
            </w:r>
            <w:r>
              <w:tab/>
              <w:t xml:space="preserve">metering </w:t>
            </w:r>
            <w:proofErr w:type="gramStart"/>
            <w:r>
              <w:t>location;</w:t>
            </w:r>
            <w:proofErr w:type="gramEnd"/>
          </w:p>
          <w:p w14:paraId="7B434C5E" w14:textId="77777777" w:rsidR="00C43C03" w:rsidRDefault="00C43C03" w:rsidP="00C43C03">
            <w:pPr>
              <w:keepLines/>
              <w:spacing w:before="60" w:after="60"/>
            </w:pPr>
            <w:r>
              <w:t>•</w:t>
            </w:r>
            <w:r>
              <w:tab/>
              <w:t>Multi MPAN sites (associated MPANs</w:t>
            </w:r>
            <w:proofErr w:type="gramStart"/>
            <w:r>
              <w:t>);</w:t>
            </w:r>
            <w:proofErr w:type="gramEnd"/>
            <w:r>
              <w:t xml:space="preserve">  </w:t>
            </w:r>
          </w:p>
          <w:p w14:paraId="4C1790F2" w14:textId="5FD599FF" w:rsidR="00C43C03" w:rsidRPr="00C43C03" w:rsidRDefault="00C43C03" w:rsidP="00C43C03">
            <w:pPr>
              <w:pStyle w:val="BodyText"/>
            </w:pPr>
            <w:r>
              <w:t>•</w:t>
            </w:r>
            <w:r>
              <w:tab/>
              <w:t>LV or HV Substation Tariff</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p w14:paraId="58B57A05" w14:textId="77777777" w:rsidR="00C43C03" w:rsidRDefault="00C43C03" w:rsidP="0023069B">
      <w:pPr>
        <w:pStyle w:val="BodyText"/>
        <w:rPr>
          <w:rFonts w:ascii="Calibri" w:hAnsi="Calibri"/>
          <w:sz w:val="22"/>
          <w:szCs w:val="22"/>
        </w:rPr>
      </w:pPr>
    </w:p>
    <w:p w14:paraId="1FAB2C0B" w14:textId="77777777" w:rsidR="00C43C03" w:rsidRDefault="00C43C03" w:rsidP="0023069B">
      <w:pPr>
        <w:pStyle w:val="BodyText"/>
        <w:rPr>
          <w:rFonts w:ascii="Calibri" w:hAnsi="Calibri"/>
          <w:sz w:val="22"/>
          <w:szCs w:val="22"/>
        </w:rPr>
      </w:pPr>
    </w:p>
    <w:p w14:paraId="25AB63BF" w14:textId="77777777" w:rsidR="00C43C03" w:rsidRDefault="00C43C03" w:rsidP="0023069B">
      <w:pPr>
        <w:pStyle w:val="BodyText"/>
        <w:rPr>
          <w:rFonts w:ascii="Calibri" w:hAnsi="Calibri"/>
          <w:sz w:val="22"/>
          <w:szCs w:val="22"/>
        </w:rPr>
      </w:pPr>
    </w:p>
    <w:p w14:paraId="1637DB9D" w14:textId="77777777" w:rsidR="00C43C03" w:rsidRDefault="00C43C03" w:rsidP="0023069B">
      <w:pPr>
        <w:pStyle w:val="BodyText"/>
        <w:rPr>
          <w:rFonts w:ascii="Calibri" w:hAnsi="Calibri"/>
          <w:sz w:val="22"/>
          <w:szCs w:val="22"/>
        </w:rPr>
      </w:pPr>
    </w:p>
    <w:p w14:paraId="6B0DBCA8" w14:textId="77777777" w:rsidR="00C43C03" w:rsidRDefault="00C43C03" w:rsidP="0023069B">
      <w:pPr>
        <w:pStyle w:val="BodyText"/>
        <w:rPr>
          <w:rFonts w:ascii="Calibri" w:hAnsi="Calibri"/>
          <w:sz w:val="22"/>
          <w:szCs w:val="22"/>
        </w:rPr>
      </w:pPr>
    </w:p>
    <w:p w14:paraId="1625DC58" w14:textId="77777777" w:rsidR="00C43C03" w:rsidRDefault="00C43C03" w:rsidP="0023069B">
      <w:pPr>
        <w:pStyle w:val="BodyText"/>
        <w:rPr>
          <w:rFonts w:ascii="Calibri" w:hAnsi="Calibri"/>
          <w:sz w:val="22"/>
          <w:szCs w:val="22"/>
        </w:rPr>
      </w:pPr>
    </w:p>
    <w:p w14:paraId="45FE3E5B" w14:textId="77777777" w:rsidR="00C43C03" w:rsidRDefault="00C43C03" w:rsidP="0023069B">
      <w:pPr>
        <w:pStyle w:val="BodyText"/>
        <w:rPr>
          <w:rFonts w:ascii="Calibri" w:hAnsi="Calibri"/>
          <w:sz w:val="22"/>
          <w:szCs w:val="22"/>
        </w:rPr>
      </w:pPr>
    </w:p>
    <w:p w14:paraId="49EC0223" w14:textId="77777777" w:rsidR="00C43C03" w:rsidRDefault="00C43C03"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C43C03">
        <w:trPr>
          <w:cnfStyle w:val="100000000000" w:firstRow="1" w:lastRow="0" w:firstColumn="0" w:lastColumn="0" w:oddVBand="0" w:evenVBand="0" w:oddHBand="0" w:evenHBand="0" w:firstRowFirstColumn="0" w:firstRowLastColumn="0" w:lastRowFirstColumn="0" w:lastRowLastColumn="0"/>
        </w:trPr>
        <w:tc>
          <w:tcPr>
            <w:tcW w:w="9070" w:type="dxa"/>
          </w:tcPr>
          <w:p w14:paraId="6B10E14F" w14:textId="056A6AC8" w:rsidR="00C43C03" w:rsidRPr="00C43C03" w:rsidRDefault="00C43C03" w:rsidP="00C43C03">
            <w:pPr>
              <w:pStyle w:val="Question"/>
            </w:pPr>
            <w:r w:rsidRPr="00B70747">
              <w:lastRenderedPageBreak/>
              <w:t xml:space="preserve">Please complete the </w:t>
            </w:r>
            <w:r>
              <w:t xml:space="preserve">below </w:t>
            </w:r>
            <w:r w:rsidRPr="00B70747">
              <w:t>table to highlight how many times backdated tariff changes have been made in the last 12-month period.</w:t>
            </w:r>
          </w:p>
        </w:tc>
      </w:tr>
      <w:tr w:rsidR="00A24745" w14:paraId="51C8AA16" w14:textId="77777777" w:rsidTr="00C43C03">
        <w:tc>
          <w:tcPr>
            <w:tcW w:w="9070" w:type="dxa"/>
          </w:tcPr>
          <w:p w14:paraId="5BA2D7D6" w14:textId="77777777" w:rsidR="00C43C03" w:rsidRDefault="00C43C03" w:rsidP="00A24745">
            <w:pPr>
              <w:pStyle w:val="BodyText"/>
            </w:pPr>
          </w:p>
          <w:tbl>
            <w:tblPr>
              <w:tblStyle w:val="TableGrid1"/>
              <w:tblpPr w:leftFromText="180" w:rightFromText="180" w:vertAnchor="text" w:horzAnchor="margin" w:tblpY="-195"/>
              <w:tblOverlap w:val="never"/>
              <w:tblW w:w="8565" w:type="dxa"/>
              <w:tblLayout w:type="fixed"/>
              <w:tblLook w:val="04A0" w:firstRow="1" w:lastRow="0" w:firstColumn="1" w:lastColumn="0" w:noHBand="0" w:noVBand="1"/>
            </w:tblPr>
            <w:tblGrid>
              <w:gridCol w:w="1879"/>
              <w:gridCol w:w="901"/>
              <w:gridCol w:w="1655"/>
              <w:gridCol w:w="1513"/>
              <w:gridCol w:w="1377"/>
              <w:gridCol w:w="1240"/>
            </w:tblGrid>
            <w:tr w:rsidR="00C43C03" w:rsidRPr="007A7BD2" w14:paraId="28B59643" w14:textId="77777777" w:rsidTr="00C43C03">
              <w:tc>
                <w:tcPr>
                  <w:tcW w:w="1879" w:type="dxa"/>
                </w:tcPr>
                <w:p w14:paraId="61C54007" w14:textId="77777777" w:rsidR="00C43C03" w:rsidRDefault="00C43C03" w:rsidP="00C43C03">
                  <w:pPr>
                    <w:pStyle w:val="GSBodyParawithnumb"/>
                    <w:numPr>
                      <w:ilvl w:val="0"/>
                      <w:numId w:val="0"/>
                    </w:numPr>
                    <w:rPr>
                      <w:color w:val="auto"/>
                      <w:sz w:val="20"/>
                      <w:szCs w:val="20"/>
                    </w:rPr>
                  </w:pPr>
                  <w:r>
                    <w:rPr>
                      <w:color w:val="auto"/>
                      <w:sz w:val="20"/>
                      <w:szCs w:val="20"/>
                    </w:rPr>
                    <w:t xml:space="preserve">Period being </w:t>
                  </w:r>
                  <w:proofErr w:type="gramStart"/>
                  <w:r>
                    <w:rPr>
                      <w:color w:val="auto"/>
                      <w:sz w:val="20"/>
                      <w:szCs w:val="20"/>
                    </w:rPr>
                    <w:t>back</w:t>
                  </w:r>
                  <w:proofErr w:type="gramEnd"/>
                  <w:r>
                    <w:rPr>
                      <w:color w:val="auto"/>
                      <w:sz w:val="20"/>
                      <w:szCs w:val="20"/>
                    </w:rPr>
                    <w:t xml:space="preserve">   </w:t>
                  </w:r>
                </w:p>
                <w:p w14:paraId="67363823" w14:textId="77777777" w:rsidR="00C43C03" w:rsidRPr="003C0558" w:rsidRDefault="00C43C03" w:rsidP="00C43C03">
                  <w:pPr>
                    <w:pStyle w:val="GSBodyParawithnumb"/>
                    <w:numPr>
                      <w:ilvl w:val="0"/>
                      <w:numId w:val="0"/>
                    </w:numPr>
                    <w:rPr>
                      <w:color w:val="auto"/>
                      <w:sz w:val="20"/>
                      <w:szCs w:val="20"/>
                      <w:lang w:eastAsia="en-US"/>
                    </w:rPr>
                  </w:pPr>
                  <w:r>
                    <w:rPr>
                      <w:color w:val="auto"/>
                      <w:sz w:val="20"/>
                      <w:szCs w:val="20"/>
                    </w:rPr>
                    <w:t>dated for</w:t>
                  </w:r>
                </w:p>
              </w:tc>
              <w:tc>
                <w:tcPr>
                  <w:tcW w:w="901" w:type="dxa"/>
                </w:tcPr>
                <w:p w14:paraId="261490A0" w14:textId="77777777" w:rsidR="00C43C03" w:rsidRPr="00FD6C41" w:rsidRDefault="00C43C03" w:rsidP="00C43C03">
                  <w:pPr>
                    <w:pStyle w:val="GSBodyParawithnumb"/>
                    <w:numPr>
                      <w:ilvl w:val="0"/>
                      <w:numId w:val="0"/>
                    </w:numPr>
                    <w:rPr>
                      <w:color w:val="auto"/>
                      <w:sz w:val="20"/>
                      <w:szCs w:val="20"/>
                    </w:rPr>
                  </w:pPr>
                  <w:r w:rsidRPr="00FD6C41">
                    <w:rPr>
                      <w:color w:val="auto"/>
                      <w:sz w:val="20"/>
                      <w:szCs w:val="20"/>
                    </w:rPr>
                    <w:t xml:space="preserve">Overall volumes </w:t>
                  </w:r>
                </w:p>
              </w:tc>
              <w:tc>
                <w:tcPr>
                  <w:tcW w:w="1655" w:type="dxa"/>
                </w:tcPr>
                <w:p w14:paraId="7DFD11E7" w14:textId="77777777" w:rsidR="00C43C03" w:rsidRPr="00FD6C41" w:rsidRDefault="00C43C03" w:rsidP="00C43C03">
                  <w:pPr>
                    <w:pStyle w:val="GSBodyParawithnumb"/>
                    <w:numPr>
                      <w:ilvl w:val="0"/>
                      <w:numId w:val="0"/>
                    </w:numPr>
                    <w:rPr>
                      <w:color w:val="auto"/>
                      <w:sz w:val="20"/>
                      <w:szCs w:val="20"/>
                    </w:rPr>
                  </w:pPr>
                  <w:r w:rsidRPr="00FD6C41">
                    <w:rPr>
                      <w:color w:val="auto"/>
                      <w:sz w:val="20"/>
                      <w:szCs w:val="20"/>
                    </w:rPr>
                    <w:t xml:space="preserve">Volume of the voltage of connection from </w:t>
                  </w:r>
                  <w:proofErr w:type="gramStart"/>
                  <w:r w:rsidRPr="00FD6C41">
                    <w:rPr>
                      <w:color w:val="auto"/>
                      <w:sz w:val="20"/>
                      <w:szCs w:val="20"/>
                    </w:rPr>
                    <w:t>LV to LV</w:t>
                  </w:r>
                  <w:proofErr w:type="gramEnd"/>
                  <w:r w:rsidRPr="00FD6C41">
                    <w:rPr>
                      <w:color w:val="auto"/>
                      <w:sz w:val="20"/>
                      <w:szCs w:val="20"/>
                    </w:rPr>
                    <w:t xml:space="preserve"> Sub</w:t>
                  </w:r>
                </w:p>
              </w:tc>
              <w:tc>
                <w:tcPr>
                  <w:tcW w:w="1513" w:type="dxa"/>
                </w:tcPr>
                <w:p w14:paraId="70A4CB91" w14:textId="77777777" w:rsidR="00C43C03" w:rsidRPr="00FD6C41" w:rsidRDefault="00C43C03" w:rsidP="00C43C03">
                  <w:pPr>
                    <w:pStyle w:val="GSBodyParawithnumb"/>
                    <w:numPr>
                      <w:ilvl w:val="0"/>
                      <w:numId w:val="0"/>
                    </w:numPr>
                    <w:rPr>
                      <w:color w:val="auto"/>
                      <w:sz w:val="20"/>
                      <w:szCs w:val="20"/>
                    </w:rPr>
                  </w:pPr>
                  <w:r w:rsidRPr="00FD6C41">
                    <w:rPr>
                      <w:color w:val="auto"/>
                      <w:sz w:val="20"/>
                      <w:szCs w:val="20"/>
                    </w:rPr>
                    <w:t>Volume of HV to LV sub</w:t>
                  </w:r>
                </w:p>
              </w:tc>
              <w:tc>
                <w:tcPr>
                  <w:tcW w:w="1377" w:type="dxa"/>
                </w:tcPr>
                <w:p w14:paraId="7D22753B" w14:textId="77777777" w:rsidR="00C43C03" w:rsidRPr="00FD6C41" w:rsidRDefault="00C43C03" w:rsidP="00C43C03">
                  <w:pPr>
                    <w:pStyle w:val="GSBodyParawithnumb"/>
                    <w:numPr>
                      <w:ilvl w:val="0"/>
                      <w:numId w:val="0"/>
                    </w:numPr>
                    <w:rPr>
                      <w:color w:val="auto"/>
                      <w:sz w:val="20"/>
                      <w:szCs w:val="20"/>
                    </w:rPr>
                  </w:pPr>
                  <w:r w:rsidRPr="00FD6C41">
                    <w:rPr>
                      <w:color w:val="auto"/>
                      <w:sz w:val="20"/>
                      <w:szCs w:val="20"/>
                    </w:rPr>
                    <w:t>Volume HV to LV</w:t>
                  </w:r>
                </w:p>
              </w:tc>
              <w:tc>
                <w:tcPr>
                  <w:tcW w:w="1240" w:type="dxa"/>
                </w:tcPr>
                <w:p w14:paraId="2DF84681" w14:textId="77777777" w:rsidR="00C43C03" w:rsidRPr="00FD6C41" w:rsidRDefault="00C43C03" w:rsidP="00C43C03">
                  <w:pPr>
                    <w:pStyle w:val="GSBodyParawithnumb"/>
                    <w:numPr>
                      <w:ilvl w:val="0"/>
                      <w:numId w:val="0"/>
                    </w:numPr>
                    <w:rPr>
                      <w:color w:val="auto"/>
                      <w:sz w:val="20"/>
                      <w:szCs w:val="20"/>
                    </w:rPr>
                  </w:pPr>
                  <w:r w:rsidRPr="00FD6C41">
                    <w:rPr>
                      <w:color w:val="auto"/>
                      <w:sz w:val="20"/>
                      <w:szCs w:val="20"/>
                    </w:rPr>
                    <w:t>Others</w:t>
                  </w:r>
                </w:p>
              </w:tc>
            </w:tr>
            <w:tr w:rsidR="00C43C03" w:rsidRPr="007A7BD2" w14:paraId="34A68AF7" w14:textId="77777777" w:rsidTr="00C43C03">
              <w:tc>
                <w:tcPr>
                  <w:tcW w:w="1879" w:type="dxa"/>
                </w:tcPr>
                <w:p w14:paraId="5952422F" w14:textId="77777777" w:rsidR="00C43C03" w:rsidRPr="00FD6C41" w:rsidRDefault="00C43C03" w:rsidP="00C43C03">
                  <w:pPr>
                    <w:pStyle w:val="GSBodyParawithnumb"/>
                    <w:numPr>
                      <w:ilvl w:val="0"/>
                      <w:numId w:val="0"/>
                    </w:numPr>
                    <w:rPr>
                      <w:color w:val="auto"/>
                      <w:sz w:val="20"/>
                      <w:szCs w:val="20"/>
                    </w:rPr>
                  </w:pPr>
                  <w:r w:rsidRPr="00FD6C41">
                    <w:rPr>
                      <w:color w:val="auto"/>
                      <w:sz w:val="20"/>
                      <w:szCs w:val="20"/>
                    </w:rPr>
                    <w:t>12-24 months</w:t>
                  </w:r>
                </w:p>
              </w:tc>
              <w:tc>
                <w:tcPr>
                  <w:tcW w:w="901" w:type="dxa"/>
                </w:tcPr>
                <w:p w14:paraId="43C1E79B" w14:textId="77777777" w:rsidR="00C43C03" w:rsidRPr="00FD6C41" w:rsidRDefault="00C43C03" w:rsidP="00C43C03">
                  <w:pPr>
                    <w:pStyle w:val="GSBodyParawithnumb"/>
                    <w:numPr>
                      <w:ilvl w:val="0"/>
                      <w:numId w:val="0"/>
                    </w:numPr>
                    <w:rPr>
                      <w:color w:val="auto"/>
                      <w:sz w:val="20"/>
                      <w:szCs w:val="20"/>
                    </w:rPr>
                  </w:pPr>
                </w:p>
              </w:tc>
              <w:tc>
                <w:tcPr>
                  <w:tcW w:w="1655" w:type="dxa"/>
                </w:tcPr>
                <w:p w14:paraId="00DEF9AF" w14:textId="77777777" w:rsidR="00C43C03" w:rsidRPr="00FD6C41" w:rsidRDefault="00C43C03" w:rsidP="00C43C03">
                  <w:pPr>
                    <w:pStyle w:val="GSBodyParawithnumb"/>
                    <w:numPr>
                      <w:ilvl w:val="0"/>
                      <w:numId w:val="0"/>
                    </w:numPr>
                    <w:rPr>
                      <w:color w:val="auto"/>
                      <w:sz w:val="20"/>
                      <w:szCs w:val="20"/>
                    </w:rPr>
                  </w:pPr>
                </w:p>
              </w:tc>
              <w:tc>
                <w:tcPr>
                  <w:tcW w:w="1513" w:type="dxa"/>
                </w:tcPr>
                <w:p w14:paraId="051D4FEC" w14:textId="77777777" w:rsidR="00C43C03" w:rsidRPr="00FD6C41" w:rsidRDefault="00C43C03" w:rsidP="00C43C03">
                  <w:pPr>
                    <w:pStyle w:val="GSBodyParawithnumb"/>
                    <w:numPr>
                      <w:ilvl w:val="0"/>
                      <w:numId w:val="0"/>
                    </w:numPr>
                    <w:rPr>
                      <w:color w:val="auto"/>
                      <w:sz w:val="20"/>
                      <w:szCs w:val="20"/>
                    </w:rPr>
                  </w:pPr>
                </w:p>
              </w:tc>
              <w:tc>
                <w:tcPr>
                  <w:tcW w:w="1377" w:type="dxa"/>
                </w:tcPr>
                <w:p w14:paraId="508FBDB1" w14:textId="77777777" w:rsidR="00C43C03" w:rsidRPr="00FD6C41" w:rsidRDefault="00C43C03" w:rsidP="00C43C03">
                  <w:pPr>
                    <w:pStyle w:val="GSBodyParawithnumb"/>
                    <w:numPr>
                      <w:ilvl w:val="0"/>
                      <w:numId w:val="0"/>
                    </w:numPr>
                    <w:rPr>
                      <w:color w:val="auto"/>
                      <w:sz w:val="20"/>
                      <w:szCs w:val="20"/>
                    </w:rPr>
                  </w:pPr>
                </w:p>
              </w:tc>
              <w:tc>
                <w:tcPr>
                  <w:tcW w:w="1240" w:type="dxa"/>
                </w:tcPr>
                <w:p w14:paraId="356D140A" w14:textId="77777777" w:rsidR="00C43C03" w:rsidRPr="00FD6C41" w:rsidRDefault="00C43C03" w:rsidP="00C43C03">
                  <w:pPr>
                    <w:pStyle w:val="GSBodyParawithnumb"/>
                    <w:numPr>
                      <w:ilvl w:val="0"/>
                      <w:numId w:val="0"/>
                    </w:numPr>
                    <w:rPr>
                      <w:color w:val="auto"/>
                      <w:sz w:val="20"/>
                      <w:szCs w:val="20"/>
                    </w:rPr>
                  </w:pPr>
                </w:p>
              </w:tc>
            </w:tr>
            <w:tr w:rsidR="00C43C03" w:rsidRPr="007A7BD2" w14:paraId="54D54610" w14:textId="77777777" w:rsidTr="00C43C03">
              <w:tc>
                <w:tcPr>
                  <w:tcW w:w="1879" w:type="dxa"/>
                </w:tcPr>
                <w:p w14:paraId="742DFC92" w14:textId="77777777" w:rsidR="00C43C03" w:rsidRPr="00FD6C41" w:rsidRDefault="00C43C03" w:rsidP="00C43C03">
                  <w:pPr>
                    <w:pStyle w:val="GSBodyParawithnumb"/>
                    <w:numPr>
                      <w:ilvl w:val="0"/>
                      <w:numId w:val="0"/>
                    </w:numPr>
                    <w:rPr>
                      <w:color w:val="auto"/>
                      <w:sz w:val="20"/>
                      <w:szCs w:val="20"/>
                    </w:rPr>
                  </w:pPr>
                  <w:r w:rsidRPr="00FD6C41">
                    <w:rPr>
                      <w:color w:val="auto"/>
                      <w:sz w:val="20"/>
                      <w:szCs w:val="20"/>
                    </w:rPr>
                    <w:t xml:space="preserve">24-36 months </w:t>
                  </w:r>
                </w:p>
              </w:tc>
              <w:tc>
                <w:tcPr>
                  <w:tcW w:w="901" w:type="dxa"/>
                </w:tcPr>
                <w:p w14:paraId="233F5AE3" w14:textId="77777777" w:rsidR="00C43C03" w:rsidRPr="00FD6C41" w:rsidRDefault="00C43C03" w:rsidP="00C43C03">
                  <w:pPr>
                    <w:pStyle w:val="GSBodyParawithnumb"/>
                    <w:numPr>
                      <w:ilvl w:val="0"/>
                      <w:numId w:val="0"/>
                    </w:numPr>
                    <w:rPr>
                      <w:color w:val="auto"/>
                      <w:sz w:val="20"/>
                      <w:szCs w:val="20"/>
                    </w:rPr>
                  </w:pPr>
                </w:p>
              </w:tc>
              <w:tc>
                <w:tcPr>
                  <w:tcW w:w="1655" w:type="dxa"/>
                </w:tcPr>
                <w:p w14:paraId="508E7507" w14:textId="77777777" w:rsidR="00C43C03" w:rsidRPr="00FD6C41" w:rsidRDefault="00C43C03" w:rsidP="00C43C03">
                  <w:pPr>
                    <w:pStyle w:val="GSBodyParawithnumb"/>
                    <w:numPr>
                      <w:ilvl w:val="0"/>
                      <w:numId w:val="0"/>
                    </w:numPr>
                    <w:rPr>
                      <w:color w:val="auto"/>
                      <w:sz w:val="20"/>
                      <w:szCs w:val="20"/>
                    </w:rPr>
                  </w:pPr>
                </w:p>
              </w:tc>
              <w:tc>
                <w:tcPr>
                  <w:tcW w:w="1513" w:type="dxa"/>
                </w:tcPr>
                <w:p w14:paraId="042C8116" w14:textId="77777777" w:rsidR="00C43C03" w:rsidRPr="00FD6C41" w:rsidRDefault="00C43C03" w:rsidP="00C43C03">
                  <w:pPr>
                    <w:pStyle w:val="GSBodyParawithnumb"/>
                    <w:numPr>
                      <w:ilvl w:val="0"/>
                      <w:numId w:val="0"/>
                    </w:numPr>
                    <w:rPr>
                      <w:color w:val="auto"/>
                      <w:sz w:val="20"/>
                      <w:szCs w:val="20"/>
                    </w:rPr>
                  </w:pPr>
                </w:p>
              </w:tc>
              <w:tc>
                <w:tcPr>
                  <w:tcW w:w="1377" w:type="dxa"/>
                </w:tcPr>
                <w:p w14:paraId="3A60DFEA" w14:textId="77777777" w:rsidR="00C43C03" w:rsidRPr="00FD6C41" w:rsidRDefault="00C43C03" w:rsidP="00C43C03">
                  <w:pPr>
                    <w:pStyle w:val="GSBodyParawithnumb"/>
                    <w:numPr>
                      <w:ilvl w:val="0"/>
                      <w:numId w:val="0"/>
                    </w:numPr>
                    <w:rPr>
                      <w:color w:val="auto"/>
                      <w:sz w:val="20"/>
                      <w:szCs w:val="20"/>
                    </w:rPr>
                  </w:pPr>
                </w:p>
              </w:tc>
              <w:tc>
                <w:tcPr>
                  <w:tcW w:w="1240" w:type="dxa"/>
                </w:tcPr>
                <w:p w14:paraId="317AF351" w14:textId="77777777" w:rsidR="00C43C03" w:rsidRPr="00FD6C41" w:rsidRDefault="00C43C03" w:rsidP="00C43C03">
                  <w:pPr>
                    <w:pStyle w:val="GSBodyParawithnumb"/>
                    <w:numPr>
                      <w:ilvl w:val="0"/>
                      <w:numId w:val="0"/>
                    </w:numPr>
                    <w:rPr>
                      <w:color w:val="auto"/>
                      <w:sz w:val="20"/>
                      <w:szCs w:val="20"/>
                    </w:rPr>
                  </w:pPr>
                </w:p>
              </w:tc>
            </w:tr>
            <w:tr w:rsidR="00C43C03" w:rsidRPr="007A7BD2" w14:paraId="2EF7F937" w14:textId="77777777" w:rsidTr="00C43C03">
              <w:tc>
                <w:tcPr>
                  <w:tcW w:w="1879" w:type="dxa"/>
                </w:tcPr>
                <w:p w14:paraId="14EDB346" w14:textId="77777777" w:rsidR="00C43C03" w:rsidRPr="00FD6C41" w:rsidRDefault="00C43C03" w:rsidP="00C43C03">
                  <w:pPr>
                    <w:pStyle w:val="GSBodyParawithnumb"/>
                    <w:numPr>
                      <w:ilvl w:val="0"/>
                      <w:numId w:val="0"/>
                    </w:numPr>
                    <w:rPr>
                      <w:color w:val="auto"/>
                      <w:sz w:val="20"/>
                      <w:szCs w:val="20"/>
                    </w:rPr>
                  </w:pPr>
                  <w:r w:rsidRPr="00FD6C41">
                    <w:rPr>
                      <w:color w:val="auto"/>
                      <w:sz w:val="20"/>
                      <w:szCs w:val="20"/>
                    </w:rPr>
                    <w:t xml:space="preserve">36-48 months </w:t>
                  </w:r>
                </w:p>
              </w:tc>
              <w:tc>
                <w:tcPr>
                  <w:tcW w:w="901" w:type="dxa"/>
                </w:tcPr>
                <w:p w14:paraId="7E0347A3" w14:textId="77777777" w:rsidR="00C43C03" w:rsidRPr="00FD6C41" w:rsidRDefault="00C43C03" w:rsidP="00C43C03">
                  <w:pPr>
                    <w:pStyle w:val="GSBodyParawithnumb"/>
                    <w:numPr>
                      <w:ilvl w:val="0"/>
                      <w:numId w:val="0"/>
                    </w:numPr>
                    <w:rPr>
                      <w:color w:val="auto"/>
                      <w:sz w:val="20"/>
                      <w:szCs w:val="20"/>
                    </w:rPr>
                  </w:pPr>
                </w:p>
              </w:tc>
              <w:tc>
                <w:tcPr>
                  <w:tcW w:w="1655" w:type="dxa"/>
                </w:tcPr>
                <w:p w14:paraId="5EE035CB" w14:textId="77777777" w:rsidR="00C43C03" w:rsidRPr="00FD6C41" w:rsidRDefault="00C43C03" w:rsidP="00C43C03">
                  <w:pPr>
                    <w:pStyle w:val="GSBodyParawithnumb"/>
                    <w:numPr>
                      <w:ilvl w:val="0"/>
                      <w:numId w:val="0"/>
                    </w:numPr>
                    <w:rPr>
                      <w:color w:val="auto"/>
                      <w:sz w:val="20"/>
                      <w:szCs w:val="20"/>
                    </w:rPr>
                  </w:pPr>
                </w:p>
              </w:tc>
              <w:tc>
                <w:tcPr>
                  <w:tcW w:w="1513" w:type="dxa"/>
                </w:tcPr>
                <w:p w14:paraId="5A7C9711" w14:textId="77777777" w:rsidR="00C43C03" w:rsidRPr="00FD6C41" w:rsidRDefault="00C43C03" w:rsidP="00C43C03">
                  <w:pPr>
                    <w:pStyle w:val="GSBodyParawithnumb"/>
                    <w:numPr>
                      <w:ilvl w:val="0"/>
                      <w:numId w:val="0"/>
                    </w:numPr>
                    <w:rPr>
                      <w:color w:val="auto"/>
                      <w:sz w:val="20"/>
                      <w:szCs w:val="20"/>
                    </w:rPr>
                  </w:pPr>
                </w:p>
              </w:tc>
              <w:tc>
                <w:tcPr>
                  <w:tcW w:w="1377" w:type="dxa"/>
                </w:tcPr>
                <w:p w14:paraId="78BC5DB6" w14:textId="77777777" w:rsidR="00C43C03" w:rsidRPr="00FD6C41" w:rsidRDefault="00C43C03" w:rsidP="00C43C03">
                  <w:pPr>
                    <w:pStyle w:val="GSBodyParawithnumb"/>
                    <w:numPr>
                      <w:ilvl w:val="0"/>
                      <w:numId w:val="0"/>
                    </w:numPr>
                    <w:rPr>
                      <w:color w:val="auto"/>
                      <w:sz w:val="20"/>
                      <w:szCs w:val="20"/>
                    </w:rPr>
                  </w:pPr>
                </w:p>
              </w:tc>
              <w:tc>
                <w:tcPr>
                  <w:tcW w:w="1240" w:type="dxa"/>
                </w:tcPr>
                <w:p w14:paraId="6D63F697" w14:textId="77777777" w:rsidR="00C43C03" w:rsidRPr="00FD6C41" w:rsidRDefault="00C43C03" w:rsidP="00C43C03">
                  <w:pPr>
                    <w:pStyle w:val="GSBodyParawithnumb"/>
                    <w:numPr>
                      <w:ilvl w:val="0"/>
                      <w:numId w:val="0"/>
                    </w:numPr>
                    <w:rPr>
                      <w:color w:val="auto"/>
                      <w:sz w:val="20"/>
                      <w:szCs w:val="20"/>
                    </w:rPr>
                  </w:pPr>
                </w:p>
              </w:tc>
            </w:tr>
            <w:tr w:rsidR="00C43C03" w:rsidRPr="007A7BD2" w14:paraId="46CBCACA" w14:textId="77777777" w:rsidTr="00C43C03">
              <w:tc>
                <w:tcPr>
                  <w:tcW w:w="1879" w:type="dxa"/>
                </w:tcPr>
                <w:p w14:paraId="7A207E48" w14:textId="77777777" w:rsidR="00C43C03" w:rsidRPr="00FD6C41" w:rsidRDefault="00C43C03" w:rsidP="00C43C03">
                  <w:pPr>
                    <w:pStyle w:val="GSBodyParawithnumb"/>
                    <w:numPr>
                      <w:ilvl w:val="0"/>
                      <w:numId w:val="0"/>
                    </w:numPr>
                    <w:rPr>
                      <w:color w:val="auto"/>
                      <w:sz w:val="20"/>
                      <w:szCs w:val="20"/>
                    </w:rPr>
                  </w:pPr>
                  <w:r w:rsidRPr="00FD6C41">
                    <w:rPr>
                      <w:color w:val="auto"/>
                      <w:sz w:val="20"/>
                      <w:szCs w:val="20"/>
                    </w:rPr>
                    <w:t>48-60 months</w:t>
                  </w:r>
                </w:p>
              </w:tc>
              <w:tc>
                <w:tcPr>
                  <w:tcW w:w="901" w:type="dxa"/>
                </w:tcPr>
                <w:p w14:paraId="4B997F0D" w14:textId="77777777" w:rsidR="00C43C03" w:rsidRPr="00FD6C41" w:rsidRDefault="00C43C03" w:rsidP="00C43C03">
                  <w:pPr>
                    <w:pStyle w:val="GSBodyParawithnumb"/>
                    <w:numPr>
                      <w:ilvl w:val="0"/>
                      <w:numId w:val="0"/>
                    </w:numPr>
                    <w:rPr>
                      <w:color w:val="auto"/>
                      <w:sz w:val="20"/>
                      <w:szCs w:val="20"/>
                    </w:rPr>
                  </w:pPr>
                </w:p>
              </w:tc>
              <w:tc>
                <w:tcPr>
                  <w:tcW w:w="1655" w:type="dxa"/>
                </w:tcPr>
                <w:p w14:paraId="5AABE8F7" w14:textId="77777777" w:rsidR="00C43C03" w:rsidRPr="00FD6C41" w:rsidRDefault="00C43C03" w:rsidP="00C43C03">
                  <w:pPr>
                    <w:pStyle w:val="GSBodyParawithnumb"/>
                    <w:numPr>
                      <w:ilvl w:val="0"/>
                      <w:numId w:val="0"/>
                    </w:numPr>
                    <w:rPr>
                      <w:color w:val="auto"/>
                      <w:sz w:val="20"/>
                      <w:szCs w:val="20"/>
                    </w:rPr>
                  </w:pPr>
                </w:p>
              </w:tc>
              <w:tc>
                <w:tcPr>
                  <w:tcW w:w="1513" w:type="dxa"/>
                </w:tcPr>
                <w:p w14:paraId="1015445E" w14:textId="77777777" w:rsidR="00C43C03" w:rsidRPr="00FD6C41" w:rsidRDefault="00C43C03" w:rsidP="00C43C03">
                  <w:pPr>
                    <w:pStyle w:val="GSBodyParawithnumb"/>
                    <w:numPr>
                      <w:ilvl w:val="0"/>
                      <w:numId w:val="0"/>
                    </w:numPr>
                    <w:rPr>
                      <w:color w:val="auto"/>
                      <w:sz w:val="20"/>
                      <w:szCs w:val="20"/>
                    </w:rPr>
                  </w:pPr>
                </w:p>
              </w:tc>
              <w:tc>
                <w:tcPr>
                  <w:tcW w:w="1377" w:type="dxa"/>
                </w:tcPr>
                <w:p w14:paraId="1AEC8E90" w14:textId="77777777" w:rsidR="00C43C03" w:rsidRPr="00FD6C41" w:rsidRDefault="00C43C03" w:rsidP="00C43C03">
                  <w:pPr>
                    <w:pStyle w:val="GSBodyParawithnumb"/>
                    <w:numPr>
                      <w:ilvl w:val="0"/>
                      <w:numId w:val="0"/>
                    </w:numPr>
                    <w:rPr>
                      <w:color w:val="auto"/>
                      <w:sz w:val="20"/>
                      <w:szCs w:val="20"/>
                    </w:rPr>
                  </w:pPr>
                </w:p>
              </w:tc>
              <w:tc>
                <w:tcPr>
                  <w:tcW w:w="1240" w:type="dxa"/>
                </w:tcPr>
                <w:p w14:paraId="0025D793" w14:textId="77777777" w:rsidR="00C43C03" w:rsidRPr="00FD6C41" w:rsidRDefault="00C43C03" w:rsidP="00C43C03">
                  <w:pPr>
                    <w:pStyle w:val="GSBodyParawithnumb"/>
                    <w:numPr>
                      <w:ilvl w:val="0"/>
                      <w:numId w:val="0"/>
                    </w:numPr>
                    <w:rPr>
                      <w:color w:val="auto"/>
                      <w:sz w:val="20"/>
                      <w:szCs w:val="20"/>
                    </w:rPr>
                  </w:pPr>
                </w:p>
              </w:tc>
            </w:tr>
            <w:tr w:rsidR="00C43C03" w:rsidRPr="007A7BD2" w14:paraId="70CB5D47" w14:textId="77777777" w:rsidTr="00C43C03">
              <w:tc>
                <w:tcPr>
                  <w:tcW w:w="1879" w:type="dxa"/>
                </w:tcPr>
                <w:p w14:paraId="132F7D8E" w14:textId="77777777" w:rsidR="00C43C03" w:rsidRPr="00FD6C41" w:rsidRDefault="00C43C03" w:rsidP="00C43C03">
                  <w:pPr>
                    <w:pStyle w:val="GSBodyParawithnumb"/>
                    <w:numPr>
                      <w:ilvl w:val="0"/>
                      <w:numId w:val="0"/>
                    </w:numPr>
                    <w:rPr>
                      <w:color w:val="auto"/>
                      <w:sz w:val="20"/>
                      <w:szCs w:val="20"/>
                    </w:rPr>
                  </w:pPr>
                  <w:r w:rsidRPr="00FD6C41">
                    <w:rPr>
                      <w:color w:val="auto"/>
                      <w:sz w:val="20"/>
                      <w:szCs w:val="20"/>
                    </w:rPr>
                    <w:t xml:space="preserve">60-72 months </w:t>
                  </w:r>
                </w:p>
              </w:tc>
              <w:tc>
                <w:tcPr>
                  <w:tcW w:w="901" w:type="dxa"/>
                </w:tcPr>
                <w:p w14:paraId="1FF06E1B" w14:textId="77777777" w:rsidR="00C43C03" w:rsidRPr="00FD6C41" w:rsidRDefault="00C43C03" w:rsidP="00C43C03">
                  <w:pPr>
                    <w:pStyle w:val="GSBodyParawithnumb"/>
                    <w:numPr>
                      <w:ilvl w:val="0"/>
                      <w:numId w:val="0"/>
                    </w:numPr>
                    <w:rPr>
                      <w:color w:val="auto"/>
                      <w:sz w:val="20"/>
                      <w:szCs w:val="20"/>
                    </w:rPr>
                  </w:pPr>
                </w:p>
              </w:tc>
              <w:tc>
                <w:tcPr>
                  <w:tcW w:w="1655" w:type="dxa"/>
                </w:tcPr>
                <w:p w14:paraId="65BCBA27" w14:textId="77777777" w:rsidR="00C43C03" w:rsidRPr="00FD6C41" w:rsidRDefault="00C43C03" w:rsidP="00C43C03">
                  <w:pPr>
                    <w:pStyle w:val="GSBodyParawithnumb"/>
                    <w:numPr>
                      <w:ilvl w:val="0"/>
                      <w:numId w:val="0"/>
                    </w:numPr>
                    <w:rPr>
                      <w:color w:val="auto"/>
                      <w:sz w:val="20"/>
                      <w:szCs w:val="20"/>
                    </w:rPr>
                  </w:pPr>
                </w:p>
              </w:tc>
              <w:tc>
                <w:tcPr>
                  <w:tcW w:w="1513" w:type="dxa"/>
                </w:tcPr>
                <w:p w14:paraId="143E5ACA" w14:textId="77777777" w:rsidR="00C43C03" w:rsidRPr="00FD6C41" w:rsidRDefault="00C43C03" w:rsidP="00C43C03">
                  <w:pPr>
                    <w:pStyle w:val="GSBodyParawithnumb"/>
                    <w:numPr>
                      <w:ilvl w:val="0"/>
                      <w:numId w:val="0"/>
                    </w:numPr>
                    <w:rPr>
                      <w:color w:val="auto"/>
                      <w:sz w:val="20"/>
                      <w:szCs w:val="20"/>
                    </w:rPr>
                  </w:pPr>
                </w:p>
              </w:tc>
              <w:tc>
                <w:tcPr>
                  <w:tcW w:w="1377" w:type="dxa"/>
                </w:tcPr>
                <w:p w14:paraId="372DAB16" w14:textId="77777777" w:rsidR="00C43C03" w:rsidRPr="00FD6C41" w:rsidRDefault="00C43C03" w:rsidP="00C43C03">
                  <w:pPr>
                    <w:pStyle w:val="GSBodyParawithnumb"/>
                    <w:numPr>
                      <w:ilvl w:val="0"/>
                      <w:numId w:val="0"/>
                    </w:numPr>
                    <w:rPr>
                      <w:color w:val="auto"/>
                      <w:sz w:val="20"/>
                      <w:szCs w:val="20"/>
                    </w:rPr>
                  </w:pPr>
                </w:p>
              </w:tc>
              <w:tc>
                <w:tcPr>
                  <w:tcW w:w="1240" w:type="dxa"/>
                </w:tcPr>
                <w:p w14:paraId="6E092B34" w14:textId="77777777" w:rsidR="00C43C03" w:rsidRPr="00FD6C41" w:rsidRDefault="00C43C03" w:rsidP="00C43C03">
                  <w:pPr>
                    <w:pStyle w:val="GSBodyParawithnumb"/>
                    <w:numPr>
                      <w:ilvl w:val="0"/>
                      <w:numId w:val="0"/>
                    </w:numPr>
                    <w:rPr>
                      <w:color w:val="auto"/>
                      <w:sz w:val="20"/>
                      <w:szCs w:val="20"/>
                    </w:rPr>
                  </w:pPr>
                </w:p>
              </w:tc>
            </w:tr>
            <w:tr w:rsidR="00C43C03" w:rsidRPr="007A7BD2" w14:paraId="694B0A6E" w14:textId="77777777" w:rsidTr="00C43C03">
              <w:trPr>
                <w:trHeight w:val="31"/>
              </w:trPr>
              <w:tc>
                <w:tcPr>
                  <w:tcW w:w="1879" w:type="dxa"/>
                </w:tcPr>
                <w:p w14:paraId="44C66281" w14:textId="77777777" w:rsidR="00C43C03" w:rsidRPr="00FD6C41" w:rsidRDefault="00C43C03" w:rsidP="00C43C03">
                  <w:pPr>
                    <w:pStyle w:val="GSBodyParawithnumb"/>
                    <w:numPr>
                      <w:ilvl w:val="0"/>
                      <w:numId w:val="0"/>
                    </w:numPr>
                    <w:rPr>
                      <w:color w:val="auto"/>
                      <w:sz w:val="20"/>
                      <w:szCs w:val="20"/>
                    </w:rPr>
                  </w:pPr>
                  <w:r w:rsidRPr="00FD6C41">
                    <w:rPr>
                      <w:color w:val="auto"/>
                      <w:sz w:val="20"/>
                      <w:szCs w:val="20"/>
                    </w:rPr>
                    <w:t xml:space="preserve">72 and above </w:t>
                  </w:r>
                </w:p>
              </w:tc>
              <w:tc>
                <w:tcPr>
                  <w:tcW w:w="901" w:type="dxa"/>
                </w:tcPr>
                <w:p w14:paraId="09BDD67E" w14:textId="77777777" w:rsidR="00C43C03" w:rsidRPr="00FD6C41" w:rsidRDefault="00C43C03" w:rsidP="00C43C03">
                  <w:pPr>
                    <w:pStyle w:val="GSBodyParawithnumb"/>
                    <w:numPr>
                      <w:ilvl w:val="0"/>
                      <w:numId w:val="0"/>
                    </w:numPr>
                    <w:rPr>
                      <w:color w:val="auto"/>
                      <w:sz w:val="20"/>
                      <w:szCs w:val="20"/>
                    </w:rPr>
                  </w:pPr>
                </w:p>
              </w:tc>
              <w:tc>
                <w:tcPr>
                  <w:tcW w:w="1655" w:type="dxa"/>
                </w:tcPr>
                <w:p w14:paraId="52DA5B44" w14:textId="77777777" w:rsidR="00C43C03" w:rsidRPr="00FD6C41" w:rsidRDefault="00C43C03" w:rsidP="00C43C03">
                  <w:pPr>
                    <w:pStyle w:val="GSBodyParawithnumb"/>
                    <w:numPr>
                      <w:ilvl w:val="0"/>
                      <w:numId w:val="0"/>
                    </w:numPr>
                    <w:rPr>
                      <w:color w:val="auto"/>
                      <w:sz w:val="20"/>
                      <w:szCs w:val="20"/>
                    </w:rPr>
                  </w:pPr>
                </w:p>
              </w:tc>
              <w:tc>
                <w:tcPr>
                  <w:tcW w:w="1513" w:type="dxa"/>
                </w:tcPr>
                <w:p w14:paraId="1DEC2216" w14:textId="77777777" w:rsidR="00C43C03" w:rsidRPr="00FD6C41" w:rsidRDefault="00C43C03" w:rsidP="00C43C03">
                  <w:pPr>
                    <w:pStyle w:val="GSBodyParawithnumb"/>
                    <w:numPr>
                      <w:ilvl w:val="0"/>
                      <w:numId w:val="0"/>
                    </w:numPr>
                    <w:rPr>
                      <w:color w:val="auto"/>
                      <w:sz w:val="20"/>
                      <w:szCs w:val="20"/>
                    </w:rPr>
                  </w:pPr>
                </w:p>
              </w:tc>
              <w:tc>
                <w:tcPr>
                  <w:tcW w:w="1377" w:type="dxa"/>
                </w:tcPr>
                <w:p w14:paraId="06E46C6E" w14:textId="77777777" w:rsidR="00C43C03" w:rsidRPr="00FD6C41" w:rsidRDefault="00C43C03" w:rsidP="00C43C03">
                  <w:pPr>
                    <w:pStyle w:val="GSBodyParawithnumb"/>
                    <w:numPr>
                      <w:ilvl w:val="0"/>
                      <w:numId w:val="0"/>
                    </w:numPr>
                    <w:rPr>
                      <w:color w:val="auto"/>
                      <w:sz w:val="20"/>
                      <w:szCs w:val="20"/>
                    </w:rPr>
                  </w:pPr>
                </w:p>
              </w:tc>
              <w:tc>
                <w:tcPr>
                  <w:tcW w:w="1240" w:type="dxa"/>
                </w:tcPr>
                <w:p w14:paraId="0420618D" w14:textId="77777777" w:rsidR="00C43C03" w:rsidRPr="00FD6C41" w:rsidRDefault="00C43C03" w:rsidP="00C43C03">
                  <w:pPr>
                    <w:pStyle w:val="GSBodyParawithnumb"/>
                    <w:numPr>
                      <w:ilvl w:val="0"/>
                      <w:numId w:val="0"/>
                    </w:numPr>
                    <w:rPr>
                      <w:color w:val="auto"/>
                      <w:sz w:val="20"/>
                      <w:szCs w:val="20"/>
                    </w:rPr>
                  </w:pPr>
                </w:p>
              </w:tc>
            </w:tr>
          </w:tbl>
          <w:p w14:paraId="057417FB" w14:textId="20787982" w:rsidR="00C43C03" w:rsidRDefault="00C43C03" w:rsidP="00A24745">
            <w:pPr>
              <w:pStyle w:val="BodyText"/>
            </w:pPr>
          </w:p>
        </w:tc>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C1379" w14:paraId="6D2F5A8E" w14:textId="77777777" w:rsidTr="006E00FE">
        <w:trPr>
          <w:cnfStyle w:val="100000000000" w:firstRow="1" w:lastRow="0" w:firstColumn="0" w:lastColumn="0" w:oddVBand="0" w:evenVBand="0" w:oddHBand="0" w:evenHBand="0" w:firstRowFirstColumn="0" w:firstRowLastColumn="0" w:lastRowFirstColumn="0" w:lastRowLastColumn="0"/>
        </w:trPr>
        <w:tc>
          <w:tcPr>
            <w:tcW w:w="9287" w:type="dxa"/>
          </w:tcPr>
          <w:p w14:paraId="258B5457" w14:textId="7EB3255A" w:rsidR="00BC1379" w:rsidRDefault="00C43C03" w:rsidP="006E00FE">
            <w:pPr>
              <w:pStyle w:val="Question"/>
            </w:pPr>
            <w:r w:rsidRPr="00B70747">
              <w:t>Where you have volume in the ‘Other’ column, please expand on these scenarios.</w:t>
            </w:r>
          </w:p>
        </w:tc>
      </w:tr>
      <w:tr w:rsidR="00BC1379" w14:paraId="602ACA56" w14:textId="77777777" w:rsidTr="006E00FE">
        <w:sdt>
          <w:sdtPr>
            <w:tag w:val="dcusa_response2"/>
            <w:id w:val="1106308938"/>
            <w:placeholder>
              <w:docPart w:val="A0C9DFFACEF74664AFBAFD7A3EA2381E"/>
            </w:placeholder>
            <w:showingPlcHdr/>
          </w:sdtPr>
          <w:sdtEndPr/>
          <w:sdtContent>
            <w:tc>
              <w:tcPr>
                <w:tcW w:w="9287" w:type="dxa"/>
              </w:tcPr>
              <w:p w14:paraId="4CB1E854" w14:textId="77777777" w:rsidR="00BC1379" w:rsidRDefault="00BC1379" w:rsidP="006E00FE">
                <w:pPr>
                  <w:pStyle w:val="BodyText"/>
                </w:pPr>
                <w:r w:rsidRPr="00A65385">
                  <w:rPr>
                    <w:rStyle w:val="PlaceholderText"/>
                  </w:rPr>
                  <w:t>Click or tap here to enter text.</w:t>
                </w:r>
              </w:p>
            </w:tc>
          </w:sdtContent>
        </w:sdt>
      </w:tr>
    </w:tbl>
    <w:p w14:paraId="304D4FBB" w14:textId="77777777" w:rsidR="00BC1379" w:rsidRDefault="00BC1379"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43C03" w14:paraId="3AE8D249" w14:textId="77777777" w:rsidTr="00053CF8">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2CF7D666" w14:textId="6DB1E823" w:rsidR="00C43C03" w:rsidRDefault="00C43C03" w:rsidP="00C43C03">
            <w:pPr>
              <w:pStyle w:val="Question"/>
            </w:pPr>
            <w:r w:rsidRPr="00B70747">
              <w:t>What are the root causes of backdating tariffs beyond 14 months?</w:t>
            </w:r>
          </w:p>
        </w:tc>
      </w:tr>
      <w:tr w:rsidR="00C43C03" w14:paraId="48EE88FF" w14:textId="77777777" w:rsidTr="00053CF8">
        <w:sdt>
          <w:sdtPr>
            <w:tag w:val="dcusa_response2"/>
            <w:id w:val="319164678"/>
            <w:placeholder>
              <w:docPart w:val="4439528A3F744F1D9764CAED2F7FF245"/>
            </w:placeholder>
            <w:showingPlcHdr/>
          </w:sdtPr>
          <w:sdtContent>
            <w:tc>
              <w:tcPr>
                <w:tcW w:w="9070" w:type="dxa"/>
              </w:tcPr>
              <w:p w14:paraId="10D7FC16" w14:textId="77777777" w:rsidR="00C43C03" w:rsidRDefault="00C43C03" w:rsidP="00C43C03">
                <w:pPr>
                  <w:pStyle w:val="BodyText"/>
                </w:pPr>
                <w:r w:rsidRPr="00A65385">
                  <w:rPr>
                    <w:rStyle w:val="PlaceholderText"/>
                  </w:rPr>
                  <w:t>Click or tap here to enter text.</w:t>
                </w:r>
              </w:p>
            </w:tc>
          </w:sdtContent>
        </w:sdt>
      </w:tr>
    </w:tbl>
    <w:p w14:paraId="4B0B3F2B" w14:textId="77777777" w:rsidR="00723ADF" w:rsidRDefault="00723AD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B3780" w14:paraId="27C1D671" w14:textId="77777777" w:rsidTr="00CB3780">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39B67561" w14:textId="5AE57F5F" w:rsidR="00CB3780" w:rsidRDefault="00C43C03" w:rsidP="00CB3780">
            <w:pPr>
              <w:pStyle w:val="Question"/>
            </w:pPr>
            <w:r w:rsidRPr="00B70747">
              <w:t>What are the perceived system limitations you may have in backdating beyond 14 months? Does this change after MHHS?</w:t>
            </w:r>
          </w:p>
        </w:tc>
      </w:tr>
      <w:tr w:rsidR="00CB3780" w14:paraId="5B501C7A" w14:textId="77777777" w:rsidTr="00CB3780">
        <w:sdt>
          <w:sdtPr>
            <w:tag w:val="dcusa_response2"/>
            <w:id w:val="-1821418024"/>
            <w:placeholder>
              <w:docPart w:val="74B2590460E241568673C295F4ACC532"/>
            </w:placeholder>
            <w:showingPlcHdr/>
          </w:sdtPr>
          <w:sdtEndPr/>
          <w:sdtContent>
            <w:tc>
              <w:tcPr>
                <w:tcW w:w="9070" w:type="dxa"/>
              </w:tcPr>
              <w:p w14:paraId="524C7C79" w14:textId="77777777" w:rsidR="00CB3780" w:rsidRDefault="00CB3780" w:rsidP="00CB3780">
                <w:pPr>
                  <w:pStyle w:val="BodyText"/>
                </w:pPr>
                <w:r w:rsidRPr="00A65385">
                  <w:rPr>
                    <w:rStyle w:val="PlaceholderText"/>
                  </w:rPr>
                  <w:t>Click or tap here to enter text.</w:t>
                </w:r>
              </w:p>
            </w:tc>
          </w:sdtContent>
        </w:sdt>
      </w:tr>
    </w:tbl>
    <w:p w14:paraId="683B65A9" w14:textId="77777777" w:rsidR="00C36FDD" w:rsidRDefault="00C36FD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36FDD" w14:paraId="74DC0366" w14:textId="77777777" w:rsidTr="006E00FE">
        <w:trPr>
          <w:cnfStyle w:val="100000000000" w:firstRow="1" w:lastRow="0" w:firstColumn="0" w:lastColumn="0" w:oddVBand="0" w:evenVBand="0" w:oddHBand="0" w:evenHBand="0" w:firstRowFirstColumn="0" w:firstRowLastColumn="0" w:lastRowFirstColumn="0" w:lastRowLastColumn="0"/>
        </w:trPr>
        <w:tc>
          <w:tcPr>
            <w:tcW w:w="9287" w:type="dxa"/>
          </w:tcPr>
          <w:p w14:paraId="00591735" w14:textId="2EAE374C" w:rsidR="00C36FDD" w:rsidRDefault="00C43C03" w:rsidP="006E00FE">
            <w:pPr>
              <w:pStyle w:val="Question"/>
            </w:pPr>
            <w:r>
              <w:t>Do you have any other comments?</w:t>
            </w:r>
          </w:p>
        </w:tc>
      </w:tr>
      <w:tr w:rsidR="00C36FDD" w14:paraId="115CB8CE" w14:textId="77777777" w:rsidTr="006E00FE">
        <w:sdt>
          <w:sdtPr>
            <w:tag w:val="dcusa_response2"/>
            <w:id w:val="537794847"/>
            <w:placeholder>
              <w:docPart w:val="7DE18E90158F460996A379367E778230"/>
            </w:placeholder>
            <w:showingPlcHdr/>
          </w:sdtPr>
          <w:sdtEndPr/>
          <w:sdtContent>
            <w:tc>
              <w:tcPr>
                <w:tcW w:w="9287" w:type="dxa"/>
              </w:tcPr>
              <w:p w14:paraId="377B5445" w14:textId="77777777" w:rsidR="00C36FDD" w:rsidRDefault="00C36FDD" w:rsidP="006E00FE">
                <w:pPr>
                  <w:pStyle w:val="BodyText"/>
                </w:pPr>
                <w:r w:rsidRPr="00A65385">
                  <w:rPr>
                    <w:rStyle w:val="PlaceholderText"/>
                  </w:rPr>
                  <w:t>Click or tap here to enter text.</w:t>
                </w:r>
              </w:p>
            </w:tc>
          </w:sdtContent>
        </w:sdt>
      </w:tr>
    </w:tbl>
    <w:p w14:paraId="411959D5" w14:textId="77777777" w:rsidR="008E464D" w:rsidRDefault="008E464D" w:rsidP="0023069B">
      <w:pPr>
        <w:pStyle w:val="BodyText"/>
        <w:rPr>
          <w:rFonts w:ascii="Calibri" w:hAnsi="Calibri"/>
          <w:sz w:val="22"/>
          <w:szCs w:val="22"/>
        </w:rPr>
      </w:pPr>
    </w:p>
    <w:p w14:paraId="55C41F97" w14:textId="77777777" w:rsidR="008E464D" w:rsidRDefault="008E464D" w:rsidP="0023069B">
      <w:pPr>
        <w:pStyle w:val="BodyText"/>
        <w:rPr>
          <w:rFonts w:ascii="Calibri" w:hAnsi="Calibri"/>
          <w:sz w:val="22"/>
          <w:szCs w:val="22"/>
        </w:rPr>
      </w:pPr>
    </w:p>
    <w:sectPr w:rsidR="008E464D"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18D7D" w14:textId="77777777" w:rsidR="0070430C" w:rsidRDefault="0070430C" w:rsidP="00FD00A2">
      <w:r>
        <w:separator/>
      </w:r>
    </w:p>
  </w:endnote>
  <w:endnote w:type="continuationSeparator" w:id="0">
    <w:p w14:paraId="1E54ED05" w14:textId="77777777" w:rsidR="0070430C" w:rsidRDefault="0070430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F2AF2" w14:textId="77777777" w:rsidR="0070430C" w:rsidRDefault="0070430C" w:rsidP="00FD00A2">
      <w:r>
        <w:separator/>
      </w:r>
    </w:p>
  </w:footnote>
  <w:footnote w:type="continuationSeparator" w:id="0">
    <w:p w14:paraId="6DE78F95" w14:textId="77777777" w:rsidR="0070430C" w:rsidRDefault="0070430C"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proofErr w:type="gramStart"/>
      <w:r w:rsidRPr="00FB3F3A">
        <w:rPr>
          <w:rFonts w:ascii="Calibri" w:hAnsi="Calibri"/>
        </w:rPr>
        <w:t>party</w:t>
      </w:r>
      <w:proofErr w:type="gramEnd"/>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3113268A" w:rsidR="00FD00A2" w:rsidRPr="00FB3F3A" w:rsidRDefault="001F2288">
    <w:pPr>
      <w:pStyle w:val="Header"/>
      <w:rPr>
        <w:rFonts w:ascii="Calibri" w:hAnsi="Calibri"/>
      </w:rPr>
    </w:pPr>
    <w:r w:rsidRPr="00FB3F3A">
      <w:rPr>
        <w:rFonts w:ascii="Calibri" w:hAnsi="Calibri"/>
      </w:rPr>
      <w:t xml:space="preserve">DCUSA </w:t>
    </w:r>
    <w:r w:rsidR="00C43C03">
      <w:rPr>
        <w:rFonts w:ascii="Calibri" w:hAnsi="Calibri"/>
      </w:rPr>
      <w:t>RFI</w:t>
    </w:r>
    <w:r w:rsidR="00FD00A2" w:rsidRPr="00FB3F3A">
      <w:rPr>
        <w:rFonts w:ascii="Calibri" w:hAnsi="Calibri"/>
      </w:rPr>
      <w:tab/>
    </w:r>
    <w:r w:rsidR="002627D6">
      <w:rPr>
        <w:rFonts w:ascii="Calibri" w:hAnsi="Calibri"/>
      </w:rPr>
      <w:t xml:space="preserve">DCP </w:t>
    </w:r>
    <w:r w:rsidR="00131E11">
      <w:rPr>
        <w:rFonts w:ascii="Calibri" w:hAnsi="Calibri"/>
      </w:rPr>
      <w:t>4</w:t>
    </w:r>
    <w:r w:rsidR="00C43C03">
      <w:rPr>
        <w:rFonts w:ascii="Calibri" w:hAnsi="Calibri"/>
      </w:rPr>
      <w:t>39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C6B4190"/>
    <w:multiLevelType w:val="hybridMultilevel"/>
    <w:tmpl w:val="CCC2D7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A210585"/>
    <w:multiLevelType w:val="multilevel"/>
    <w:tmpl w:val="8304C6A6"/>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709"/>
        </w:tabs>
        <w:ind w:left="709" w:hanging="567"/>
      </w:pPr>
      <w:rPr>
        <w:rFonts w:ascii="Calibri" w:hAnsi="Calibri" w:cs="Calibri" w:hint="default"/>
        <w:b w:val="0"/>
        <w:sz w:val="22"/>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2082632113">
    <w:abstractNumId w:val="10"/>
  </w:num>
  <w:num w:numId="2" w16cid:durableId="1976443881">
    <w:abstractNumId w:val="5"/>
  </w:num>
  <w:num w:numId="3" w16cid:durableId="2020816508">
    <w:abstractNumId w:val="10"/>
  </w:num>
  <w:num w:numId="4" w16cid:durableId="2129930717">
    <w:abstractNumId w:val="3"/>
  </w:num>
  <w:num w:numId="5" w16cid:durableId="1109009051">
    <w:abstractNumId w:val="10"/>
  </w:num>
  <w:num w:numId="6" w16cid:durableId="1349914420">
    <w:abstractNumId w:val="2"/>
  </w:num>
  <w:num w:numId="7" w16cid:durableId="39596718">
    <w:abstractNumId w:val="10"/>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9"/>
  </w:num>
  <w:num w:numId="20" w16cid:durableId="523598027">
    <w:abstractNumId w:val="11"/>
  </w:num>
  <w:num w:numId="21" w16cid:durableId="15924727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2B87"/>
    <w:rsid w:val="00037511"/>
    <w:rsid w:val="000436E1"/>
    <w:rsid w:val="0005157A"/>
    <w:rsid w:val="00053CF8"/>
    <w:rsid w:val="00075722"/>
    <w:rsid w:val="00077D80"/>
    <w:rsid w:val="00085B2B"/>
    <w:rsid w:val="000A07CD"/>
    <w:rsid w:val="000E093A"/>
    <w:rsid w:val="000E4352"/>
    <w:rsid w:val="000E5BE0"/>
    <w:rsid w:val="000E7F8D"/>
    <w:rsid w:val="00131E11"/>
    <w:rsid w:val="00134AF7"/>
    <w:rsid w:val="0016250F"/>
    <w:rsid w:val="0017643B"/>
    <w:rsid w:val="001A43B1"/>
    <w:rsid w:val="001A50B6"/>
    <w:rsid w:val="001E03C5"/>
    <w:rsid w:val="001F2288"/>
    <w:rsid w:val="00205D8C"/>
    <w:rsid w:val="00207615"/>
    <w:rsid w:val="00216063"/>
    <w:rsid w:val="0021646F"/>
    <w:rsid w:val="00223DF1"/>
    <w:rsid w:val="00224666"/>
    <w:rsid w:val="002268B8"/>
    <w:rsid w:val="0023069B"/>
    <w:rsid w:val="002627D6"/>
    <w:rsid w:val="002666CE"/>
    <w:rsid w:val="00286C26"/>
    <w:rsid w:val="00292EF4"/>
    <w:rsid w:val="002B61A0"/>
    <w:rsid w:val="002C24F0"/>
    <w:rsid w:val="003046B3"/>
    <w:rsid w:val="0031153A"/>
    <w:rsid w:val="0031278B"/>
    <w:rsid w:val="00315909"/>
    <w:rsid w:val="00316A12"/>
    <w:rsid w:val="00335326"/>
    <w:rsid w:val="0033732C"/>
    <w:rsid w:val="00355B93"/>
    <w:rsid w:val="003A64EF"/>
    <w:rsid w:val="003D5FCA"/>
    <w:rsid w:val="004012BD"/>
    <w:rsid w:val="0040580C"/>
    <w:rsid w:val="00410907"/>
    <w:rsid w:val="00421DAC"/>
    <w:rsid w:val="00471BA1"/>
    <w:rsid w:val="004D6571"/>
    <w:rsid w:val="004E13AE"/>
    <w:rsid w:val="004F1F52"/>
    <w:rsid w:val="004F2FDB"/>
    <w:rsid w:val="0051226B"/>
    <w:rsid w:val="00521567"/>
    <w:rsid w:val="0053310E"/>
    <w:rsid w:val="00554409"/>
    <w:rsid w:val="005711CC"/>
    <w:rsid w:val="005E79A2"/>
    <w:rsid w:val="005F64FC"/>
    <w:rsid w:val="00640355"/>
    <w:rsid w:val="00650C93"/>
    <w:rsid w:val="00654C8B"/>
    <w:rsid w:val="00661185"/>
    <w:rsid w:val="006742DD"/>
    <w:rsid w:val="00682E90"/>
    <w:rsid w:val="006861F3"/>
    <w:rsid w:val="0068743F"/>
    <w:rsid w:val="006A6FAA"/>
    <w:rsid w:val="006D305C"/>
    <w:rsid w:val="006F2D9B"/>
    <w:rsid w:val="0070430C"/>
    <w:rsid w:val="00711B18"/>
    <w:rsid w:val="00723ADF"/>
    <w:rsid w:val="00727330"/>
    <w:rsid w:val="00730ED7"/>
    <w:rsid w:val="00735080"/>
    <w:rsid w:val="007361B2"/>
    <w:rsid w:val="00746656"/>
    <w:rsid w:val="00754A3D"/>
    <w:rsid w:val="0075624B"/>
    <w:rsid w:val="007631AA"/>
    <w:rsid w:val="0076726D"/>
    <w:rsid w:val="0079775D"/>
    <w:rsid w:val="007B32CC"/>
    <w:rsid w:val="007D46BF"/>
    <w:rsid w:val="00837D3D"/>
    <w:rsid w:val="008630F7"/>
    <w:rsid w:val="0087012C"/>
    <w:rsid w:val="00884177"/>
    <w:rsid w:val="008D01AD"/>
    <w:rsid w:val="008E464D"/>
    <w:rsid w:val="008F22A5"/>
    <w:rsid w:val="008F5047"/>
    <w:rsid w:val="00900A70"/>
    <w:rsid w:val="00907550"/>
    <w:rsid w:val="009152D7"/>
    <w:rsid w:val="00963A66"/>
    <w:rsid w:val="00994CC8"/>
    <w:rsid w:val="009976A3"/>
    <w:rsid w:val="009A25C8"/>
    <w:rsid w:val="009A3EA3"/>
    <w:rsid w:val="009B02DB"/>
    <w:rsid w:val="009D4D7B"/>
    <w:rsid w:val="009E258C"/>
    <w:rsid w:val="009F1AFC"/>
    <w:rsid w:val="00A14546"/>
    <w:rsid w:val="00A24745"/>
    <w:rsid w:val="00A57EE3"/>
    <w:rsid w:val="00A817E9"/>
    <w:rsid w:val="00A823C1"/>
    <w:rsid w:val="00A828F0"/>
    <w:rsid w:val="00AC6DB4"/>
    <w:rsid w:val="00AD1FEE"/>
    <w:rsid w:val="00AE5850"/>
    <w:rsid w:val="00B10C7A"/>
    <w:rsid w:val="00B14ED8"/>
    <w:rsid w:val="00B1784A"/>
    <w:rsid w:val="00B41724"/>
    <w:rsid w:val="00B42F5F"/>
    <w:rsid w:val="00B915CE"/>
    <w:rsid w:val="00BC1379"/>
    <w:rsid w:val="00BD083F"/>
    <w:rsid w:val="00BE3433"/>
    <w:rsid w:val="00BF5358"/>
    <w:rsid w:val="00C01797"/>
    <w:rsid w:val="00C175A3"/>
    <w:rsid w:val="00C22DD1"/>
    <w:rsid w:val="00C261EB"/>
    <w:rsid w:val="00C36FDD"/>
    <w:rsid w:val="00C43C03"/>
    <w:rsid w:val="00C73EA1"/>
    <w:rsid w:val="00C8282E"/>
    <w:rsid w:val="00C83505"/>
    <w:rsid w:val="00C8482C"/>
    <w:rsid w:val="00C87CE5"/>
    <w:rsid w:val="00CB3780"/>
    <w:rsid w:val="00CC26DD"/>
    <w:rsid w:val="00CE497A"/>
    <w:rsid w:val="00D12A6B"/>
    <w:rsid w:val="00D178FD"/>
    <w:rsid w:val="00D21B11"/>
    <w:rsid w:val="00D36281"/>
    <w:rsid w:val="00D546B2"/>
    <w:rsid w:val="00D80D09"/>
    <w:rsid w:val="00D92AD1"/>
    <w:rsid w:val="00DA3CA7"/>
    <w:rsid w:val="00DB3EF9"/>
    <w:rsid w:val="00E002A6"/>
    <w:rsid w:val="00E179EB"/>
    <w:rsid w:val="00E33FFC"/>
    <w:rsid w:val="00E36481"/>
    <w:rsid w:val="00E447B8"/>
    <w:rsid w:val="00E45269"/>
    <w:rsid w:val="00E52B84"/>
    <w:rsid w:val="00E52D42"/>
    <w:rsid w:val="00E601AB"/>
    <w:rsid w:val="00E968FB"/>
    <w:rsid w:val="00ED1F8A"/>
    <w:rsid w:val="00EE2CEA"/>
    <w:rsid w:val="00F10163"/>
    <w:rsid w:val="00F46E31"/>
    <w:rsid w:val="00FA65EA"/>
    <w:rsid w:val="00FB3F3A"/>
    <w:rsid w:val="00FB61D5"/>
    <w:rsid w:val="00FC722D"/>
    <w:rsid w:val="00FD00A2"/>
    <w:rsid w:val="00FD67A5"/>
    <w:rsid w:val="00FD6CB9"/>
    <w:rsid w:val="00FF77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 w:type="paragraph" w:customStyle="1" w:styleId="Heading01">
    <w:name w:val="Heading 01"/>
    <w:basedOn w:val="Heading1"/>
    <w:next w:val="Normal"/>
    <w:qFormat/>
    <w:rsid w:val="00C43C03"/>
    <w:pPr>
      <w:keepLines w:val="0"/>
      <w:pBdr>
        <w:top w:val="single" w:sz="48" w:space="1" w:color="00B274"/>
        <w:left w:val="single" w:sz="48" w:space="4" w:color="00B274"/>
        <w:bottom w:val="single" w:sz="48" w:space="1" w:color="00B274"/>
        <w:right w:val="single" w:sz="48" w:space="4" w:color="00B274"/>
      </w:pBdr>
      <w:shd w:val="clear" w:color="auto" w:fill="00B274"/>
      <w:spacing w:before="360" w:after="120"/>
      <w:ind w:right="57"/>
    </w:pPr>
    <w:rPr>
      <w:rFonts w:ascii="Arial" w:eastAsia="Times New Roman" w:hAnsi="Arial" w:cs="Arial"/>
      <w:b/>
      <w:bCs/>
      <w:iCs/>
      <w:color w:val="FFFFFF"/>
      <w:kern w:val="32"/>
      <w:lang w:eastAsia="en-GB"/>
    </w:rPr>
  </w:style>
  <w:style w:type="table" w:customStyle="1" w:styleId="TableGrid1">
    <w:name w:val="Table Grid1"/>
    <w:basedOn w:val="TableNormal"/>
    <w:next w:val="TableGrid"/>
    <w:uiPriority w:val="59"/>
    <w:rsid w:val="00C43C03"/>
    <w:pPr>
      <w:spacing w:line="300" w:lineRule="atLeast"/>
    </w:pPr>
    <w:rPr>
      <w:rFonts w:eastAsia="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BodyParawithnumb">
    <w:name w:val="GS Body Para with numb"/>
    <w:basedOn w:val="Normal"/>
    <w:link w:val="GSBodyParawithnumbChar"/>
    <w:qFormat/>
    <w:rsid w:val="00C43C03"/>
    <w:pPr>
      <w:numPr>
        <w:ilvl w:val="1"/>
        <w:numId w:val="21"/>
      </w:numPr>
      <w:spacing w:before="120" w:after="120" w:line="276" w:lineRule="auto"/>
      <w:jc w:val="both"/>
      <w:outlineLvl w:val="1"/>
    </w:pPr>
    <w:rPr>
      <w:rFonts w:ascii="Calibri" w:hAnsi="Calibri" w:cs="Arial"/>
      <w:color w:val="4D4D4D"/>
      <w:sz w:val="22"/>
      <w:szCs w:val="22"/>
    </w:rPr>
  </w:style>
  <w:style w:type="character" w:customStyle="1" w:styleId="GSBodyParawithnumbChar">
    <w:name w:val="GS Body Para with numb Char"/>
    <w:basedOn w:val="DefaultParagraphFont"/>
    <w:link w:val="GSBodyParawithnumb"/>
    <w:rsid w:val="00C43C03"/>
    <w:rPr>
      <w:rFonts w:ascii="Calibri" w:hAnsi="Calibri" w:cs="Arial"/>
      <w:color w:val="4D4D4D"/>
      <w:sz w:val="22"/>
      <w:szCs w:val="22"/>
      <w:lang w:val="en-GB"/>
    </w:rPr>
  </w:style>
  <w:style w:type="paragraph" w:customStyle="1" w:styleId="GSHeading1withnumb">
    <w:name w:val="GS Heading 1 with numb"/>
    <w:basedOn w:val="Subtitle"/>
    <w:qFormat/>
    <w:rsid w:val="00C43C03"/>
    <w:pPr>
      <w:numPr>
        <w:ilvl w:val="0"/>
        <w:numId w:val="21"/>
      </w:numPr>
      <w:pBdr>
        <w:bottom w:val="single" w:sz="2" w:space="5" w:color="CEE0CC"/>
      </w:pBdr>
      <w:tabs>
        <w:tab w:val="clear" w:pos="567"/>
        <w:tab w:val="num" w:pos="284"/>
        <w:tab w:val="num" w:pos="360"/>
        <w:tab w:val="num" w:pos="1440"/>
      </w:tabs>
      <w:spacing w:before="120" w:after="120" w:line="300" w:lineRule="exact"/>
      <w:ind w:left="0" w:firstLine="0"/>
      <w:outlineLvl w:val="1"/>
    </w:pPr>
    <w:rPr>
      <w:rFonts w:ascii="Calibri" w:hAnsi="Calibri" w:cs="Arial"/>
      <w:color w:val="3B9164"/>
      <w:sz w:val="28"/>
      <w:szCs w:val="40"/>
      <w:lang w:eastAsia="en-GB"/>
    </w:rPr>
  </w:style>
  <w:style w:type="paragraph" w:styleId="Subtitle">
    <w:name w:val="Subtitle"/>
    <w:basedOn w:val="Normal"/>
    <w:next w:val="Normal"/>
    <w:link w:val="SubtitleChar"/>
    <w:rsid w:val="00C43C03"/>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rsid w:val="00C43C03"/>
    <w:rPr>
      <w:rFonts w:asciiTheme="minorHAnsi" w:eastAsiaTheme="minorEastAsia" w:hAnsiTheme="minorHAnsi"/>
      <w:color w:val="5A5A5A" w:themeColor="text1" w:themeTint="A5"/>
      <w:spacing w:val="15"/>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A0C9DFFACEF74664AFBAFD7A3EA2381E"/>
        <w:category>
          <w:name w:val="General"/>
          <w:gallery w:val="placeholder"/>
        </w:category>
        <w:types>
          <w:type w:val="bbPlcHdr"/>
        </w:types>
        <w:behaviors>
          <w:behavior w:val="content"/>
        </w:behaviors>
        <w:guid w:val="{84A06672-47AE-40D1-AD59-88045C0097E8}"/>
      </w:docPartPr>
      <w:docPartBody>
        <w:p w:rsidR="004F1607" w:rsidRDefault="004F1607" w:rsidP="004F1607">
          <w:pPr>
            <w:pStyle w:val="A0C9DFFACEF74664AFBAFD7A3EA2381E"/>
          </w:pPr>
          <w:r w:rsidRPr="00A65385">
            <w:rPr>
              <w:rStyle w:val="PlaceholderText"/>
            </w:rPr>
            <w:t>Click or tap here to enter text.</w:t>
          </w:r>
        </w:p>
      </w:docPartBody>
    </w:docPart>
    <w:docPart>
      <w:docPartPr>
        <w:name w:val="7DE18E90158F460996A379367E778230"/>
        <w:category>
          <w:name w:val="General"/>
          <w:gallery w:val="placeholder"/>
        </w:category>
        <w:types>
          <w:type w:val="bbPlcHdr"/>
        </w:types>
        <w:behaviors>
          <w:behavior w:val="content"/>
        </w:behaviors>
        <w:guid w:val="{CD83D874-CCD4-4061-A5F1-7F422355A0CD}"/>
      </w:docPartPr>
      <w:docPartBody>
        <w:p w:rsidR="004F1607" w:rsidRDefault="004F1607" w:rsidP="004F1607">
          <w:pPr>
            <w:pStyle w:val="7DE18E90158F460996A379367E778230"/>
          </w:pPr>
          <w:r w:rsidRPr="00A65385">
            <w:rPr>
              <w:rStyle w:val="PlaceholderText"/>
            </w:rPr>
            <w:t>Click or tap here to enter text.</w:t>
          </w:r>
        </w:p>
      </w:docPartBody>
    </w:docPart>
    <w:docPart>
      <w:docPartPr>
        <w:name w:val="74B2590460E241568673C295F4ACC532"/>
        <w:category>
          <w:name w:val="General"/>
          <w:gallery w:val="placeholder"/>
        </w:category>
        <w:types>
          <w:type w:val="bbPlcHdr"/>
        </w:types>
        <w:behaviors>
          <w:behavior w:val="content"/>
        </w:behaviors>
        <w:guid w:val="{FAFBA34D-81AA-48FC-B974-F56DACB95AC0}"/>
      </w:docPartPr>
      <w:docPartBody>
        <w:p w:rsidR="004F1607" w:rsidRDefault="004F1607" w:rsidP="004F1607">
          <w:pPr>
            <w:pStyle w:val="74B2590460E241568673C295F4ACC532"/>
          </w:pPr>
          <w:r w:rsidRPr="00A65385">
            <w:rPr>
              <w:rStyle w:val="PlaceholderText"/>
            </w:rPr>
            <w:t>Click or tap here to enter text.</w:t>
          </w:r>
        </w:p>
      </w:docPartBody>
    </w:docPart>
    <w:docPart>
      <w:docPartPr>
        <w:name w:val="4439528A3F744F1D9764CAED2F7FF245"/>
        <w:category>
          <w:name w:val="General"/>
          <w:gallery w:val="placeholder"/>
        </w:category>
        <w:types>
          <w:type w:val="bbPlcHdr"/>
        </w:types>
        <w:behaviors>
          <w:behavior w:val="content"/>
        </w:behaviors>
        <w:guid w:val="{5804940D-0D7E-4822-9BCF-173E76875A19}"/>
      </w:docPartPr>
      <w:docPartBody>
        <w:p w:rsidR="00FF23AD" w:rsidRDefault="00FF23AD" w:rsidP="00FF23AD">
          <w:pPr>
            <w:pStyle w:val="4439528A3F744F1D9764CAED2F7FF245"/>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054F41"/>
    <w:rsid w:val="000630E1"/>
    <w:rsid w:val="00123821"/>
    <w:rsid w:val="00255506"/>
    <w:rsid w:val="00305347"/>
    <w:rsid w:val="00432F57"/>
    <w:rsid w:val="0043753B"/>
    <w:rsid w:val="004F1607"/>
    <w:rsid w:val="005A3AED"/>
    <w:rsid w:val="0067423C"/>
    <w:rsid w:val="0096452C"/>
    <w:rsid w:val="00B50D79"/>
    <w:rsid w:val="00BA6B9B"/>
    <w:rsid w:val="00BB07D1"/>
    <w:rsid w:val="00C64446"/>
    <w:rsid w:val="00D26AA1"/>
    <w:rsid w:val="00D84B32"/>
    <w:rsid w:val="00FF23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23AD"/>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4439528A3F744F1D9764CAED2F7FF245">
    <w:name w:val="4439528A3F744F1D9764CAED2F7FF245"/>
    <w:rsid w:val="00FF23AD"/>
    <w:pPr>
      <w:spacing w:line="278" w:lineRule="auto"/>
    </w:pPr>
    <w:rPr>
      <w:kern w:val="2"/>
      <w:sz w:val="24"/>
      <w:szCs w:val="24"/>
      <w14:ligatures w14:val="standardContextual"/>
    </w:rPr>
  </w:style>
  <w:style w:type="paragraph" w:customStyle="1" w:styleId="A0C9DFFACEF74664AFBAFD7A3EA2381E">
    <w:name w:val="A0C9DFFACEF74664AFBAFD7A3EA2381E"/>
    <w:rsid w:val="004F1607"/>
    <w:rPr>
      <w:kern w:val="2"/>
      <w14:ligatures w14:val="standardContextual"/>
    </w:rPr>
  </w:style>
  <w:style w:type="paragraph" w:customStyle="1" w:styleId="B4988A7146F7462A8B01098311574918">
    <w:name w:val="B4988A7146F7462A8B01098311574918"/>
    <w:rsid w:val="0096452C"/>
    <w:rPr>
      <w:kern w:val="2"/>
      <w14:ligatures w14:val="standardContextual"/>
    </w:rPr>
  </w:style>
  <w:style w:type="paragraph" w:customStyle="1" w:styleId="50F477B6376D434AAB9C9D372CA4F780">
    <w:name w:val="50F477B6376D434AAB9C9D372CA4F780"/>
    <w:rsid w:val="0096452C"/>
    <w:rPr>
      <w:kern w:val="2"/>
      <w14:ligatures w14:val="standardContextual"/>
    </w:rPr>
  </w:style>
  <w:style w:type="paragraph" w:customStyle="1" w:styleId="167D2B28519F410A9BC01BB294250171">
    <w:name w:val="167D2B28519F410A9BC01BB294250171"/>
    <w:rsid w:val="0096452C"/>
    <w:rPr>
      <w:kern w:val="2"/>
      <w14:ligatures w14:val="standardContextual"/>
    </w:rPr>
  </w:style>
  <w:style w:type="paragraph" w:customStyle="1" w:styleId="FED29F62975A4268ADCDCACDC59B8921">
    <w:name w:val="FED29F62975A4268ADCDCACDC59B8921"/>
    <w:rsid w:val="0096452C"/>
    <w:rPr>
      <w:kern w:val="2"/>
      <w14:ligatures w14:val="standardContextual"/>
    </w:rPr>
  </w:style>
  <w:style w:type="paragraph" w:customStyle="1" w:styleId="7DE18E90158F460996A379367E778230">
    <w:name w:val="7DE18E90158F460996A379367E778230"/>
    <w:rsid w:val="004F1607"/>
    <w:rPr>
      <w:kern w:val="2"/>
      <w14:ligatures w14:val="standardContextual"/>
    </w:rPr>
  </w:style>
  <w:style w:type="paragraph" w:customStyle="1" w:styleId="C4127ADB296A49B1A10DCF0B02B82AC4">
    <w:name w:val="C4127ADB296A49B1A10DCF0B02B82AC4"/>
    <w:rsid w:val="004F1607"/>
    <w:rPr>
      <w:kern w:val="2"/>
      <w14:ligatures w14:val="standardContextual"/>
    </w:rPr>
  </w:style>
  <w:style w:type="paragraph" w:customStyle="1" w:styleId="74B2590460E241568673C295F4ACC532">
    <w:name w:val="74B2590460E241568673C295F4ACC532"/>
    <w:rsid w:val="004F160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TotalTime>
  <Pages>2</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Andy Green</cp:lastModifiedBy>
  <cp:revision>2</cp:revision>
  <cp:lastPrinted>2022-03-17T16:48:00Z</cp:lastPrinted>
  <dcterms:created xsi:type="dcterms:W3CDTF">2024-05-20T12:37:00Z</dcterms:created>
  <dcterms:modified xsi:type="dcterms:W3CDTF">2024-05-20T12:37:00Z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