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555A880A" w14:textId="77777777" w:rsidTr="00B23506">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9A4D9E"/>
          </w:tcPr>
          <w:p w14:paraId="63766975" w14:textId="77777777" w:rsidR="006F19E3" w:rsidRPr="00370EB1" w:rsidRDefault="007F41DB" w:rsidP="0045172D">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2161" w:type="dxa"/>
            <w:tcBorders>
              <w:top w:val="single" w:sz="4" w:space="0" w:color="4A8958"/>
              <w:left w:val="single" w:sz="4" w:space="0" w:color="4A8958"/>
              <w:bottom w:val="single" w:sz="4" w:space="0" w:color="4A8958"/>
              <w:right w:val="single" w:sz="4" w:space="0" w:color="4A8958"/>
            </w:tcBorders>
            <w:shd w:val="clear" w:color="auto" w:fill="9A4D9E"/>
          </w:tcPr>
          <w:p w14:paraId="50B89C8C"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BC494D0"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1BF3723D" w14:textId="77777777" w:rsidR="00F05713" w:rsidRPr="00D96216" w:rsidRDefault="00F05713" w:rsidP="00F05713">
            <w:pPr>
              <w:keepLines/>
              <w:ind w:left="113" w:right="113"/>
              <w:rPr>
                <w:rFonts w:cs="Arial"/>
                <w:b/>
                <w:color w:val="008576"/>
                <w:sz w:val="72"/>
                <w:szCs w:val="72"/>
              </w:rPr>
            </w:pPr>
            <w:bookmarkStart w:id="0" w:name="_Hlk34966130"/>
            <w:r w:rsidRPr="00AE2501">
              <w:rPr>
                <w:rFonts w:cs="Arial"/>
                <w:b/>
                <w:color w:val="008576"/>
                <w:sz w:val="72"/>
                <w:szCs w:val="72"/>
              </w:rPr>
              <w:t xml:space="preserve">DCP </w:t>
            </w:r>
            <w:r>
              <w:rPr>
                <w:rFonts w:cs="Arial"/>
                <w:b/>
                <w:color w:val="008576"/>
                <w:sz w:val="72"/>
                <w:szCs w:val="72"/>
              </w:rPr>
              <w:t>421:</w:t>
            </w:r>
          </w:p>
          <w:tbl>
            <w:tblPr>
              <w:tblW w:w="0" w:type="auto"/>
              <w:tblBorders>
                <w:top w:val="nil"/>
                <w:left w:val="nil"/>
                <w:bottom w:val="nil"/>
                <w:right w:val="nil"/>
              </w:tblBorders>
              <w:tblLayout w:type="fixed"/>
              <w:tblLook w:val="0000" w:firstRow="0" w:lastRow="0" w:firstColumn="0" w:lastColumn="0" w:noHBand="0" w:noVBand="0"/>
            </w:tblPr>
            <w:tblGrid>
              <w:gridCol w:w="7002"/>
            </w:tblGrid>
            <w:tr w:rsidR="00F05713" w:rsidRPr="00C30383" w14:paraId="6E213B4B" w14:textId="77777777" w:rsidTr="00FA663F">
              <w:trPr>
                <w:trHeight w:val="777"/>
              </w:trPr>
              <w:tc>
                <w:tcPr>
                  <w:tcW w:w="7002" w:type="dxa"/>
                </w:tcPr>
                <w:p w14:paraId="65725484" w14:textId="77777777" w:rsidR="00F05713" w:rsidRPr="00D96216" w:rsidRDefault="00F05713" w:rsidP="003E7FD7">
                  <w:pPr>
                    <w:framePr w:hSpace="180" w:wrap="around" w:vAnchor="page" w:hAnchor="page" w:x="775" w:y="1474"/>
                    <w:ind w:right="113"/>
                    <w:rPr>
                      <w:rFonts w:cs="Arial"/>
                      <w:b/>
                      <w:bCs/>
                      <w:i/>
                      <w:color w:val="00B274"/>
                      <w:sz w:val="24"/>
                    </w:rPr>
                  </w:pPr>
                  <w:bookmarkStart w:id="1" w:name="_Hlk159931793"/>
                  <w:r w:rsidRPr="00F73751">
                    <w:rPr>
                      <w:rFonts w:cs="Arial"/>
                      <w:b/>
                      <w:bCs/>
                      <w:color w:val="008000"/>
                      <w:sz w:val="48"/>
                      <w:szCs w:val="48"/>
                    </w:rPr>
                    <w:t>Update the Tables in schedule 15 of DCUSA</w:t>
                  </w:r>
                  <w:bookmarkEnd w:id="1"/>
                </w:p>
              </w:tc>
            </w:tr>
          </w:tbl>
          <w:bookmarkEnd w:id="0"/>
          <w:p w14:paraId="0BECA94E" w14:textId="77777777" w:rsidR="00F05713" w:rsidRDefault="00F05713" w:rsidP="00F05713">
            <w:pPr>
              <w:ind w:left="113" w:right="113"/>
              <w:rPr>
                <w:rFonts w:cs="Arial"/>
                <w:i/>
                <w:sz w:val="24"/>
              </w:rPr>
            </w:pPr>
            <w:r w:rsidRPr="005D04B3">
              <w:rPr>
                <w:rFonts w:cs="Arial"/>
                <w:b/>
                <w:bCs/>
                <w:i/>
                <w:sz w:val="24"/>
              </w:rPr>
              <w:t>Date raised:</w:t>
            </w:r>
            <w:r>
              <w:rPr>
                <w:rFonts w:cs="Arial"/>
                <w:i/>
                <w:sz w:val="24"/>
              </w:rPr>
              <w:t xml:space="preserve"> </w:t>
            </w:r>
            <w:r w:rsidRPr="00955D59">
              <w:rPr>
                <w:rFonts w:cs="Arial"/>
                <w:i/>
                <w:sz w:val="24"/>
              </w:rPr>
              <w:t>12</w:t>
            </w:r>
            <w:r>
              <w:rPr>
                <w:rFonts w:cs="Arial"/>
                <w:i/>
                <w:sz w:val="24"/>
              </w:rPr>
              <w:t xml:space="preserve"> April 2</w:t>
            </w:r>
            <w:r w:rsidRPr="00955D59">
              <w:rPr>
                <w:rFonts w:cs="Arial"/>
                <w:i/>
                <w:sz w:val="24"/>
              </w:rPr>
              <w:t>023</w:t>
            </w:r>
          </w:p>
          <w:p w14:paraId="1127CEF5" w14:textId="77777777" w:rsidR="00F05713" w:rsidRPr="005D04B3" w:rsidRDefault="00F05713" w:rsidP="00F05713">
            <w:pPr>
              <w:ind w:left="113" w:right="113"/>
              <w:rPr>
                <w:rFonts w:cs="Arial"/>
                <w:i/>
                <w:sz w:val="24"/>
              </w:rPr>
            </w:pPr>
            <w:r w:rsidRPr="005D04B3">
              <w:rPr>
                <w:rFonts w:cs="Arial"/>
                <w:b/>
                <w:bCs/>
                <w:i/>
                <w:sz w:val="24"/>
              </w:rPr>
              <w:t>Proposer Name:</w:t>
            </w:r>
            <w:r w:rsidRPr="005D04B3">
              <w:rPr>
                <w:rFonts w:cs="Arial"/>
                <w:i/>
                <w:sz w:val="24"/>
              </w:rPr>
              <w:t xml:space="preserve"> </w:t>
            </w:r>
            <w:r>
              <w:rPr>
                <w:rFonts w:cs="Arial"/>
                <w:i/>
                <w:sz w:val="24"/>
              </w:rPr>
              <w:t>Dave Wornell</w:t>
            </w:r>
          </w:p>
          <w:p w14:paraId="3F3B5AA1" w14:textId="77777777" w:rsidR="00F05713" w:rsidRPr="005D04B3" w:rsidRDefault="00F05713" w:rsidP="00F05713">
            <w:pPr>
              <w:ind w:left="113" w:right="113"/>
              <w:rPr>
                <w:rFonts w:cs="Arial"/>
                <w:i/>
                <w:sz w:val="24"/>
              </w:rPr>
            </w:pPr>
            <w:r w:rsidRPr="005D04B3">
              <w:rPr>
                <w:rFonts w:cs="Arial"/>
                <w:b/>
                <w:bCs/>
                <w:i/>
                <w:sz w:val="24"/>
              </w:rPr>
              <w:t>Company Name:</w:t>
            </w:r>
            <w:r w:rsidRPr="005D04B3">
              <w:rPr>
                <w:rFonts w:cs="Arial"/>
                <w:i/>
                <w:sz w:val="24"/>
              </w:rPr>
              <w:t xml:space="preserve"> </w:t>
            </w:r>
            <w:r w:rsidRPr="004A0E32">
              <w:rPr>
                <w:rFonts w:cs="Arial"/>
                <w:i/>
                <w:sz w:val="24"/>
              </w:rPr>
              <w:t>National Grid Electricity Distribution</w:t>
            </w:r>
          </w:p>
          <w:p w14:paraId="7A71D7FE" w14:textId="6310B338" w:rsidR="006F19E3" w:rsidRPr="008667CC" w:rsidRDefault="00F05713" w:rsidP="00F05713">
            <w:pPr>
              <w:ind w:left="113" w:right="113"/>
              <w:rPr>
                <w:rFonts w:cs="Arial"/>
                <w:i/>
                <w:color w:val="00B274"/>
                <w:sz w:val="24"/>
              </w:rPr>
            </w:pPr>
            <w:r w:rsidRPr="005D04B3">
              <w:rPr>
                <w:rFonts w:cs="Arial"/>
                <w:b/>
                <w:bCs/>
                <w:i/>
                <w:sz w:val="24"/>
              </w:rPr>
              <w:t>Company Category:</w:t>
            </w:r>
            <w:r w:rsidRPr="005D04B3">
              <w:rPr>
                <w:rFonts w:cs="Arial"/>
                <w:i/>
                <w:sz w:val="24"/>
              </w:rPr>
              <w:t xml:space="preserve"> </w:t>
            </w:r>
            <w:r>
              <w:rPr>
                <w:rFonts w:cs="Arial"/>
                <w:i/>
                <w:sz w:val="24"/>
              </w:rPr>
              <w:t>DNO</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0E1892" w:rsidRPr="00881D23" w14:paraId="292E78CF" w14:textId="77777777" w:rsidTr="000E1892">
              <w:trPr>
                <w:trHeight w:val="820"/>
              </w:trPr>
              <w:tc>
                <w:tcPr>
                  <w:tcW w:w="2075" w:type="dxa"/>
                  <w:shd w:val="clear" w:color="auto" w:fill="auto"/>
                  <w:vAlign w:val="center"/>
                </w:tcPr>
                <w:p w14:paraId="7C782B9F" w14:textId="77777777" w:rsidR="000E1892" w:rsidRPr="000E1892" w:rsidRDefault="000E1892" w:rsidP="003E7FD7">
                  <w:pPr>
                    <w:framePr w:hSpace="180" w:wrap="around" w:vAnchor="page" w:hAnchor="page" w:x="775" w:y="1474"/>
                    <w:spacing w:line="240" w:lineRule="auto"/>
                    <w:ind w:right="28"/>
                    <w:rPr>
                      <w:rFonts w:cs="Arial"/>
                      <w:b/>
                      <w:color w:val="00B274"/>
                      <w:szCs w:val="20"/>
                    </w:rPr>
                  </w:pPr>
                  <w:r w:rsidRPr="000E1892">
                    <w:rPr>
                      <w:rFonts w:cs="Arial"/>
                      <w:b/>
                      <w:color w:val="00B274"/>
                      <w:szCs w:val="20"/>
                    </w:rPr>
                    <w:t>01 – Change Proposal</w:t>
                  </w:r>
                </w:p>
              </w:tc>
            </w:tr>
            <w:tr w:rsidR="000E1892" w:rsidRPr="00881D23" w14:paraId="28ED4F27" w14:textId="77777777" w:rsidTr="001A1612">
              <w:trPr>
                <w:trHeight w:val="802"/>
              </w:trPr>
              <w:tc>
                <w:tcPr>
                  <w:tcW w:w="2075" w:type="dxa"/>
                  <w:shd w:val="clear" w:color="auto" w:fill="FFFFFF"/>
                  <w:vAlign w:val="center"/>
                </w:tcPr>
                <w:p w14:paraId="76DD7563" w14:textId="77777777" w:rsidR="000E1892" w:rsidRPr="00881D23" w:rsidRDefault="000E1892" w:rsidP="003E7FD7">
                  <w:pPr>
                    <w:framePr w:hSpace="180" w:wrap="around" w:vAnchor="page" w:hAnchor="page" w:x="775" w:y="1474"/>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14:paraId="7A2F7A55" w14:textId="77777777" w:rsidTr="000E1892">
              <w:trPr>
                <w:trHeight w:val="800"/>
              </w:trPr>
              <w:tc>
                <w:tcPr>
                  <w:tcW w:w="2075" w:type="dxa"/>
                  <w:shd w:val="clear" w:color="auto" w:fill="9A4D9E"/>
                  <w:vAlign w:val="center"/>
                </w:tcPr>
                <w:p w14:paraId="33024C22" w14:textId="77777777" w:rsidR="000E1892" w:rsidRPr="001A1612" w:rsidRDefault="000E1892" w:rsidP="003E7FD7">
                  <w:pPr>
                    <w:framePr w:hSpace="180" w:wrap="around" w:vAnchor="page" w:hAnchor="page" w:x="775" w:y="1474"/>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14:paraId="45D0C165" w14:textId="77777777" w:rsidTr="001A1612">
              <w:trPr>
                <w:trHeight w:val="795"/>
              </w:trPr>
              <w:tc>
                <w:tcPr>
                  <w:tcW w:w="2075" w:type="dxa"/>
                  <w:shd w:val="clear" w:color="auto" w:fill="FFFFFF"/>
                  <w:vAlign w:val="center"/>
                </w:tcPr>
                <w:p w14:paraId="0A7501BF" w14:textId="77777777" w:rsidR="000E1892" w:rsidRPr="00881D23" w:rsidRDefault="000E1892" w:rsidP="003E7FD7">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14:paraId="749824B1" w14:textId="77777777" w:rsidR="006F19E3" w:rsidRPr="00EB32BB" w:rsidRDefault="006F19E3" w:rsidP="00FE4A41">
            <w:pPr>
              <w:spacing w:line="240" w:lineRule="auto"/>
              <w:ind w:left="28" w:right="28"/>
              <w:rPr>
                <w:rFonts w:cs="Arial"/>
                <w:color w:val="008576"/>
                <w:szCs w:val="20"/>
              </w:rPr>
            </w:pPr>
          </w:p>
        </w:tc>
      </w:tr>
      <w:tr w:rsidR="006F19E3" w:rsidRPr="00EB32BB" w14:paraId="01AAA29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0F8DA271" w14:textId="77777777" w:rsidR="006F19E3" w:rsidRPr="007044BE" w:rsidRDefault="006F19E3" w:rsidP="006F19E3">
            <w:pPr>
              <w:pStyle w:val="BodyText2"/>
              <w:ind w:left="113" w:right="113"/>
              <w:rPr>
                <w:rFonts w:cs="Arial"/>
                <w:b/>
                <w:i/>
                <w:color w:val="00B274"/>
                <w:sz w:val="24"/>
              </w:rPr>
            </w:pPr>
            <w:r w:rsidRPr="007044BE">
              <w:rPr>
                <w:rFonts w:cs="Arial"/>
                <w:b/>
                <w:sz w:val="24"/>
              </w:rPr>
              <w:t xml:space="preserve">Purpose of </w:t>
            </w:r>
            <w:r w:rsidR="00A77FCF">
              <w:rPr>
                <w:rFonts w:cs="Arial"/>
                <w:b/>
                <w:sz w:val="24"/>
              </w:rPr>
              <w:t>Change Proposal</w:t>
            </w:r>
            <w:r w:rsidRPr="007044BE">
              <w:rPr>
                <w:rFonts w:cs="Arial"/>
                <w:b/>
                <w:sz w:val="24"/>
              </w:rPr>
              <w:t>:</w:t>
            </w:r>
            <w:r w:rsidRPr="007044BE">
              <w:rPr>
                <w:rFonts w:cs="Arial"/>
                <w:b/>
                <w:i/>
                <w:color w:val="00B274"/>
                <w:sz w:val="24"/>
              </w:rPr>
              <w:t xml:space="preserve"> </w:t>
            </w:r>
          </w:p>
          <w:p w14:paraId="479D8957" w14:textId="642E37AC" w:rsidR="00502763" w:rsidRPr="00EB32BB" w:rsidRDefault="003E7FD7" w:rsidP="00E24232">
            <w:pPr>
              <w:ind w:left="113" w:right="113"/>
              <w:jc w:val="both"/>
              <w:rPr>
                <w:rFonts w:cs="Arial"/>
              </w:rPr>
            </w:pPr>
            <w:sdt>
              <w:sdtPr>
                <w:rPr>
                  <w:rStyle w:val="BodyText3Char"/>
                  <w:rFonts w:ascii="Arial" w:eastAsia="MS Gothic" w:hAnsi="Arial" w:cs="Arial"/>
                  <w:sz w:val="24"/>
                  <w:szCs w:val="24"/>
                </w:rPr>
                <w:alias w:val="Purpose of CP"/>
                <w:tag w:val="Purpose of CP"/>
                <w:id w:val="-1012148391"/>
                <w:placeholder>
                  <w:docPart w:val="33B54573D36D4F9A9CA4583DC40A0F30"/>
                </w:placeholder>
              </w:sdtPr>
              <w:sdtEndPr>
                <w:rPr>
                  <w:rStyle w:val="DefaultParagraphFont"/>
                  <w:rFonts w:eastAsia="Times New Roman"/>
                  <w:color w:val="000000" w:themeColor="text1"/>
                </w:rPr>
              </w:sdtEndPr>
              <w:sdtContent>
                <w:sdt>
                  <w:sdtPr>
                    <w:rPr>
                      <w:rFonts w:eastAsia="MS Gothic" w:cs="Arial"/>
                      <w:sz w:val="24"/>
                    </w:rPr>
                    <w:alias w:val="Purpose of CP"/>
                    <w:tag w:val="Purpose of CP"/>
                    <w:id w:val="-1503963124"/>
                    <w:placeholder>
                      <w:docPart w:val="07190BF98AFE4635BD41B02ECC4FC4DC"/>
                    </w:placeholder>
                  </w:sdtPr>
                  <w:sdtEndPr/>
                  <w:sdtContent>
                    <w:sdt>
                      <w:sdtPr>
                        <w:rPr>
                          <w:rFonts w:eastAsia="MS Gothic" w:cs="Arial"/>
                          <w:sz w:val="24"/>
                        </w:rPr>
                        <w:alias w:val="Purpose of CP"/>
                        <w:tag w:val="Purpose of CP"/>
                        <w:id w:val="-1311791823"/>
                        <w:placeholder>
                          <w:docPart w:val="B1269358FE4F4C158D29EC33B695F1DC"/>
                        </w:placeholder>
                      </w:sdtPr>
                      <w:sdtEndPr/>
                      <w:sdtContent>
                        <w:sdt>
                          <w:sdtPr>
                            <w:rPr>
                              <w:rFonts w:eastAsia="MS Gothic" w:cs="Arial"/>
                              <w:sz w:val="24"/>
                            </w:rPr>
                            <w:alias w:val="Purpose of CP"/>
                            <w:tag w:val="Purpose of CP"/>
                            <w:id w:val="-1538427838"/>
                            <w:placeholder>
                              <w:docPart w:val="B16D6C3FFAA941289E55302709A20BBC"/>
                            </w:placeholder>
                          </w:sdtPr>
                          <w:sdtEndPr/>
                          <w:sdtContent>
                            <w:sdt>
                              <w:sdtPr>
                                <w:rPr>
                                  <w:rFonts w:eastAsia="MS Gothic" w:cs="Arial"/>
                                  <w:sz w:val="24"/>
                                </w:rPr>
                                <w:alias w:val="Purpose of CP"/>
                                <w:tag w:val="Purpose of CP"/>
                                <w:id w:val="-204491457"/>
                                <w:placeholder>
                                  <w:docPart w:val="8656DCB2F4DE40E9A6041F0D30D67B34"/>
                                </w:placeholder>
                              </w:sdtPr>
                              <w:sdtEndPr/>
                              <w:sdtContent>
                                <w:sdt>
                                  <w:sdtPr>
                                    <w:rPr>
                                      <w:rFonts w:eastAsia="MS Gothic" w:cs="Arial"/>
                                      <w:bCs/>
                                      <w:sz w:val="24"/>
                                    </w:rPr>
                                    <w:alias w:val="Purpose of CP"/>
                                    <w:tag w:val="Purpose of CP"/>
                                    <w:id w:val="1086577085"/>
                                    <w:placeholder>
                                      <w:docPart w:val="9300624ECBED45E0B94410CA3C537C9E"/>
                                    </w:placeholder>
                                  </w:sdtPr>
                                  <w:sdtEndPr/>
                                  <w:sdtContent>
                                    <w:r w:rsidR="00F05713" w:rsidRPr="004A0E32">
                                      <w:rPr>
                                        <w:sz w:val="24"/>
                                      </w:rPr>
                                      <w:t xml:space="preserve"> To amend the current tables within Schedule 15 of DCUSA to correctly represent ED2</w:t>
                                    </w:r>
                                    <w:r w:rsidR="00673806" w:rsidRPr="00673806">
                                      <w:rPr>
                                        <w:rFonts w:eastAsia="MS Gothic" w:cs="Arial"/>
                                        <w:bCs/>
                                        <w:sz w:val="24"/>
                                      </w:rPr>
                                      <w:t>.</w:t>
                                    </w:r>
                                  </w:sdtContent>
                                </w:sdt>
                              </w:sdtContent>
                            </w:sdt>
                          </w:sdtContent>
                        </w:sdt>
                      </w:sdtContent>
                    </w:sdt>
                  </w:sdtContent>
                </w:sdt>
              </w:sdtContent>
            </w:sdt>
          </w:p>
        </w:tc>
      </w:tr>
      <w:tr w:rsidR="006F19E3" w:rsidRPr="00EB32BB" w14:paraId="4D0B36F5" w14:textId="77777777" w:rsidTr="00927651">
        <w:trPr>
          <w:trHeight w:val="287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A2CB92D" w14:textId="71CE3B27" w:rsidR="006F19E3" w:rsidRPr="00EB32BB" w:rsidRDefault="008B547E" w:rsidP="006F19E3">
            <w:pPr>
              <w:ind w:firstLine="9"/>
              <w:jc w:val="center"/>
              <w:rPr>
                <w:rFonts w:cs="Arial"/>
              </w:rPr>
            </w:pPr>
            <w:r w:rsidRPr="00AF30A5">
              <w:rPr>
                <w:rFonts w:cs="Arial"/>
                <w:noProof/>
                <w:lang w:val="en-US" w:eastAsia="en-US"/>
              </w:rPr>
              <w:drawing>
                <wp:inline distT="0" distB="0" distL="0" distR="0" wp14:anchorId="2AB107B1" wp14:editId="41D3B4DC">
                  <wp:extent cx="468630" cy="468630"/>
                  <wp:effectExtent l="0" t="0" r="0" b="0"/>
                  <wp:docPr id="1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2674213" w14:textId="495E7C35" w:rsidR="0048245D" w:rsidRDefault="007F41DB" w:rsidP="0048245D">
            <w:pPr>
              <w:pStyle w:val="BodyText3"/>
              <w:ind w:left="113" w:right="113"/>
            </w:pPr>
            <w:r w:rsidRPr="007F41DB">
              <w:t>This document is issued in accordance with Clause 11.20 of the DCUSA, and details</w:t>
            </w:r>
            <w:r w:rsidR="0048245D" w:rsidRPr="003328B8">
              <w:t xml:space="preserve"> on</w:t>
            </w:r>
            <w:r w:rsidR="00B87262">
              <w:t xml:space="preserve"> </w:t>
            </w:r>
            <w:r w:rsidR="0048245D">
              <w:t>DCP 4</w:t>
            </w:r>
            <w:r w:rsidR="00F05713">
              <w:t>21</w:t>
            </w:r>
            <w:r w:rsidR="0048245D">
              <w:t xml:space="preserve"> ‘</w:t>
            </w:r>
            <w:r w:rsidR="00DF7C2D">
              <w:t>Update the Tables in Schedule 15 of DCUSA</w:t>
            </w:r>
            <w:r w:rsidR="0048245D">
              <w:t>’.</w:t>
            </w:r>
          </w:p>
          <w:p w14:paraId="70C8B4E9" w14:textId="6AD68EC9" w:rsidR="007A794B" w:rsidRDefault="007A794B" w:rsidP="00510C5E">
            <w:pPr>
              <w:ind w:left="78" w:right="170"/>
              <w:jc w:val="both"/>
              <w:rPr>
                <w:sz w:val="24"/>
              </w:rPr>
            </w:pPr>
            <w:r w:rsidRPr="00C736BA">
              <w:rPr>
                <w:sz w:val="24"/>
              </w:rPr>
              <w:t xml:space="preserve">Parties are invited to consider the proposed </w:t>
            </w:r>
            <w:r w:rsidRPr="00284F86">
              <w:rPr>
                <w:sz w:val="24"/>
              </w:rPr>
              <w:t xml:space="preserve">amendment (Attachment </w:t>
            </w:r>
            <w:r w:rsidR="00E52118">
              <w:rPr>
                <w:sz w:val="24"/>
              </w:rPr>
              <w:t>5</w:t>
            </w:r>
            <w:r w:rsidRPr="00284F86">
              <w:rPr>
                <w:sz w:val="24"/>
              </w:rPr>
              <w:t xml:space="preserve">) and submit their votes using the Voting form (Attachment </w:t>
            </w:r>
            <w:r w:rsidR="00E52118">
              <w:rPr>
                <w:sz w:val="24"/>
              </w:rPr>
              <w:t>1</w:t>
            </w:r>
            <w:r w:rsidRPr="00284F86">
              <w:rPr>
                <w:sz w:val="24"/>
              </w:rPr>
              <w:t>)</w:t>
            </w:r>
            <w:r w:rsidRPr="00C90A25">
              <w:rPr>
                <w:sz w:val="24"/>
              </w:rPr>
              <w:t xml:space="preserve"> to</w:t>
            </w:r>
            <w:r w:rsidRPr="007A794B">
              <w:rPr>
                <w:sz w:val="24"/>
              </w:rPr>
              <w:t xml:space="preserve"> </w:t>
            </w:r>
            <w:hyperlink r:id="rId9" w:history="1">
              <w:r w:rsidRPr="00AE665E">
                <w:rPr>
                  <w:rStyle w:val="Hyperlink"/>
                  <w:sz w:val="24"/>
                </w:rPr>
                <w:t>dcusa@electralink.co.uk</w:t>
              </w:r>
            </w:hyperlink>
            <w:r>
              <w:rPr>
                <w:sz w:val="24"/>
              </w:rPr>
              <w:t xml:space="preserve"> </w:t>
            </w:r>
            <w:r w:rsidRPr="007A794B">
              <w:rPr>
                <w:sz w:val="24"/>
              </w:rPr>
              <w:t xml:space="preserve"> by </w:t>
            </w:r>
            <w:r w:rsidR="00B87262" w:rsidRPr="00701CE7">
              <w:rPr>
                <w:sz w:val="24"/>
              </w:rPr>
              <w:t>1</w:t>
            </w:r>
            <w:r w:rsidR="00595B7B">
              <w:rPr>
                <w:sz w:val="24"/>
              </w:rPr>
              <w:t>0</w:t>
            </w:r>
            <w:r w:rsidR="00B87262" w:rsidRPr="00701CE7">
              <w:rPr>
                <w:sz w:val="24"/>
              </w:rPr>
              <w:t xml:space="preserve"> </w:t>
            </w:r>
            <w:r w:rsidR="00C57F0B">
              <w:rPr>
                <w:sz w:val="24"/>
              </w:rPr>
              <w:t>June</w:t>
            </w:r>
            <w:r w:rsidR="00B87262">
              <w:rPr>
                <w:sz w:val="24"/>
              </w:rPr>
              <w:t xml:space="preserve"> 2024</w:t>
            </w:r>
            <w:r w:rsidR="00415742">
              <w:rPr>
                <w:sz w:val="24"/>
              </w:rPr>
              <w:t xml:space="preserve">. </w:t>
            </w:r>
          </w:p>
          <w:p w14:paraId="5ED13D01" w14:textId="77777777" w:rsidR="007A794B" w:rsidRDefault="007F41DB" w:rsidP="001021F6">
            <w:pPr>
              <w:ind w:left="113" w:right="170"/>
              <w:jc w:val="both"/>
              <w:rPr>
                <w:sz w:val="24"/>
              </w:rPr>
            </w:pPr>
            <w:r w:rsidRPr="007F41DB">
              <w:rPr>
                <w:sz w:val="24"/>
              </w:rPr>
              <w:t>The voting process for the proposed variation and the timetable of the progression of the Change Proposal (CP) through the DCUSA Change Control Process is set out in this document.</w:t>
            </w:r>
            <w:r w:rsidR="007A794B">
              <w:t xml:space="preserve"> </w:t>
            </w:r>
          </w:p>
          <w:p w14:paraId="1C1E2F59" w14:textId="77777777" w:rsidR="00D519A7" w:rsidRPr="008667CC" w:rsidRDefault="007A794B" w:rsidP="001021F6">
            <w:pPr>
              <w:ind w:left="113" w:right="170"/>
              <w:jc w:val="both"/>
              <w:rPr>
                <w:sz w:val="24"/>
              </w:rPr>
            </w:pPr>
            <w:r w:rsidRPr="007A794B">
              <w:rPr>
                <w:sz w:val="24"/>
              </w:rPr>
              <w:t xml:space="preserve">If you have any questions about this paper or the DCUSA Change </w:t>
            </w:r>
            <w:r w:rsidR="00597E76" w:rsidRPr="007A794B">
              <w:rPr>
                <w:sz w:val="24"/>
              </w:rPr>
              <w:t>Process,</w:t>
            </w:r>
            <w:r w:rsidRPr="007A794B">
              <w:rPr>
                <w:sz w:val="24"/>
              </w:rPr>
              <w:t xml:space="preserve"> please contact the DCUSA by email to dcusa@electralink.co.uk or telephone 020 7432 30</w:t>
            </w:r>
            <w:r w:rsidR="00597E76">
              <w:rPr>
                <w:sz w:val="24"/>
              </w:rPr>
              <w:t>11</w:t>
            </w:r>
            <w:r w:rsidRPr="007A794B">
              <w:rPr>
                <w:sz w:val="24"/>
              </w:rPr>
              <w:t>.</w:t>
            </w:r>
          </w:p>
        </w:tc>
      </w:tr>
      <w:tr w:rsidR="005322E6" w:rsidRPr="00EB32BB" w14:paraId="778CDA6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24835BD" w14:textId="0FCE2053" w:rsidR="005322E6" w:rsidRPr="00EB32BB" w:rsidRDefault="005322E6" w:rsidP="005322E6">
            <w:pPr>
              <w:spacing w:before="60" w:after="60"/>
              <w:ind w:firstLine="9"/>
              <w:jc w:val="center"/>
              <w:rPr>
                <w:rFonts w:cs="Arial"/>
              </w:rPr>
            </w:pPr>
            <w:r w:rsidRPr="00AF30A5">
              <w:rPr>
                <w:rFonts w:cs="Arial"/>
                <w:noProof/>
                <w:lang w:val="en-US" w:eastAsia="en-US"/>
              </w:rPr>
              <w:drawing>
                <wp:inline distT="0" distB="0" distL="0" distR="0" wp14:anchorId="6480DB2E" wp14:editId="63F381F9">
                  <wp:extent cx="468630" cy="468630"/>
                  <wp:effectExtent l="0" t="0" r="0" b="0"/>
                  <wp:docPr id="10"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F23B8B1" w14:textId="77777777" w:rsidR="005322E6" w:rsidRDefault="005322E6" w:rsidP="005322E6">
            <w:pPr>
              <w:ind w:left="113" w:right="113"/>
              <w:rPr>
                <w:sz w:val="24"/>
              </w:rPr>
            </w:pPr>
            <w:r>
              <w:rPr>
                <w:sz w:val="24"/>
              </w:rPr>
              <w:t xml:space="preserve">Impacted Parties: </w:t>
            </w:r>
          </w:p>
          <w:p w14:paraId="67425A3E" w14:textId="48CFE508" w:rsidR="005322E6" w:rsidRPr="00277121" w:rsidRDefault="005322E6" w:rsidP="005322E6">
            <w:pPr>
              <w:ind w:left="113" w:right="170"/>
              <w:jc w:val="both"/>
              <w:rPr>
                <w:sz w:val="24"/>
              </w:rPr>
            </w:pPr>
            <w:r>
              <w:rPr>
                <w:sz w:val="24"/>
              </w:rPr>
              <w:t xml:space="preserve"> </w:t>
            </w:r>
            <w:r w:rsidR="00790D81">
              <w:rPr>
                <w:sz w:val="24"/>
              </w:rPr>
              <w:t xml:space="preserve"> </w:t>
            </w:r>
            <w:r w:rsidR="00F05713" w:rsidRPr="00BE1B7B">
              <w:rPr>
                <w:sz w:val="24"/>
              </w:rPr>
              <w:t xml:space="preserve"> DNOs, IDNOs</w:t>
            </w:r>
            <w:r w:rsidR="00F05713">
              <w:rPr>
                <w:sz w:val="24"/>
              </w:rPr>
              <w:t xml:space="preserve"> and S</w:t>
            </w:r>
            <w:r w:rsidR="00F05713" w:rsidRPr="00BE1B7B">
              <w:rPr>
                <w:sz w:val="24"/>
              </w:rPr>
              <w:t>uppliers</w:t>
            </w:r>
            <w:r w:rsidR="00F05713">
              <w:rPr>
                <w:sz w:val="24"/>
              </w:rPr>
              <w:t>.</w:t>
            </w:r>
          </w:p>
        </w:tc>
      </w:tr>
      <w:tr w:rsidR="005322E6" w:rsidRPr="00EB32BB" w14:paraId="7025FE70"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1A3B878" w14:textId="6D7D54CD" w:rsidR="005322E6" w:rsidRPr="00EB32BB" w:rsidRDefault="005322E6" w:rsidP="005322E6">
            <w:pPr>
              <w:spacing w:before="60" w:after="60"/>
              <w:ind w:firstLine="9"/>
              <w:jc w:val="center"/>
              <w:rPr>
                <w:rFonts w:cs="Arial"/>
              </w:rPr>
            </w:pPr>
            <w:r w:rsidRPr="00AF30A5">
              <w:rPr>
                <w:rFonts w:cs="Arial"/>
                <w:noProof/>
                <w:lang w:val="en-US" w:eastAsia="en-US"/>
              </w:rPr>
              <w:drawing>
                <wp:inline distT="0" distB="0" distL="0" distR="0" wp14:anchorId="3E65514C" wp14:editId="7F1F43EA">
                  <wp:extent cx="468630" cy="468630"/>
                  <wp:effectExtent l="0" t="0" r="0" b="0"/>
                  <wp:docPr id="9"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46847DE" w14:textId="77777777" w:rsidR="005322E6" w:rsidRDefault="005322E6" w:rsidP="005322E6">
            <w:pPr>
              <w:ind w:left="113" w:right="113"/>
              <w:rPr>
                <w:sz w:val="24"/>
              </w:rPr>
            </w:pPr>
            <w:r w:rsidRPr="501CEB3F">
              <w:rPr>
                <w:sz w:val="24"/>
              </w:rPr>
              <w:t xml:space="preserve">Impacted Clauses: </w:t>
            </w:r>
          </w:p>
          <w:sdt>
            <w:sdtPr>
              <w:rPr>
                <w:rStyle w:val="BodyText3Char"/>
                <w:rFonts w:eastAsia="MS Gothic"/>
              </w:rPr>
              <w:alias w:val="Impacted Clauses"/>
              <w:tag w:val="Impacted Clauses"/>
              <w:id w:val="139848024"/>
              <w:placeholder>
                <w:docPart w:val="F18655FD86F64426BCA36B3AA78A4AC5"/>
              </w:placeholder>
            </w:sdtPr>
            <w:sdtEndPr>
              <w:rPr>
                <w:rStyle w:val="DefaultParagraphFont"/>
                <w:rFonts w:ascii="Arial" w:eastAsia="Times New Roman" w:hAnsi="Arial" w:cs="Arial"/>
                <w:color w:val="000000" w:themeColor="text1"/>
                <w:sz w:val="24"/>
                <w:szCs w:val="24"/>
              </w:rPr>
            </w:sdtEndPr>
            <w:sdtContent>
              <w:sdt>
                <w:sdtPr>
                  <w:rPr>
                    <w:rStyle w:val="BodyText3Char"/>
                    <w:rFonts w:ascii="Arial" w:eastAsia="MS Gothic" w:hAnsi="Arial" w:cs="Arial"/>
                    <w:sz w:val="24"/>
                    <w:szCs w:val="20"/>
                  </w:rPr>
                  <w:alias w:val="Impacted Clauses"/>
                  <w:tag w:val="Impacted Clauses"/>
                  <w:id w:val="224501242"/>
                  <w:placeholder>
                    <w:docPart w:val="97089EBA3A0C4E5980E88C5448006F53"/>
                  </w:placeholder>
                </w:sdtPr>
                <w:sdtEndPr>
                  <w:rPr>
                    <w:rStyle w:val="DefaultParagraphFont"/>
                    <w:rFonts w:eastAsia="Times New Roman"/>
                    <w:color w:val="000000" w:themeColor="text1"/>
                    <w:sz w:val="32"/>
                    <w:szCs w:val="32"/>
                  </w:rPr>
                </w:sdtEndPr>
                <w:sdtContent>
                  <w:p w14:paraId="30E8DAFE" w14:textId="397F1651" w:rsidR="005322E6" w:rsidRPr="00EB32BB" w:rsidRDefault="003E7FD7" w:rsidP="005322E6">
                    <w:pPr>
                      <w:ind w:left="113" w:right="170"/>
                      <w:jc w:val="both"/>
                      <w:rPr>
                        <w:rFonts w:cs="Arial"/>
                      </w:rPr>
                    </w:pPr>
                    <w:sdt>
                      <w:sdtPr>
                        <w:rPr>
                          <w:rStyle w:val="BodyText3Char"/>
                          <w:rFonts w:ascii="Arial" w:eastAsia="MS Gothic" w:hAnsi="Arial" w:cs="Arial"/>
                          <w:sz w:val="24"/>
                          <w:szCs w:val="20"/>
                        </w:rPr>
                        <w:alias w:val="Impacted Clauses"/>
                        <w:tag w:val="Impacted Clauses"/>
                        <w:id w:val="2064747983"/>
                        <w:placeholder>
                          <w:docPart w:val="B34C918D6EA14B6896D520A184455621"/>
                        </w:placeholder>
                      </w:sdtPr>
                      <w:sdtEndPr>
                        <w:rPr>
                          <w:rStyle w:val="DefaultParagraphFont"/>
                          <w:rFonts w:eastAsia="Times New Roman"/>
                          <w:color w:val="000000" w:themeColor="text1"/>
                          <w:sz w:val="32"/>
                          <w:szCs w:val="32"/>
                        </w:rPr>
                      </w:sdtEndPr>
                      <w:sdtContent>
                        <w:sdt>
                          <w:sdtPr>
                            <w:rPr>
                              <w:rStyle w:val="BodyText3Char"/>
                              <w:rFonts w:eastAsia="MS Gothic"/>
                            </w:rPr>
                            <w:alias w:val="Impacted Clauses"/>
                            <w:tag w:val="Impacted Clauses"/>
                            <w:id w:val="-935290863"/>
                            <w:placeholder>
                              <w:docPart w:val="19EEB2AA98F547009F373F0E7F752897"/>
                            </w:placeholder>
                          </w:sdtPr>
                          <w:sdtEndPr>
                            <w:rPr>
                              <w:rStyle w:val="DefaultParagraphFont"/>
                              <w:rFonts w:ascii="Arial" w:eastAsia="Times New Roman" w:hAnsi="Arial" w:cs="Arial"/>
                              <w:color w:val="000000" w:themeColor="text1"/>
                              <w:sz w:val="24"/>
                              <w:szCs w:val="24"/>
                            </w:rPr>
                          </w:sdtEndPr>
                          <w:sdtContent>
                            <w:r w:rsidR="00F05713" w:rsidRPr="0063328A">
                              <w:rPr>
                                <w:sz w:val="24"/>
                              </w:rPr>
                              <w:t xml:space="preserve"> Schedule 15 and Clauses 35A.1-7</w:t>
                            </w:r>
                          </w:sdtContent>
                        </w:sdt>
                      </w:sdtContent>
                    </w:sdt>
                  </w:p>
                </w:sdtContent>
              </w:sdt>
            </w:sdtContent>
          </w:sdt>
        </w:tc>
      </w:tr>
    </w:tbl>
    <w:p w14:paraId="7C9F096B" w14:textId="77777777"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68"/>
        <w:gridCol w:w="2239"/>
      </w:tblGrid>
      <w:tr w:rsidR="00F05713" w:rsidRPr="00EB32BB" w14:paraId="3A873F52" w14:textId="77777777" w:rsidTr="00194176">
        <w:trPr>
          <w:trHeight w:val="617"/>
        </w:trPr>
        <w:tc>
          <w:tcPr>
            <w:tcW w:w="7968"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7C393C16" w14:textId="77777777" w:rsidR="00F05713" w:rsidRPr="00EB32BB" w:rsidRDefault="00F05713" w:rsidP="00F05713">
            <w:pPr>
              <w:pStyle w:val="Contents03"/>
              <w:rPr>
                <w:noProof/>
              </w:rPr>
            </w:pPr>
            <w:r w:rsidRPr="00EB32BB">
              <w:rPr>
                <w:noProof/>
              </w:rPr>
              <w:lastRenderedPageBreak/>
              <w:t>Contents</w:t>
            </w:r>
          </w:p>
          <w:p w14:paraId="22002982" w14:textId="3476A135" w:rsidR="00F05713" w:rsidRDefault="00F05713" w:rsidP="00F05713">
            <w:pPr>
              <w:pStyle w:val="TOC1"/>
              <w:framePr w:wrap="around"/>
              <w:rPr>
                <w:rFonts w:asciiTheme="minorHAnsi" w:eastAsiaTheme="minorEastAsia" w:hAnsiTheme="minorHAnsi" w:cstheme="minorBidi"/>
                <w:color w:val="auto"/>
                <w:sz w:val="22"/>
                <w:szCs w:val="22"/>
              </w:rPr>
            </w:pPr>
            <w:r>
              <w:fldChar w:fldCharType="begin"/>
            </w:r>
            <w:r>
              <w:instrText xml:space="preserve"> TOC \o "1-1" \h \z </w:instrText>
            </w:r>
            <w:r>
              <w:fldChar w:fldCharType="separate"/>
            </w:r>
            <w:hyperlink w:anchor="_Toc125191620" w:history="1">
              <w:r w:rsidRPr="0021220F">
                <w:rPr>
                  <w:rStyle w:val="Hyperlink"/>
                </w:rPr>
                <w:t>1</w:t>
              </w:r>
              <w:r>
                <w:rPr>
                  <w:rFonts w:asciiTheme="minorHAnsi" w:eastAsiaTheme="minorEastAsia" w:hAnsiTheme="minorHAnsi" w:cstheme="minorBidi"/>
                  <w:color w:val="auto"/>
                  <w:sz w:val="22"/>
                  <w:szCs w:val="22"/>
                </w:rPr>
                <w:tab/>
              </w:r>
              <w:r w:rsidRPr="0021220F">
                <w:rPr>
                  <w:rStyle w:val="Hyperlink"/>
                </w:rPr>
                <w:t>Executive Summary</w:t>
              </w:r>
              <w:r>
                <w:rPr>
                  <w:webHidden/>
                </w:rPr>
                <w:tab/>
              </w:r>
              <w:r>
                <w:rPr>
                  <w:webHidden/>
                </w:rPr>
                <w:fldChar w:fldCharType="begin"/>
              </w:r>
              <w:r>
                <w:rPr>
                  <w:webHidden/>
                </w:rPr>
                <w:instrText xml:space="preserve"> PAGEREF _Toc125191620 \h </w:instrText>
              </w:r>
              <w:r>
                <w:rPr>
                  <w:webHidden/>
                </w:rPr>
              </w:r>
              <w:r>
                <w:rPr>
                  <w:webHidden/>
                </w:rPr>
                <w:fldChar w:fldCharType="separate"/>
              </w:r>
              <w:r>
                <w:rPr>
                  <w:webHidden/>
                </w:rPr>
                <w:t>3</w:t>
              </w:r>
              <w:r>
                <w:rPr>
                  <w:webHidden/>
                </w:rPr>
                <w:fldChar w:fldCharType="end"/>
              </w:r>
            </w:hyperlink>
          </w:p>
          <w:p w14:paraId="7B451460" w14:textId="57C0EAC2" w:rsidR="00F05713" w:rsidRDefault="003E7FD7" w:rsidP="00F05713">
            <w:pPr>
              <w:pStyle w:val="TOC1"/>
              <w:framePr w:wrap="around"/>
              <w:rPr>
                <w:rFonts w:asciiTheme="minorHAnsi" w:eastAsiaTheme="minorEastAsia" w:hAnsiTheme="minorHAnsi" w:cstheme="minorBidi"/>
                <w:color w:val="auto"/>
                <w:sz w:val="22"/>
                <w:szCs w:val="22"/>
              </w:rPr>
            </w:pPr>
            <w:hyperlink w:anchor="_Toc125191621" w:history="1">
              <w:r w:rsidR="00F05713" w:rsidRPr="0021220F">
                <w:rPr>
                  <w:rStyle w:val="Hyperlink"/>
                </w:rPr>
                <w:t>2</w:t>
              </w:r>
              <w:r w:rsidR="00F05713">
                <w:rPr>
                  <w:rFonts w:asciiTheme="minorHAnsi" w:eastAsiaTheme="minorEastAsia" w:hAnsiTheme="minorHAnsi" w:cstheme="minorBidi"/>
                  <w:color w:val="auto"/>
                  <w:sz w:val="22"/>
                  <w:szCs w:val="22"/>
                </w:rPr>
                <w:tab/>
              </w:r>
              <w:r w:rsidR="00F05713" w:rsidRPr="0021220F">
                <w:rPr>
                  <w:rStyle w:val="Hyperlink"/>
                </w:rPr>
                <w:t>Governance</w:t>
              </w:r>
              <w:r w:rsidR="00F05713">
                <w:rPr>
                  <w:webHidden/>
                </w:rPr>
                <w:tab/>
              </w:r>
            </w:hyperlink>
            <w:r w:rsidR="00AA28C2">
              <w:t>3</w:t>
            </w:r>
          </w:p>
          <w:p w14:paraId="242B90E7" w14:textId="1EB48726" w:rsidR="00F05713" w:rsidRDefault="003E7FD7" w:rsidP="00F05713">
            <w:pPr>
              <w:pStyle w:val="TOC1"/>
              <w:framePr w:wrap="around"/>
              <w:rPr>
                <w:rFonts w:asciiTheme="minorHAnsi" w:eastAsiaTheme="minorEastAsia" w:hAnsiTheme="minorHAnsi" w:cstheme="minorBidi"/>
                <w:color w:val="auto"/>
                <w:sz w:val="22"/>
                <w:szCs w:val="22"/>
              </w:rPr>
            </w:pPr>
            <w:hyperlink w:anchor="_Toc125191622" w:history="1">
              <w:r w:rsidR="00F05713" w:rsidRPr="0021220F">
                <w:rPr>
                  <w:rStyle w:val="Hyperlink"/>
                </w:rPr>
                <w:t>3</w:t>
              </w:r>
              <w:r w:rsidR="00F05713">
                <w:rPr>
                  <w:rFonts w:asciiTheme="minorHAnsi" w:eastAsiaTheme="minorEastAsia" w:hAnsiTheme="minorHAnsi" w:cstheme="minorBidi"/>
                  <w:color w:val="auto"/>
                  <w:sz w:val="22"/>
                  <w:szCs w:val="22"/>
                </w:rPr>
                <w:tab/>
              </w:r>
              <w:r w:rsidR="00F05713" w:rsidRPr="0021220F">
                <w:rPr>
                  <w:rStyle w:val="Hyperlink"/>
                </w:rPr>
                <w:t>Why Change?</w:t>
              </w:r>
              <w:r w:rsidR="00F05713">
                <w:rPr>
                  <w:webHidden/>
                </w:rPr>
                <w:tab/>
              </w:r>
              <w:r w:rsidR="00AA28C2">
                <w:rPr>
                  <w:webHidden/>
                </w:rPr>
                <w:t>4</w:t>
              </w:r>
            </w:hyperlink>
          </w:p>
          <w:p w14:paraId="3662A24B" w14:textId="284CFBB0" w:rsidR="00F05713" w:rsidRDefault="003E7FD7" w:rsidP="00F05713">
            <w:pPr>
              <w:pStyle w:val="TOC1"/>
              <w:framePr w:wrap="around"/>
              <w:rPr>
                <w:rFonts w:asciiTheme="minorHAnsi" w:eastAsiaTheme="minorEastAsia" w:hAnsiTheme="minorHAnsi" w:cstheme="minorBidi"/>
                <w:color w:val="auto"/>
                <w:sz w:val="22"/>
                <w:szCs w:val="22"/>
              </w:rPr>
            </w:pPr>
            <w:hyperlink w:anchor="_Toc125191623" w:history="1">
              <w:r w:rsidR="00F05713" w:rsidRPr="0021220F">
                <w:rPr>
                  <w:rStyle w:val="Hyperlink"/>
                </w:rPr>
                <w:t>4</w:t>
              </w:r>
              <w:r w:rsidR="00F05713">
                <w:rPr>
                  <w:rFonts w:asciiTheme="minorHAnsi" w:eastAsiaTheme="minorEastAsia" w:hAnsiTheme="minorHAnsi" w:cstheme="minorBidi"/>
                  <w:color w:val="auto"/>
                  <w:sz w:val="22"/>
                  <w:szCs w:val="22"/>
                </w:rPr>
                <w:tab/>
              </w:r>
              <w:r w:rsidR="00F05713" w:rsidRPr="0021220F">
                <w:rPr>
                  <w:rStyle w:val="Hyperlink"/>
                </w:rPr>
                <w:t>DCP 4</w:t>
              </w:r>
              <w:r w:rsidR="00F05713">
                <w:rPr>
                  <w:rStyle w:val="Hyperlink"/>
                </w:rPr>
                <w:t>2</w:t>
              </w:r>
              <w:r w:rsidR="00AA28C2">
                <w:rPr>
                  <w:rStyle w:val="Hyperlink"/>
                </w:rPr>
                <w:t>1</w:t>
              </w:r>
              <w:r w:rsidR="00F05713" w:rsidRPr="0021220F">
                <w:rPr>
                  <w:rStyle w:val="Hyperlink"/>
                </w:rPr>
                <w:t xml:space="preserve"> Working Group Assessment</w:t>
              </w:r>
              <w:r w:rsidR="00F05713">
                <w:rPr>
                  <w:webHidden/>
                </w:rPr>
                <w:tab/>
              </w:r>
              <w:r w:rsidR="00652F6C">
                <w:rPr>
                  <w:webHidden/>
                </w:rPr>
                <w:t>4</w:t>
              </w:r>
            </w:hyperlink>
          </w:p>
          <w:p w14:paraId="00F8EFD1" w14:textId="0844AA01" w:rsidR="00F05713" w:rsidRDefault="003E7FD7" w:rsidP="00F05713">
            <w:pPr>
              <w:pStyle w:val="TOC1"/>
              <w:framePr w:wrap="around"/>
              <w:rPr>
                <w:rFonts w:asciiTheme="minorHAnsi" w:eastAsiaTheme="minorEastAsia" w:hAnsiTheme="minorHAnsi" w:cstheme="minorBidi"/>
                <w:color w:val="auto"/>
                <w:sz w:val="22"/>
                <w:szCs w:val="22"/>
              </w:rPr>
            </w:pPr>
            <w:hyperlink w:anchor="_Toc125191624" w:history="1">
              <w:r w:rsidR="00F05713" w:rsidRPr="0021220F">
                <w:rPr>
                  <w:rStyle w:val="Hyperlink"/>
                </w:rPr>
                <w:t>5</w:t>
              </w:r>
              <w:r w:rsidR="00F05713">
                <w:rPr>
                  <w:rFonts w:asciiTheme="minorHAnsi" w:eastAsiaTheme="minorEastAsia" w:hAnsiTheme="minorHAnsi" w:cstheme="minorBidi"/>
                  <w:color w:val="auto"/>
                  <w:sz w:val="22"/>
                  <w:szCs w:val="22"/>
                </w:rPr>
                <w:tab/>
              </w:r>
              <w:r w:rsidR="00F05713" w:rsidRPr="0021220F">
                <w:rPr>
                  <w:rStyle w:val="Hyperlink"/>
                </w:rPr>
                <w:t>DCP4</w:t>
              </w:r>
              <w:r w:rsidR="00F05713">
                <w:rPr>
                  <w:rStyle w:val="Hyperlink"/>
                </w:rPr>
                <w:t>2</w:t>
              </w:r>
              <w:r w:rsidR="00AA28C2">
                <w:rPr>
                  <w:rStyle w:val="Hyperlink"/>
                </w:rPr>
                <w:t>1</w:t>
              </w:r>
              <w:r w:rsidR="00F05713" w:rsidRPr="0021220F">
                <w:rPr>
                  <w:rStyle w:val="Hyperlink"/>
                </w:rPr>
                <w:t xml:space="preserve"> Consultation</w:t>
              </w:r>
              <w:r w:rsidR="00F05713">
                <w:rPr>
                  <w:webHidden/>
                </w:rPr>
                <w:tab/>
              </w:r>
              <w:r w:rsidR="00652F6C">
                <w:rPr>
                  <w:webHidden/>
                </w:rPr>
                <w:t>6</w:t>
              </w:r>
            </w:hyperlink>
          </w:p>
          <w:p w14:paraId="6914CCDC" w14:textId="00B595F4" w:rsidR="00F05713" w:rsidRDefault="003E7FD7" w:rsidP="00F05713">
            <w:pPr>
              <w:pStyle w:val="TOC1"/>
              <w:framePr w:wrap="around"/>
              <w:rPr>
                <w:rFonts w:asciiTheme="minorHAnsi" w:eastAsiaTheme="minorEastAsia" w:hAnsiTheme="minorHAnsi" w:cstheme="minorBidi"/>
                <w:color w:val="auto"/>
                <w:sz w:val="22"/>
                <w:szCs w:val="22"/>
              </w:rPr>
            </w:pPr>
            <w:hyperlink w:anchor="_Toc125191625" w:history="1">
              <w:r w:rsidR="00F05713" w:rsidRPr="0021220F">
                <w:rPr>
                  <w:rStyle w:val="Hyperlink"/>
                </w:rPr>
                <w:t>6</w:t>
              </w:r>
              <w:r w:rsidR="00F05713">
                <w:rPr>
                  <w:rFonts w:asciiTheme="minorHAnsi" w:eastAsiaTheme="minorEastAsia" w:hAnsiTheme="minorHAnsi" w:cstheme="minorBidi"/>
                  <w:color w:val="auto"/>
                  <w:sz w:val="22"/>
                  <w:szCs w:val="22"/>
                </w:rPr>
                <w:tab/>
              </w:r>
              <w:r w:rsidR="00F05713" w:rsidRPr="0021220F">
                <w:rPr>
                  <w:rStyle w:val="Hyperlink"/>
                </w:rPr>
                <w:t>Working Group Conclusions &amp; Final Solution</w:t>
              </w:r>
              <w:r w:rsidR="00F05713">
                <w:rPr>
                  <w:webHidden/>
                </w:rPr>
                <w:tab/>
              </w:r>
              <w:r w:rsidR="00942AD0">
                <w:rPr>
                  <w:webHidden/>
                </w:rPr>
                <w:t>10</w:t>
              </w:r>
            </w:hyperlink>
          </w:p>
          <w:p w14:paraId="5E040D01" w14:textId="20F9C882" w:rsidR="00F05713" w:rsidRDefault="003E7FD7" w:rsidP="00F05713">
            <w:pPr>
              <w:pStyle w:val="TOC1"/>
              <w:framePr w:wrap="around"/>
              <w:rPr>
                <w:rFonts w:asciiTheme="minorHAnsi" w:eastAsiaTheme="minorEastAsia" w:hAnsiTheme="minorHAnsi" w:cstheme="minorBidi"/>
                <w:color w:val="auto"/>
                <w:sz w:val="22"/>
                <w:szCs w:val="22"/>
              </w:rPr>
            </w:pPr>
            <w:hyperlink w:anchor="_Toc125191626" w:history="1">
              <w:r w:rsidR="00F05713" w:rsidRPr="0021220F">
                <w:rPr>
                  <w:rStyle w:val="Hyperlink"/>
                </w:rPr>
                <w:t>7</w:t>
              </w:r>
              <w:r w:rsidR="00F05713">
                <w:rPr>
                  <w:rFonts w:asciiTheme="minorHAnsi" w:eastAsiaTheme="minorEastAsia" w:hAnsiTheme="minorHAnsi" w:cstheme="minorBidi"/>
                  <w:color w:val="auto"/>
                  <w:sz w:val="22"/>
                  <w:szCs w:val="22"/>
                </w:rPr>
                <w:tab/>
              </w:r>
              <w:r w:rsidR="00F05713" w:rsidRPr="0021220F">
                <w:rPr>
                  <w:rStyle w:val="Hyperlink"/>
                </w:rPr>
                <w:t>Relevant Objectives</w:t>
              </w:r>
              <w:r w:rsidR="00F05713">
                <w:rPr>
                  <w:webHidden/>
                </w:rPr>
                <w:tab/>
              </w:r>
              <w:r w:rsidR="00942AD0">
                <w:rPr>
                  <w:webHidden/>
                </w:rPr>
                <w:t>1</w:t>
              </w:r>
              <w:r w:rsidR="00C6542D">
                <w:rPr>
                  <w:webHidden/>
                </w:rPr>
                <w:t>3</w:t>
              </w:r>
            </w:hyperlink>
          </w:p>
          <w:p w14:paraId="5C73D90C" w14:textId="56D76628" w:rsidR="00F05713" w:rsidRDefault="003E7FD7" w:rsidP="00F05713">
            <w:pPr>
              <w:pStyle w:val="TOC1"/>
              <w:framePr w:wrap="around"/>
              <w:rPr>
                <w:rFonts w:asciiTheme="minorHAnsi" w:eastAsiaTheme="minorEastAsia" w:hAnsiTheme="minorHAnsi" w:cstheme="minorBidi"/>
                <w:color w:val="auto"/>
                <w:sz w:val="22"/>
                <w:szCs w:val="22"/>
              </w:rPr>
            </w:pPr>
            <w:hyperlink w:anchor="_Toc125191627" w:history="1">
              <w:r w:rsidR="00F05713" w:rsidRPr="0021220F">
                <w:rPr>
                  <w:rStyle w:val="Hyperlink"/>
                </w:rPr>
                <w:t>8</w:t>
              </w:r>
              <w:r w:rsidR="00F05713">
                <w:rPr>
                  <w:rFonts w:asciiTheme="minorHAnsi" w:eastAsiaTheme="minorEastAsia" w:hAnsiTheme="minorHAnsi" w:cstheme="minorBidi"/>
                  <w:color w:val="auto"/>
                  <w:sz w:val="22"/>
                  <w:szCs w:val="22"/>
                </w:rPr>
                <w:tab/>
              </w:r>
              <w:r w:rsidR="00F05713" w:rsidRPr="0021220F">
                <w:rPr>
                  <w:rStyle w:val="Hyperlink"/>
                </w:rPr>
                <w:t>Impacts &amp; Other Considerations</w:t>
              </w:r>
              <w:r w:rsidR="00F05713">
                <w:rPr>
                  <w:webHidden/>
                </w:rPr>
                <w:tab/>
              </w:r>
              <w:r w:rsidR="00942AD0">
                <w:rPr>
                  <w:webHidden/>
                </w:rPr>
                <w:t>14</w:t>
              </w:r>
            </w:hyperlink>
          </w:p>
          <w:p w14:paraId="635A7A99" w14:textId="452CC024" w:rsidR="00F05713" w:rsidRDefault="003E7FD7" w:rsidP="00F05713">
            <w:pPr>
              <w:pStyle w:val="TOC1"/>
              <w:framePr w:wrap="around"/>
              <w:rPr>
                <w:rFonts w:asciiTheme="minorHAnsi" w:eastAsiaTheme="minorEastAsia" w:hAnsiTheme="minorHAnsi" w:cstheme="minorBidi"/>
                <w:color w:val="auto"/>
                <w:sz w:val="22"/>
                <w:szCs w:val="22"/>
              </w:rPr>
            </w:pPr>
            <w:hyperlink w:anchor="_Toc125191628" w:history="1">
              <w:r w:rsidR="00F05713" w:rsidRPr="0021220F">
                <w:rPr>
                  <w:rStyle w:val="Hyperlink"/>
                </w:rPr>
                <w:t>9</w:t>
              </w:r>
              <w:r w:rsidR="00F05713">
                <w:rPr>
                  <w:rFonts w:asciiTheme="minorHAnsi" w:eastAsiaTheme="minorEastAsia" w:hAnsiTheme="minorHAnsi" w:cstheme="minorBidi"/>
                  <w:color w:val="auto"/>
                  <w:sz w:val="22"/>
                  <w:szCs w:val="22"/>
                </w:rPr>
                <w:tab/>
              </w:r>
              <w:r w:rsidR="00F05713" w:rsidRPr="0021220F">
                <w:rPr>
                  <w:rStyle w:val="Hyperlink"/>
                </w:rPr>
                <w:t>Implementation</w:t>
              </w:r>
              <w:r w:rsidR="00F05713">
                <w:rPr>
                  <w:webHidden/>
                </w:rPr>
                <w:tab/>
              </w:r>
              <w:r w:rsidR="00942AD0">
                <w:rPr>
                  <w:webHidden/>
                </w:rPr>
                <w:t>15</w:t>
              </w:r>
            </w:hyperlink>
          </w:p>
          <w:p w14:paraId="211E263C" w14:textId="7C833BB2" w:rsidR="00F05713" w:rsidRDefault="003E7FD7" w:rsidP="00F05713">
            <w:pPr>
              <w:pStyle w:val="TOC1"/>
              <w:framePr w:wrap="around"/>
              <w:rPr>
                <w:rFonts w:asciiTheme="minorHAnsi" w:eastAsiaTheme="minorEastAsia" w:hAnsiTheme="minorHAnsi" w:cstheme="minorBidi"/>
                <w:color w:val="auto"/>
                <w:sz w:val="22"/>
                <w:szCs w:val="22"/>
              </w:rPr>
            </w:pPr>
            <w:hyperlink w:anchor="_Toc125191629" w:history="1">
              <w:r w:rsidR="00F05713" w:rsidRPr="0021220F">
                <w:rPr>
                  <w:rStyle w:val="Hyperlink"/>
                </w:rPr>
                <w:t>10</w:t>
              </w:r>
              <w:r w:rsidR="00F05713">
                <w:rPr>
                  <w:rFonts w:asciiTheme="minorHAnsi" w:eastAsiaTheme="minorEastAsia" w:hAnsiTheme="minorHAnsi" w:cstheme="minorBidi"/>
                  <w:color w:val="auto"/>
                  <w:sz w:val="22"/>
                  <w:szCs w:val="22"/>
                </w:rPr>
                <w:tab/>
              </w:r>
              <w:r w:rsidR="00F05713" w:rsidRPr="0021220F">
                <w:rPr>
                  <w:rStyle w:val="Hyperlink"/>
                </w:rPr>
                <w:t>Legal Text</w:t>
              </w:r>
              <w:r w:rsidR="00F05713">
                <w:rPr>
                  <w:webHidden/>
                </w:rPr>
                <w:tab/>
              </w:r>
              <w:r w:rsidR="00942AD0">
                <w:rPr>
                  <w:webHidden/>
                </w:rPr>
                <w:t>15</w:t>
              </w:r>
            </w:hyperlink>
          </w:p>
          <w:p w14:paraId="1CAD9FCB" w14:textId="42EDF7FE" w:rsidR="00F05713" w:rsidRDefault="003E7FD7" w:rsidP="00F05713">
            <w:pPr>
              <w:pStyle w:val="TOC1"/>
              <w:framePr w:wrap="around"/>
              <w:rPr>
                <w:rFonts w:asciiTheme="minorHAnsi" w:eastAsiaTheme="minorEastAsia" w:hAnsiTheme="minorHAnsi" w:cstheme="minorBidi"/>
                <w:color w:val="auto"/>
                <w:sz w:val="22"/>
                <w:szCs w:val="22"/>
              </w:rPr>
            </w:pPr>
            <w:hyperlink w:anchor="_Toc125191630" w:history="1">
              <w:r w:rsidR="00F05713" w:rsidRPr="0021220F">
                <w:rPr>
                  <w:rStyle w:val="Hyperlink"/>
                </w:rPr>
                <w:t>11</w:t>
              </w:r>
              <w:r w:rsidR="00F05713">
                <w:rPr>
                  <w:rFonts w:asciiTheme="minorHAnsi" w:eastAsiaTheme="minorEastAsia" w:hAnsiTheme="minorHAnsi" w:cstheme="minorBidi"/>
                  <w:color w:val="auto"/>
                  <w:sz w:val="22"/>
                  <w:szCs w:val="22"/>
                </w:rPr>
                <w:tab/>
              </w:r>
              <w:r w:rsidR="00F05713" w:rsidRPr="0021220F">
                <w:rPr>
                  <w:rStyle w:val="Hyperlink"/>
                </w:rPr>
                <w:t>Code Specific Matters</w:t>
              </w:r>
              <w:r w:rsidR="00F05713">
                <w:rPr>
                  <w:webHidden/>
                </w:rPr>
                <w:tab/>
              </w:r>
              <w:r w:rsidR="00942AD0">
                <w:rPr>
                  <w:webHidden/>
                </w:rPr>
                <w:t>1</w:t>
              </w:r>
              <w:r w:rsidR="00C6542D">
                <w:rPr>
                  <w:webHidden/>
                </w:rPr>
                <w:t>6</w:t>
              </w:r>
            </w:hyperlink>
          </w:p>
          <w:p w14:paraId="4BD7F9F9" w14:textId="22CC98A5" w:rsidR="00F05713" w:rsidRDefault="003E7FD7" w:rsidP="00F05713">
            <w:pPr>
              <w:pStyle w:val="TOC1"/>
              <w:framePr w:wrap="around"/>
              <w:rPr>
                <w:rFonts w:asciiTheme="minorHAnsi" w:eastAsiaTheme="minorEastAsia" w:hAnsiTheme="minorHAnsi" w:cstheme="minorBidi"/>
                <w:color w:val="auto"/>
                <w:sz w:val="22"/>
                <w:szCs w:val="22"/>
              </w:rPr>
            </w:pPr>
            <w:hyperlink w:anchor="_Toc125191631" w:history="1">
              <w:r w:rsidR="00F05713" w:rsidRPr="0021220F">
                <w:rPr>
                  <w:rStyle w:val="Hyperlink"/>
                </w:rPr>
                <w:t>12</w:t>
              </w:r>
              <w:r w:rsidR="00F05713">
                <w:rPr>
                  <w:rFonts w:asciiTheme="minorHAnsi" w:eastAsiaTheme="minorEastAsia" w:hAnsiTheme="minorHAnsi" w:cstheme="minorBidi"/>
                  <w:color w:val="auto"/>
                  <w:sz w:val="22"/>
                  <w:szCs w:val="22"/>
                </w:rPr>
                <w:tab/>
              </w:r>
              <w:r w:rsidR="00F05713" w:rsidRPr="0021220F">
                <w:rPr>
                  <w:rStyle w:val="Hyperlink"/>
                </w:rPr>
                <w:t>Recommendations</w:t>
              </w:r>
              <w:r w:rsidR="00F05713">
                <w:rPr>
                  <w:webHidden/>
                </w:rPr>
                <w:tab/>
              </w:r>
              <w:r w:rsidR="00942AD0">
                <w:rPr>
                  <w:webHidden/>
                </w:rPr>
                <w:t>16</w:t>
              </w:r>
            </w:hyperlink>
          </w:p>
          <w:p w14:paraId="379DAD62" w14:textId="011E9C83" w:rsidR="00F05713" w:rsidRDefault="003E7FD7" w:rsidP="00F05713">
            <w:pPr>
              <w:pStyle w:val="TOC1"/>
              <w:framePr w:wrap="around"/>
              <w:rPr>
                <w:rFonts w:asciiTheme="minorHAnsi" w:eastAsiaTheme="minorEastAsia" w:hAnsiTheme="minorHAnsi" w:cstheme="minorBidi"/>
                <w:color w:val="auto"/>
                <w:sz w:val="22"/>
                <w:szCs w:val="22"/>
              </w:rPr>
            </w:pPr>
            <w:hyperlink w:anchor="_Toc125191632" w:history="1">
              <w:r w:rsidR="00F05713" w:rsidRPr="0021220F">
                <w:rPr>
                  <w:rStyle w:val="Hyperlink"/>
                </w:rPr>
                <w:t>13</w:t>
              </w:r>
              <w:r w:rsidR="00F05713">
                <w:rPr>
                  <w:rFonts w:asciiTheme="minorHAnsi" w:eastAsiaTheme="minorEastAsia" w:hAnsiTheme="minorHAnsi" w:cstheme="minorBidi"/>
                  <w:color w:val="auto"/>
                  <w:sz w:val="22"/>
                  <w:szCs w:val="22"/>
                </w:rPr>
                <w:tab/>
              </w:r>
              <w:r w:rsidR="00F05713" w:rsidRPr="0021220F">
                <w:rPr>
                  <w:rStyle w:val="Hyperlink"/>
                </w:rPr>
                <w:t>Attachments</w:t>
              </w:r>
              <w:r w:rsidR="00F05713">
                <w:rPr>
                  <w:webHidden/>
                </w:rPr>
                <w:tab/>
              </w:r>
              <w:r w:rsidR="00942AD0">
                <w:rPr>
                  <w:webHidden/>
                </w:rPr>
                <w:t>16</w:t>
              </w:r>
            </w:hyperlink>
          </w:p>
          <w:p w14:paraId="6CFD22F5" w14:textId="37115FF8" w:rsidR="00F05713" w:rsidRPr="008C78ED" w:rsidRDefault="00F05713" w:rsidP="00F05713">
            <w:pPr>
              <w:pStyle w:val="TOC1"/>
              <w:framePr w:wrap="around"/>
              <w:rPr>
                <w:rFonts w:asciiTheme="minorHAnsi" w:eastAsiaTheme="minorEastAsia" w:hAnsiTheme="minorHAnsi" w:cstheme="minorBidi"/>
                <w:color w:val="auto"/>
                <w:sz w:val="22"/>
                <w:szCs w:val="22"/>
              </w:rPr>
            </w:pPr>
            <w:r>
              <w:fldChar w:fldCharType="end"/>
            </w:r>
          </w:p>
          <w:p w14:paraId="463310AF" w14:textId="77777777" w:rsidR="00F05713" w:rsidRPr="00EB32BB" w:rsidRDefault="00F05713" w:rsidP="00F05713">
            <w:pPr>
              <w:pStyle w:val="Contents03"/>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098"/>
              <w:gridCol w:w="2835"/>
            </w:tblGrid>
            <w:tr w:rsidR="00F05713" w:rsidRPr="00EB32BB" w14:paraId="2E36C838" w14:textId="77777777" w:rsidTr="00FF0C32">
              <w:trPr>
                <w:trHeight w:val="983"/>
              </w:trPr>
              <w:tc>
                <w:tcPr>
                  <w:tcW w:w="7933" w:type="dxa"/>
                  <w:gridSpan w:val="2"/>
                  <w:shd w:val="clear" w:color="auto" w:fill="auto"/>
                </w:tcPr>
                <w:p w14:paraId="3013D0D5" w14:textId="77777777" w:rsidR="00F05713" w:rsidRPr="00FF0C32" w:rsidRDefault="00F05713" w:rsidP="00F05713">
                  <w:pPr>
                    <w:rPr>
                      <w:szCs w:val="20"/>
                      <w:lang w:val="en-US"/>
                    </w:rPr>
                  </w:pPr>
                  <w:r w:rsidRPr="00FF0C32">
                    <w:rPr>
                      <w:szCs w:val="20"/>
                      <w:lang w:val="en-US"/>
                    </w:rPr>
                    <w:t>The timetable for the progression of the CP is as follows:</w:t>
                  </w:r>
                </w:p>
                <w:p w14:paraId="033F4B42" w14:textId="77777777" w:rsidR="00F05713" w:rsidRPr="00FF0C32" w:rsidRDefault="00F05713" w:rsidP="00F05713">
                  <w:pPr>
                    <w:pStyle w:val="Heading4"/>
                  </w:pPr>
                  <w:r w:rsidRPr="00FF0C32">
                    <w:t>Change Proposal timetable</w:t>
                  </w:r>
                </w:p>
              </w:tc>
            </w:tr>
            <w:tr w:rsidR="00F05713" w:rsidRPr="00EB32BB" w14:paraId="5734FDA3" w14:textId="77777777" w:rsidTr="00194176">
              <w:trPr>
                <w:trHeight w:val="319"/>
              </w:trPr>
              <w:tc>
                <w:tcPr>
                  <w:tcW w:w="5098" w:type="dxa"/>
                  <w:shd w:val="clear" w:color="auto" w:fill="BDD6EE"/>
                </w:tcPr>
                <w:p w14:paraId="06ABCA64" w14:textId="77777777" w:rsidR="00F05713" w:rsidRPr="00FF0C32" w:rsidRDefault="00F05713" w:rsidP="00F05713">
                  <w:pPr>
                    <w:pStyle w:val="Heading4"/>
                  </w:pPr>
                  <w:r w:rsidRPr="00FF0C32">
                    <w:t>Activity</w:t>
                  </w:r>
                </w:p>
              </w:tc>
              <w:tc>
                <w:tcPr>
                  <w:tcW w:w="2835" w:type="dxa"/>
                  <w:shd w:val="clear" w:color="auto" w:fill="BDD6EE"/>
                  <w:vAlign w:val="center"/>
                </w:tcPr>
                <w:p w14:paraId="078011BC" w14:textId="77777777" w:rsidR="00F05713" w:rsidRPr="007F41DB" w:rsidRDefault="00F05713" w:rsidP="00F05713">
                  <w:pPr>
                    <w:pStyle w:val="Heading4"/>
                  </w:pPr>
                  <w:r w:rsidRPr="007F41DB">
                    <w:t>Date</w:t>
                  </w:r>
                </w:p>
              </w:tc>
            </w:tr>
            <w:tr w:rsidR="00F05713" w:rsidRPr="00EB32BB" w14:paraId="312BE282" w14:textId="77777777" w:rsidTr="00F150D4">
              <w:tc>
                <w:tcPr>
                  <w:tcW w:w="5098" w:type="dxa"/>
                  <w:shd w:val="clear" w:color="auto" w:fill="auto"/>
                  <w:vAlign w:val="center"/>
                </w:tcPr>
                <w:p w14:paraId="26F333BA" w14:textId="0E22D579" w:rsidR="00F05713" w:rsidRPr="00EB32BB" w:rsidRDefault="00F05713" w:rsidP="00F05713">
                  <w:pPr>
                    <w:tabs>
                      <w:tab w:val="left" w:pos="171"/>
                    </w:tabs>
                    <w:spacing w:before="40" w:after="40"/>
                    <w:rPr>
                      <w:rFonts w:cs="Arial"/>
                      <w:szCs w:val="20"/>
                    </w:rPr>
                  </w:pPr>
                  <w:r w:rsidRPr="00D733B3">
                    <w:rPr>
                      <w:szCs w:val="16"/>
                    </w:rPr>
                    <w:t>Initial Assessment Report</w:t>
                  </w:r>
                </w:p>
              </w:tc>
              <w:tc>
                <w:tcPr>
                  <w:tcW w:w="2835" w:type="dxa"/>
                  <w:shd w:val="clear" w:color="auto" w:fill="auto"/>
                  <w:vAlign w:val="center"/>
                </w:tcPr>
                <w:p w14:paraId="5B14346B" w14:textId="268790FA" w:rsidR="00F05713" w:rsidRPr="00EB32BB" w:rsidRDefault="00F05713" w:rsidP="00F05713">
                  <w:pPr>
                    <w:spacing w:before="40" w:after="40"/>
                    <w:rPr>
                      <w:rFonts w:cs="Arial"/>
                      <w:szCs w:val="20"/>
                    </w:rPr>
                  </w:pPr>
                  <w:r>
                    <w:rPr>
                      <w:rFonts w:cs="Arial"/>
                      <w:szCs w:val="20"/>
                    </w:rPr>
                    <w:t>17 May 2023</w:t>
                  </w:r>
                </w:p>
              </w:tc>
            </w:tr>
            <w:tr w:rsidR="00F05713" w:rsidRPr="00EB32BB" w14:paraId="16E08862" w14:textId="77777777" w:rsidTr="00F150D4">
              <w:tc>
                <w:tcPr>
                  <w:tcW w:w="5098" w:type="dxa"/>
                  <w:shd w:val="clear" w:color="auto" w:fill="auto"/>
                  <w:vAlign w:val="center"/>
                </w:tcPr>
                <w:p w14:paraId="7B9D75CE" w14:textId="08493FC1" w:rsidR="00F05713" w:rsidRDefault="00F05713" w:rsidP="00F05713">
                  <w:pPr>
                    <w:tabs>
                      <w:tab w:val="left" w:pos="171"/>
                    </w:tabs>
                    <w:spacing w:before="40" w:after="40"/>
                    <w:rPr>
                      <w:rFonts w:cs="Arial"/>
                      <w:szCs w:val="20"/>
                    </w:rPr>
                  </w:pPr>
                  <w:r w:rsidRPr="00D733B3">
                    <w:rPr>
                      <w:szCs w:val="16"/>
                    </w:rPr>
                    <w:t>Consultation Issued to Industry Participants</w:t>
                  </w:r>
                </w:p>
              </w:tc>
              <w:tc>
                <w:tcPr>
                  <w:tcW w:w="2835" w:type="dxa"/>
                  <w:shd w:val="clear" w:color="auto" w:fill="auto"/>
                  <w:vAlign w:val="center"/>
                </w:tcPr>
                <w:p w14:paraId="62BD6535" w14:textId="37EDFD83" w:rsidR="00F05713" w:rsidRPr="00EB32BB" w:rsidRDefault="00F05713" w:rsidP="00F05713">
                  <w:pPr>
                    <w:spacing w:before="40" w:after="40"/>
                    <w:rPr>
                      <w:rFonts w:cs="Arial"/>
                      <w:szCs w:val="20"/>
                    </w:rPr>
                  </w:pPr>
                  <w:r>
                    <w:rPr>
                      <w:rFonts w:cs="Arial"/>
                      <w:szCs w:val="20"/>
                    </w:rPr>
                    <w:t>11 August 2023</w:t>
                  </w:r>
                </w:p>
              </w:tc>
            </w:tr>
            <w:tr w:rsidR="00F05713" w:rsidRPr="00EB32BB" w14:paraId="2E2DC953" w14:textId="77777777" w:rsidTr="00F150D4">
              <w:tc>
                <w:tcPr>
                  <w:tcW w:w="5098" w:type="dxa"/>
                  <w:shd w:val="clear" w:color="auto" w:fill="auto"/>
                  <w:vAlign w:val="center"/>
                </w:tcPr>
                <w:p w14:paraId="3EDCE12E" w14:textId="60E81CE6" w:rsidR="00F05713" w:rsidRPr="00EB32BB" w:rsidRDefault="00F05713" w:rsidP="00F05713">
                  <w:pPr>
                    <w:tabs>
                      <w:tab w:val="left" w:pos="171"/>
                    </w:tabs>
                    <w:spacing w:before="40" w:after="40"/>
                    <w:rPr>
                      <w:rFonts w:cs="Arial"/>
                      <w:szCs w:val="20"/>
                    </w:rPr>
                  </w:pPr>
                  <w:r w:rsidRPr="00D733B3">
                    <w:rPr>
                      <w:szCs w:val="16"/>
                    </w:rPr>
                    <w:t>Change Report Approved by Panel</w:t>
                  </w:r>
                </w:p>
              </w:tc>
              <w:tc>
                <w:tcPr>
                  <w:tcW w:w="2835" w:type="dxa"/>
                  <w:shd w:val="clear" w:color="auto" w:fill="auto"/>
                  <w:vAlign w:val="center"/>
                </w:tcPr>
                <w:p w14:paraId="3AB789C9" w14:textId="23C0DE23" w:rsidR="00F05713" w:rsidRPr="00EB32BB" w:rsidRDefault="00595B7B" w:rsidP="00F05713">
                  <w:pPr>
                    <w:spacing w:before="40" w:after="40"/>
                    <w:rPr>
                      <w:rFonts w:cs="Arial"/>
                      <w:szCs w:val="20"/>
                    </w:rPr>
                  </w:pPr>
                  <w:r>
                    <w:rPr>
                      <w:rFonts w:cs="Arial"/>
                      <w:szCs w:val="20"/>
                    </w:rPr>
                    <w:t>1</w:t>
                  </w:r>
                  <w:r w:rsidR="00C57F0B">
                    <w:rPr>
                      <w:rFonts w:cs="Arial"/>
                      <w:szCs w:val="20"/>
                    </w:rPr>
                    <w:t>5</w:t>
                  </w:r>
                  <w:r w:rsidR="00F05713">
                    <w:rPr>
                      <w:rFonts w:cs="Arial"/>
                      <w:szCs w:val="20"/>
                    </w:rPr>
                    <w:t xml:space="preserve"> </w:t>
                  </w:r>
                  <w:r w:rsidR="00C57F0B">
                    <w:rPr>
                      <w:rFonts w:cs="Arial"/>
                      <w:szCs w:val="20"/>
                    </w:rPr>
                    <w:t>May</w:t>
                  </w:r>
                  <w:r w:rsidR="00F05713">
                    <w:rPr>
                      <w:rFonts w:cs="Arial"/>
                      <w:szCs w:val="20"/>
                    </w:rPr>
                    <w:t xml:space="preserve"> 2024</w:t>
                  </w:r>
                </w:p>
              </w:tc>
            </w:tr>
            <w:tr w:rsidR="00F05713" w:rsidRPr="00EB32BB" w14:paraId="3E55BFEC" w14:textId="77777777" w:rsidTr="00F150D4">
              <w:tc>
                <w:tcPr>
                  <w:tcW w:w="5098" w:type="dxa"/>
                  <w:shd w:val="clear" w:color="auto" w:fill="auto"/>
                  <w:vAlign w:val="center"/>
                </w:tcPr>
                <w:p w14:paraId="2D913ECF" w14:textId="10D0F496" w:rsidR="00F05713" w:rsidRPr="00EB32BB" w:rsidRDefault="00F05713" w:rsidP="00F05713">
                  <w:pPr>
                    <w:tabs>
                      <w:tab w:val="left" w:pos="171"/>
                    </w:tabs>
                    <w:spacing w:before="40" w:after="40"/>
                    <w:rPr>
                      <w:rFonts w:cs="Arial"/>
                      <w:szCs w:val="20"/>
                    </w:rPr>
                  </w:pPr>
                  <w:r w:rsidRPr="00D733B3">
                    <w:rPr>
                      <w:szCs w:val="16"/>
                    </w:rPr>
                    <w:t>Change Report issued for Voting</w:t>
                  </w:r>
                </w:p>
              </w:tc>
              <w:tc>
                <w:tcPr>
                  <w:tcW w:w="2835" w:type="dxa"/>
                  <w:shd w:val="clear" w:color="auto" w:fill="auto"/>
                  <w:vAlign w:val="center"/>
                </w:tcPr>
                <w:p w14:paraId="382353E1" w14:textId="33185DDD" w:rsidR="00F05713" w:rsidRPr="00EB32BB" w:rsidRDefault="00595B7B" w:rsidP="00F05713">
                  <w:pPr>
                    <w:spacing w:before="40" w:after="40"/>
                    <w:rPr>
                      <w:rFonts w:cs="Arial"/>
                      <w:szCs w:val="20"/>
                    </w:rPr>
                  </w:pPr>
                  <w:r>
                    <w:rPr>
                      <w:rFonts w:cs="Arial"/>
                      <w:szCs w:val="20"/>
                    </w:rPr>
                    <w:t>1</w:t>
                  </w:r>
                  <w:r w:rsidR="00C57F0B">
                    <w:rPr>
                      <w:rFonts w:cs="Arial"/>
                      <w:szCs w:val="20"/>
                    </w:rPr>
                    <w:t>6</w:t>
                  </w:r>
                  <w:r w:rsidR="00F05713">
                    <w:rPr>
                      <w:rFonts w:cs="Arial"/>
                      <w:szCs w:val="20"/>
                    </w:rPr>
                    <w:t xml:space="preserve"> </w:t>
                  </w:r>
                  <w:r w:rsidR="00C57F0B">
                    <w:rPr>
                      <w:rFonts w:cs="Arial"/>
                      <w:szCs w:val="20"/>
                    </w:rPr>
                    <w:t>May</w:t>
                  </w:r>
                  <w:r w:rsidR="00F05713">
                    <w:rPr>
                      <w:rFonts w:cs="Arial"/>
                      <w:szCs w:val="20"/>
                    </w:rPr>
                    <w:t xml:space="preserve"> 2024</w:t>
                  </w:r>
                </w:p>
              </w:tc>
            </w:tr>
            <w:tr w:rsidR="00F05713" w:rsidRPr="00EB32BB" w14:paraId="5B402A6F" w14:textId="77777777" w:rsidTr="00F150D4">
              <w:tc>
                <w:tcPr>
                  <w:tcW w:w="5098" w:type="dxa"/>
                  <w:shd w:val="clear" w:color="auto" w:fill="auto"/>
                  <w:vAlign w:val="center"/>
                </w:tcPr>
                <w:p w14:paraId="7AB08AC3" w14:textId="79199A4F" w:rsidR="00F05713" w:rsidRPr="00EB32BB" w:rsidRDefault="00F05713" w:rsidP="00F05713">
                  <w:pPr>
                    <w:tabs>
                      <w:tab w:val="left" w:pos="171"/>
                    </w:tabs>
                    <w:spacing w:before="40" w:after="40"/>
                    <w:rPr>
                      <w:rFonts w:cs="Arial"/>
                      <w:szCs w:val="20"/>
                    </w:rPr>
                  </w:pPr>
                  <w:r w:rsidRPr="00D733B3">
                    <w:rPr>
                      <w:szCs w:val="16"/>
                    </w:rPr>
                    <w:t>Party Voting Closes</w:t>
                  </w:r>
                </w:p>
              </w:tc>
              <w:tc>
                <w:tcPr>
                  <w:tcW w:w="2835" w:type="dxa"/>
                  <w:shd w:val="clear" w:color="auto" w:fill="auto"/>
                  <w:vAlign w:val="center"/>
                </w:tcPr>
                <w:p w14:paraId="61C8465C" w14:textId="51BAE5DD" w:rsidR="00F05713" w:rsidRPr="00EB32BB" w:rsidRDefault="00F05713" w:rsidP="00F05713">
                  <w:pPr>
                    <w:spacing w:before="40" w:after="40"/>
                    <w:rPr>
                      <w:rFonts w:cs="Arial"/>
                      <w:szCs w:val="20"/>
                    </w:rPr>
                  </w:pPr>
                  <w:r>
                    <w:rPr>
                      <w:rFonts w:cs="Arial"/>
                      <w:szCs w:val="20"/>
                    </w:rPr>
                    <w:t>1</w:t>
                  </w:r>
                  <w:r w:rsidR="00595B7B">
                    <w:rPr>
                      <w:rFonts w:cs="Arial"/>
                      <w:szCs w:val="20"/>
                    </w:rPr>
                    <w:t>0</w:t>
                  </w:r>
                  <w:r>
                    <w:rPr>
                      <w:rFonts w:cs="Arial"/>
                      <w:szCs w:val="20"/>
                    </w:rPr>
                    <w:t xml:space="preserve"> </w:t>
                  </w:r>
                  <w:r w:rsidR="00C57F0B">
                    <w:rPr>
                      <w:rFonts w:cs="Arial"/>
                      <w:szCs w:val="20"/>
                    </w:rPr>
                    <w:t>June</w:t>
                  </w:r>
                  <w:r>
                    <w:rPr>
                      <w:rFonts w:cs="Arial"/>
                      <w:szCs w:val="20"/>
                    </w:rPr>
                    <w:t xml:space="preserve"> 2024</w:t>
                  </w:r>
                </w:p>
              </w:tc>
            </w:tr>
            <w:tr w:rsidR="00F05713" w:rsidRPr="00EB32BB" w14:paraId="5E4C2E09" w14:textId="77777777" w:rsidTr="00F150D4">
              <w:tc>
                <w:tcPr>
                  <w:tcW w:w="5098" w:type="dxa"/>
                  <w:shd w:val="clear" w:color="auto" w:fill="auto"/>
                  <w:vAlign w:val="center"/>
                </w:tcPr>
                <w:p w14:paraId="47A8DD8F" w14:textId="500A8ECC" w:rsidR="00F05713" w:rsidRPr="00B81F70" w:rsidRDefault="00F05713" w:rsidP="00F05713">
                  <w:pPr>
                    <w:tabs>
                      <w:tab w:val="left" w:pos="171"/>
                    </w:tabs>
                    <w:spacing w:before="40" w:after="40"/>
                    <w:rPr>
                      <w:rFonts w:cs="Arial"/>
                      <w:szCs w:val="20"/>
                    </w:rPr>
                  </w:pPr>
                  <w:r w:rsidRPr="00D733B3">
                    <w:rPr>
                      <w:szCs w:val="16"/>
                    </w:rPr>
                    <w:t>Change Declaration Issued to the Authority</w:t>
                  </w:r>
                </w:p>
              </w:tc>
              <w:tc>
                <w:tcPr>
                  <w:tcW w:w="2835" w:type="dxa"/>
                  <w:shd w:val="clear" w:color="auto" w:fill="auto"/>
                  <w:vAlign w:val="center"/>
                </w:tcPr>
                <w:p w14:paraId="34488CBE" w14:textId="2294CE78" w:rsidR="00F05713" w:rsidRPr="00951FDE" w:rsidRDefault="00C57F0B" w:rsidP="00F05713">
                  <w:pPr>
                    <w:spacing w:before="40" w:after="40"/>
                    <w:rPr>
                      <w:rFonts w:cs="Arial"/>
                      <w:szCs w:val="20"/>
                    </w:rPr>
                  </w:pPr>
                  <w:r>
                    <w:rPr>
                      <w:rFonts w:cs="Arial"/>
                      <w:szCs w:val="20"/>
                    </w:rPr>
                    <w:t>12</w:t>
                  </w:r>
                  <w:r w:rsidR="00F05713">
                    <w:rPr>
                      <w:rFonts w:cs="Arial"/>
                      <w:szCs w:val="20"/>
                    </w:rPr>
                    <w:t xml:space="preserve"> </w:t>
                  </w:r>
                  <w:r>
                    <w:rPr>
                      <w:rFonts w:cs="Arial"/>
                      <w:szCs w:val="20"/>
                    </w:rPr>
                    <w:t>June</w:t>
                  </w:r>
                  <w:r w:rsidR="00F05713">
                    <w:rPr>
                      <w:rFonts w:cs="Arial"/>
                      <w:szCs w:val="20"/>
                    </w:rPr>
                    <w:t xml:space="preserve"> 2024</w:t>
                  </w:r>
                </w:p>
              </w:tc>
            </w:tr>
            <w:tr w:rsidR="00F05713" w:rsidRPr="00EB32BB" w14:paraId="17599C7E" w14:textId="77777777" w:rsidTr="00C16CA5">
              <w:tc>
                <w:tcPr>
                  <w:tcW w:w="5098" w:type="dxa"/>
                  <w:shd w:val="clear" w:color="auto" w:fill="auto"/>
                  <w:vAlign w:val="center"/>
                </w:tcPr>
                <w:p w14:paraId="61E148C2" w14:textId="52A46310" w:rsidR="00F05713" w:rsidRPr="00D733B3" w:rsidRDefault="00F05713" w:rsidP="00F05713">
                  <w:pPr>
                    <w:tabs>
                      <w:tab w:val="left" w:pos="171"/>
                    </w:tabs>
                    <w:spacing w:before="40" w:after="40"/>
                    <w:rPr>
                      <w:szCs w:val="16"/>
                    </w:rPr>
                  </w:pPr>
                  <w:r w:rsidRPr="00D733B3">
                    <w:rPr>
                      <w:szCs w:val="16"/>
                    </w:rPr>
                    <w:t>Authority Decision</w:t>
                  </w:r>
                </w:p>
              </w:tc>
              <w:tc>
                <w:tcPr>
                  <w:tcW w:w="2835" w:type="dxa"/>
                  <w:shd w:val="clear" w:color="auto" w:fill="auto"/>
                </w:tcPr>
                <w:p w14:paraId="1AB11AB0" w14:textId="6F66A411" w:rsidR="00F05713" w:rsidRDefault="00F05713" w:rsidP="00F05713">
                  <w:pPr>
                    <w:spacing w:before="40" w:after="40"/>
                    <w:rPr>
                      <w:szCs w:val="16"/>
                    </w:rPr>
                  </w:pPr>
                  <w:r>
                    <w:t>N/A</w:t>
                  </w:r>
                  <w:r w:rsidRPr="00500B96">
                    <w:t xml:space="preserve"> </w:t>
                  </w:r>
                </w:p>
              </w:tc>
            </w:tr>
            <w:tr w:rsidR="00F05713" w:rsidRPr="00EB32BB" w14:paraId="6C4ACF52" w14:textId="77777777" w:rsidTr="00C16CA5">
              <w:tc>
                <w:tcPr>
                  <w:tcW w:w="5098" w:type="dxa"/>
                  <w:shd w:val="clear" w:color="auto" w:fill="auto"/>
                  <w:vAlign w:val="center"/>
                </w:tcPr>
                <w:p w14:paraId="21562520" w14:textId="646E5AB4" w:rsidR="00F05713" w:rsidRPr="00D733B3" w:rsidRDefault="00F05713" w:rsidP="00F05713">
                  <w:pPr>
                    <w:tabs>
                      <w:tab w:val="left" w:pos="171"/>
                    </w:tabs>
                    <w:spacing w:before="40" w:after="40"/>
                    <w:rPr>
                      <w:szCs w:val="16"/>
                    </w:rPr>
                  </w:pPr>
                  <w:r w:rsidRPr="00D733B3">
                    <w:rPr>
                      <w:szCs w:val="16"/>
                    </w:rPr>
                    <w:t>Implementation</w:t>
                  </w:r>
                </w:p>
              </w:tc>
              <w:tc>
                <w:tcPr>
                  <w:tcW w:w="2835" w:type="dxa"/>
                  <w:shd w:val="clear" w:color="auto" w:fill="auto"/>
                </w:tcPr>
                <w:p w14:paraId="00DAFDE4" w14:textId="1BBB1F00" w:rsidR="00F05713" w:rsidRPr="00F05713" w:rsidRDefault="00872ED3" w:rsidP="00F05713">
                  <w:pPr>
                    <w:spacing w:before="40" w:after="40"/>
                    <w:rPr>
                      <w:rFonts w:cs="Arial"/>
                    </w:rPr>
                  </w:pPr>
                  <w:r>
                    <w:rPr>
                      <w:rFonts w:cs="Arial"/>
                    </w:rPr>
                    <w:t>5 Working Days post industry approval.</w:t>
                  </w:r>
                </w:p>
              </w:tc>
            </w:tr>
          </w:tbl>
          <w:p w14:paraId="327CAA54" w14:textId="77777777" w:rsidR="00F05713" w:rsidRPr="00EB32BB" w:rsidRDefault="00F05713" w:rsidP="00F05713">
            <w:pPr>
              <w:pStyle w:val="BodyTextFirstIndent"/>
              <w:ind w:firstLine="0"/>
              <w:rPr>
                <w:rFonts w:cs="Arial"/>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739F1F78" w14:textId="68444575" w:rsidR="00F05713" w:rsidRPr="00EB32BB" w:rsidRDefault="00F05713" w:rsidP="00F05713">
            <w:pPr>
              <w:pStyle w:val="BodyText"/>
              <w:spacing w:before="60" w:after="60" w:line="240" w:lineRule="auto"/>
              <w:rPr>
                <w:rFonts w:cs="Arial"/>
                <w:szCs w:val="20"/>
              </w:rPr>
            </w:pPr>
            <w:r w:rsidRPr="00AF30A5">
              <w:rPr>
                <w:rFonts w:cs="Arial"/>
                <w:noProof/>
                <w:szCs w:val="20"/>
              </w:rPr>
              <w:drawing>
                <wp:inline distT="0" distB="0" distL="0" distR="0" wp14:anchorId="1E299729" wp14:editId="3C98CAD3">
                  <wp:extent cx="285750"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Any questions?</w:t>
            </w:r>
          </w:p>
        </w:tc>
      </w:tr>
      <w:tr w:rsidR="00F05713" w:rsidRPr="00EB32BB" w14:paraId="6786EB0C"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71950906" w14:textId="77777777" w:rsidR="00F05713" w:rsidRPr="00EB32BB" w:rsidRDefault="00F05713" w:rsidP="00F05713">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291EFD3E" w14:textId="77777777" w:rsidR="00F05713" w:rsidRDefault="00F05713" w:rsidP="00F05713">
            <w:pPr>
              <w:keepLines/>
              <w:spacing w:before="60" w:after="60" w:line="240" w:lineRule="auto"/>
              <w:rPr>
                <w:rFonts w:cs="Arial"/>
                <w:color w:val="008576"/>
                <w:szCs w:val="20"/>
              </w:rPr>
            </w:pPr>
            <w:r>
              <w:rPr>
                <w:rFonts w:cs="Arial"/>
                <w:color w:val="008576"/>
                <w:szCs w:val="20"/>
              </w:rPr>
              <w:t>Contact:</w:t>
            </w:r>
          </w:p>
          <w:p w14:paraId="69A7DAEF" w14:textId="24E603EC" w:rsidR="00F05713" w:rsidRPr="00EB32BB" w:rsidRDefault="00F05713" w:rsidP="00F05713">
            <w:pPr>
              <w:pStyle w:val="BodyText"/>
              <w:spacing w:before="60" w:after="60" w:line="240" w:lineRule="auto"/>
              <w:rPr>
                <w:rFonts w:cs="Arial"/>
                <w:color w:val="008576"/>
                <w:szCs w:val="20"/>
              </w:rPr>
            </w:pPr>
            <w:r>
              <w:rPr>
                <w:rFonts w:cs="Arial"/>
                <w:b/>
                <w:color w:val="008576"/>
                <w:szCs w:val="20"/>
              </w:rPr>
              <w:t>Code Administrator</w:t>
            </w:r>
          </w:p>
        </w:tc>
      </w:tr>
      <w:tr w:rsidR="00F05713" w:rsidRPr="00EB32BB" w14:paraId="098E81DB"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3DF41E99" w14:textId="77777777" w:rsidR="00F05713" w:rsidRPr="00EB32BB" w:rsidRDefault="00F05713" w:rsidP="00F05713">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5946BB5B" w14:textId="290D95AC" w:rsidR="00F05713" w:rsidRPr="00EB32BB" w:rsidRDefault="00F05713" w:rsidP="00F05713">
            <w:pPr>
              <w:pStyle w:val="BodyText"/>
              <w:spacing w:before="60" w:after="60" w:line="240" w:lineRule="auto"/>
              <w:rPr>
                <w:rFonts w:cs="Arial"/>
                <w:color w:val="008576"/>
                <w:szCs w:val="20"/>
              </w:rPr>
            </w:pPr>
            <w:r>
              <w:rPr>
                <w:rFonts w:cs="Arial"/>
                <w:b/>
                <w:noProof/>
                <w:color w:val="008576"/>
                <w:szCs w:val="20"/>
              </w:rPr>
              <w:drawing>
                <wp:inline distT="0" distB="0" distL="0" distR="0" wp14:anchorId="0933ACDF" wp14:editId="1E7BA222">
                  <wp:extent cx="285750" cy="285750"/>
                  <wp:effectExtent l="0" t="0" r="0" b="0"/>
                  <wp:docPr id="7" name="Picture 7"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dcusa@electralink.co.uk</w:t>
            </w:r>
          </w:p>
        </w:tc>
      </w:tr>
      <w:tr w:rsidR="00F05713" w:rsidRPr="00EB32BB" w14:paraId="472AD281"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3B186256" w14:textId="77777777" w:rsidR="00F05713" w:rsidRPr="00EB32BB" w:rsidRDefault="00F05713" w:rsidP="00F05713">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3181446D" w14:textId="2A4052DE" w:rsidR="00F05713" w:rsidRPr="00EB32BB" w:rsidRDefault="00F05713" w:rsidP="00F05713">
            <w:pPr>
              <w:pStyle w:val="BodyText"/>
              <w:spacing w:before="60" w:after="60" w:line="240" w:lineRule="auto"/>
              <w:rPr>
                <w:rFonts w:cs="Arial"/>
                <w:color w:val="008576"/>
                <w:szCs w:val="20"/>
              </w:rPr>
            </w:pPr>
            <w:r>
              <w:rPr>
                <w:rFonts w:cs="Arial"/>
                <w:b/>
                <w:noProof/>
                <w:color w:val="008576"/>
                <w:szCs w:val="20"/>
              </w:rPr>
              <w:drawing>
                <wp:inline distT="0" distB="0" distL="0" distR="0" wp14:anchorId="00B7DCBA" wp14:editId="289B8963">
                  <wp:extent cx="285750" cy="285750"/>
                  <wp:effectExtent l="0" t="0" r="0" b="0"/>
                  <wp:docPr id="73020348" name="Picture 73020348"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914208">
              <w:rPr>
                <w:rFonts w:cs="Arial"/>
                <w:b/>
                <w:color w:val="008576"/>
                <w:szCs w:val="20"/>
              </w:rPr>
              <w:t>020 7432 3011</w:t>
            </w:r>
          </w:p>
        </w:tc>
      </w:tr>
      <w:tr w:rsidR="00F05713" w:rsidRPr="00EB32BB" w14:paraId="47DBEBBE"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50DA6E96" w14:textId="77777777" w:rsidR="00F05713" w:rsidRPr="00EB32BB" w:rsidRDefault="00F05713" w:rsidP="00F05713">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7CA049B5" w14:textId="77777777" w:rsidR="00F05713" w:rsidRPr="00C30383" w:rsidRDefault="00F05713" w:rsidP="00F05713">
            <w:pPr>
              <w:keepLines/>
              <w:spacing w:before="60" w:after="60" w:line="240" w:lineRule="auto"/>
              <w:rPr>
                <w:rFonts w:cs="Arial"/>
                <w:bCs/>
                <w:color w:val="008576"/>
                <w:szCs w:val="20"/>
                <w:lang w:val="en-US"/>
              </w:rPr>
            </w:pPr>
            <w:r w:rsidRPr="00C30383">
              <w:rPr>
                <w:rFonts w:cs="Arial"/>
                <w:bCs/>
                <w:color w:val="008576"/>
                <w:szCs w:val="20"/>
                <w:lang w:val="en-US"/>
              </w:rPr>
              <w:t>Proposer:</w:t>
            </w:r>
          </w:p>
          <w:p w14:paraId="07A45EF7" w14:textId="2C388F14" w:rsidR="00F05713" w:rsidRPr="004E5503" w:rsidRDefault="00F05713" w:rsidP="00F05713">
            <w:pPr>
              <w:spacing w:before="60" w:after="60" w:line="240" w:lineRule="auto"/>
              <w:rPr>
                <w:rFonts w:cs="Arial"/>
                <w:b/>
                <w:color w:val="008576"/>
                <w:szCs w:val="20"/>
              </w:rPr>
            </w:pPr>
            <w:r>
              <w:rPr>
                <w:rFonts w:cs="Arial"/>
                <w:b/>
                <w:color w:val="008576"/>
                <w:szCs w:val="20"/>
                <w:lang w:val="en-US"/>
              </w:rPr>
              <w:t>Dave Wornell</w:t>
            </w:r>
            <w:r w:rsidRPr="00C30383">
              <w:rPr>
                <w:rFonts w:cs="Arial"/>
                <w:b/>
                <w:color w:val="008576"/>
                <w:szCs w:val="20"/>
                <w:lang w:val="en-US"/>
              </w:rPr>
              <w:t xml:space="preserve"> </w:t>
            </w:r>
          </w:p>
        </w:tc>
      </w:tr>
      <w:tr w:rsidR="00F05713" w:rsidRPr="00EB32BB" w14:paraId="7FD76F8D"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5AEFB2D6" w14:textId="77777777" w:rsidR="00F05713" w:rsidRPr="00EB32BB" w:rsidRDefault="00F05713" w:rsidP="00F05713">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73940A08" w14:textId="77777777" w:rsidR="00F05713" w:rsidRPr="00C30383" w:rsidRDefault="00F05713" w:rsidP="00F05713">
            <w:pPr>
              <w:pStyle w:val="BodyText"/>
              <w:keepLines/>
              <w:spacing w:before="60" w:after="60" w:line="240" w:lineRule="auto"/>
              <w:rPr>
                <w:rFonts w:cs="Arial"/>
                <w:b/>
                <w:color w:val="008576"/>
                <w:szCs w:val="20"/>
                <w:lang w:val="en-US"/>
              </w:rPr>
            </w:pPr>
            <w:r w:rsidRPr="00C30383">
              <w:rPr>
                <w:rFonts w:cs="Arial"/>
                <w:b/>
                <w:noProof/>
                <w:color w:val="008576"/>
                <w:szCs w:val="20"/>
                <w:lang w:val="en-US"/>
              </w:rPr>
              <w:drawing>
                <wp:inline distT="0" distB="0" distL="0" distR="0" wp14:anchorId="09E83640" wp14:editId="2C75FE62">
                  <wp:extent cx="285750" cy="285750"/>
                  <wp:effectExtent l="0" t="0" r="0" b="0"/>
                  <wp:docPr id="5" name="Picture 5"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14:paraId="50CDBCF9" w14:textId="42790A47" w:rsidR="00F05713" w:rsidRPr="0054531B" w:rsidRDefault="0072597D" w:rsidP="00F05713">
            <w:pPr>
              <w:pStyle w:val="BodyText"/>
              <w:spacing w:before="60" w:after="60" w:line="240" w:lineRule="auto"/>
            </w:pPr>
            <w:r w:rsidRPr="0072597D">
              <w:rPr>
                <w:rFonts w:cs="Arial"/>
                <w:b/>
                <w:color w:val="008576"/>
                <w:szCs w:val="20"/>
              </w:rPr>
              <w:t>dwornell@nationalgrid.co.uk</w:t>
            </w:r>
            <w:r w:rsidRPr="0072597D" w:rsidDel="0072597D">
              <w:rPr>
                <w:rFonts w:cs="Arial"/>
                <w:b/>
                <w:color w:val="008576"/>
                <w:szCs w:val="20"/>
              </w:rPr>
              <w:t xml:space="preserve"> </w:t>
            </w:r>
          </w:p>
        </w:tc>
      </w:tr>
      <w:tr w:rsidR="00F05713" w:rsidRPr="00EB32BB" w14:paraId="6AC8BF88" w14:textId="77777777" w:rsidTr="00194176">
        <w:trPr>
          <w:trHeight w:val="615"/>
        </w:trPr>
        <w:tc>
          <w:tcPr>
            <w:tcW w:w="7968" w:type="dxa"/>
            <w:vMerge/>
            <w:tcBorders>
              <w:left w:val="single" w:sz="4" w:space="0" w:color="4A8958"/>
              <w:bottom w:val="single" w:sz="4" w:space="0" w:color="4A8958"/>
              <w:right w:val="single" w:sz="4" w:space="0" w:color="4A8958"/>
            </w:tcBorders>
            <w:shd w:val="clear" w:color="auto" w:fill="auto"/>
          </w:tcPr>
          <w:p w14:paraId="06DF5EED" w14:textId="77777777" w:rsidR="00F05713" w:rsidRPr="00EB32BB" w:rsidRDefault="00F05713" w:rsidP="00F05713">
            <w:pPr>
              <w:pStyle w:val="Contents01"/>
              <w:rPr>
                <w:noProof/>
              </w:rPr>
            </w:pPr>
          </w:p>
        </w:tc>
        <w:tc>
          <w:tcPr>
            <w:tcW w:w="2239" w:type="dxa"/>
            <w:tcBorders>
              <w:top w:val="single" w:sz="4" w:space="0" w:color="4A8958"/>
              <w:left w:val="single" w:sz="4" w:space="0" w:color="4A8958"/>
              <w:bottom w:val="single" w:sz="4" w:space="0" w:color="4A8958"/>
              <w:right w:val="single" w:sz="4" w:space="0" w:color="4A8958"/>
            </w:tcBorders>
            <w:shd w:val="clear" w:color="auto" w:fill="auto"/>
          </w:tcPr>
          <w:p w14:paraId="119DB8D7" w14:textId="0D7D2351" w:rsidR="00F05713" w:rsidRPr="00EB32BB" w:rsidRDefault="00F05713" w:rsidP="00F05713">
            <w:pPr>
              <w:pStyle w:val="BodyText"/>
              <w:spacing w:before="60" w:after="60" w:line="240" w:lineRule="auto"/>
              <w:rPr>
                <w:rFonts w:cs="Arial"/>
                <w:color w:val="008576"/>
                <w:szCs w:val="20"/>
              </w:rPr>
            </w:pPr>
            <w:r>
              <w:rPr>
                <w:rFonts w:cs="Arial"/>
                <w:b/>
                <w:noProof/>
                <w:color w:val="008576"/>
                <w:szCs w:val="20"/>
              </w:rPr>
              <w:drawing>
                <wp:inline distT="0" distB="0" distL="0" distR="0" wp14:anchorId="14C0A1D6" wp14:editId="3D0D4631">
                  <wp:extent cx="285750" cy="285750"/>
                  <wp:effectExtent l="0" t="0" r="0" b="0"/>
                  <wp:docPr id="2" name="Picture 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r>
              <w:rPr>
                <w:rFonts w:cs="Arial"/>
                <w:b/>
                <w:color w:val="008576"/>
                <w:szCs w:val="20"/>
              </w:rPr>
              <w:t>N/A</w:t>
            </w:r>
          </w:p>
        </w:tc>
      </w:tr>
      <w:tr w:rsidR="0076023E" w:rsidRPr="00EB32BB" w14:paraId="782BC7C3" w14:textId="77777777" w:rsidTr="00194176">
        <w:trPr>
          <w:gridAfter w:val="1"/>
          <w:wAfter w:w="2239" w:type="dxa"/>
          <w:trHeight w:val="722"/>
        </w:trPr>
        <w:tc>
          <w:tcPr>
            <w:tcW w:w="7968" w:type="dxa"/>
            <w:vMerge/>
            <w:tcBorders>
              <w:left w:val="single" w:sz="4" w:space="0" w:color="4A8958"/>
              <w:bottom w:val="single" w:sz="4" w:space="0" w:color="4A8958"/>
              <w:right w:val="single" w:sz="4" w:space="0" w:color="4A8958"/>
            </w:tcBorders>
            <w:shd w:val="clear" w:color="auto" w:fill="auto"/>
          </w:tcPr>
          <w:p w14:paraId="3268C3C9" w14:textId="77777777" w:rsidR="0076023E" w:rsidRPr="00EB32BB" w:rsidRDefault="0076023E" w:rsidP="00A809BC">
            <w:pPr>
              <w:pStyle w:val="Contents01"/>
              <w:rPr>
                <w:noProof/>
              </w:rPr>
            </w:pPr>
          </w:p>
        </w:tc>
      </w:tr>
      <w:tr w:rsidR="0076023E" w:rsidRPr="00EB32BB" w14:paraId="641F8091"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429B8A90" w14:textId="77777777" w:rsidR="0076023E" w:rsidRPr="00EB32BB" w:rsidRDefault="0076023E" w:rsidP="004A3386">
            <w:pPr>
              <w:pStyle w:val="BodyText"/>
              <w:rPr>
                <w:rFonts w:cs="Arial"/>
                <w:b/>
                <w:bCs/>
                <w:noProof/>
                <w:color w:val="00B274"/>
                <w:szCs w:val="32"/>
              </w:rPr>
            </w:pPr>
          </w:p>
        </w:tc>
      </w:tr>
      <w:tr w:rsidR="0076023E" w:rsidRPr="00EB32BB" w14:paraId="76EC7D3C"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279414BE" w14:textId="77777777" w:rsidR="0076023E" w:rsidRPr="00EB32BB" w:rsidRDefault="0076023E" w:rsidP="004A3386">
            <w:pPr>
              <w:pStyle w:val="BodyText"/>
              <w:rPr>
                <w:rFonts w:cs="Arial"/>
                <w:b/>
                <w:bCs/>
                <w:noProof/>
                <w:color w:val="00B274"/>
                <w:szCs w:val="32"/>
              </w:rPr>
            </w:pPr>
          </w:p>
        </w:tc>
      </w:tr>
      <w:tr w:rsidR="0076023E" w:rsidRPr="00EB32BB" w14:paraId="6EC9B2C9"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698D5A2F" w14:textId="77777777" w:rsidR="0076023E" w:rsidRPr="00EB32BB" w:rsidRDefault="0076023E" w:rsidP="004A3386">
            <w:pPr>
              <w:pStyle w:val="BodyText"/>
              <w:rPr>
                <w:rFonts w:cs="Arial"/>
                <w:b/>
                <w:bCs/>
                <w:noProof/>
                <w:color w:val="00B274"/>
                <w:szCs w:val="32"/>
              </w:rPr>
            </w:pPr>
          </w:p>
        </w:tc>
      </w:tr>
      <w:tr w:rsidR="0076023E" w:rsidRPr="00EB32BB" w14:paraId="0F6EAC15"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4ADCB092" w14:textId="77777777" w:rsidR="0076023E" w:rsidRPr="00EB32BB" w:rsidRDefault="0076023E" w:rsidP="004A3386">
            <w:pPr>
              <w:pStyle w:val="BodyText"/>
              <w:rPr>
                <w:rFonts w:cs="Arial"/>
                <w:b/>
                <w:bCs/>
                <w:noProof/>
                <w:color w:val="00B274"/>
                <w:szCs w:val="32"/>
              </w:rPr>
            </w:pPr>
          </w:p>
        </w:tc>
      </w:tr>
      <w:tr w:rsidR="0076023E" w:rsidRPr="00EB32BB" w14:paraId="6F2672C8" w14:textId="77777777" w:rsidTr="00194176">
        <w:trPr>
          <w:gridAfter w:val="1"/>
          <w:wAfter w:w="2239" w:type="dxa"/>
          <w:trHeight w:val="628"/>
        </w:trPr>
        <w:tc>
          <w:tcPr>
            <w:tcW w:w="7968" w:type="dxa"/>
            <w:vMerge/>
            <w:tcBorders>
              <w:left w:val="single" w:sz="4" w:space="0" w:color="4A8958"/>
              <w:bottom w:val="single" w:sz="4" w:space="0" w:color="4A8958"/>
              <w:right w:val="single" w:sz="4" w:space="0" w:color="4A8958"/>
            </w:tcBorders>
            <w:shd w:val="clear" w:color="auto" w:fill="auto"/>
          </w:tcPr>
          <w:p w14:paraId="23CC4958" w14:textId="77777777" w:rsidR="0076023E" w:rsidRPr="00EB32BB" w:rsidRDefault="0076023E" w:rsidP="004A3386">
            <w:pPr>
              <w:pStyle w:val="BodyText"/>
              <w:rPr>
                <w:rFonts w:cs="Arial"/>
                <w:b/>
                <w:bCs/>
                <w:noProof/>
                <w:color w:val="00B274"/>
                <w:szCs w:val="32"/>
              </w:rPr>
            </w:pPr>
          </w:p>
        </w:tc>
      </w:tr>
      <w:tr w:rsidR="0076023E" w:rsidRPr="00EB32BB" w14:paraId="0F1BCD4C"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310E5D3D" w14:textId="77777777" w:rsidR="0076023E" w:rsidRPr="00EB32BB" w:rsidRDefault="0076023E" w:rsidP="004A3386">
            <w:pPr>
              <w:pStyle w:val="BodyText"/>
              <w:spacing w:line="240" w:lineRule="auto"/>
              <w:rPr>
                <w:rFonts w:cs="Arial"/>
                <w:szCs w:val="20"/>
              </w:rPr>
            </w:pPr>
          </w:p>
        </w:tc>
      </w:tr>
      <w:tr w:rsidR="0076023E" w:rsidRPr="00EB32BB" w14:paraId="5CA98AB0" w14:textId="77777777" w:rsidTr="00194176">
        <w:trPr>
          <w:gridAfter w:val="1"/>
          <w:wAfter w:w="2239" w:type="dxa"/>
          <w:trHeight w:val="540"/>
        </w:trPr>
        <w:tc>
          <w:tcPr>
            <w:tcW w:w="7968" w:type="dxa"/>
            <w:vMerge/>
            <w:tcBorders>
              <w:left w:val="single" w:sz="4" w:space="0" w:color="4A8958"/>
              <w:bottom w:val="single" w:sz="4" w:space="0" w:color="4A8958"/>
              <w:right w:val="single" w:sz="4" w:space="0" w:color="4A8958"/>
            </w:tcBorders>
            <w:shd w:val="clear" w:color="auto" w:fill="auto"/>
          </w:tcPr>
          <w:p w14:paraId="389F91CF" w14:textId="77777777" w:rsidR="0076023E" w:rsidRPr="00EB32BB" w:rsidRDefault="0076023E" w:rsidP="004A3386">
            <w:pPr>
              <w:pStyle w:val="BodyText"/>
              <w:spacing w:line="240" w:lineRule="auto"/>
              <w:rPr>
                <w:rFonts w:cs="Arial"/>
                <w:szCs w:val="20"/>
              </w:rPr>
            </w:pPr>
          </w:p>
        </w:tc>
      </w:tr>
      <w:tr w:rsidR="0076023E" w:rsidRPr="00EB32BB" w14:paraId="2FD970B2" w14:textId="77777777" w:rsidTr="0000683D">
        <w:trPr>
          <w:gridAfter w:val="1"/>
          <w:wAfter w:w="2239" w:type="dxa"/>
          <w:trHeight w:val="540"/>
        </w:trPr>
        <w:tc>
          <w:tcPr>
            <w:tcW w:w="7968" w:type="dxa"/>
            <w:vMerge/>
            <w:tcBorders>
              <w:left w:val="single" w:sz="4" w:space="0" w:color="4A8958"/>
              <w:right w:val="single" w:sz="4" w:space="0" w:color="4A8958"/>
            </w:tcBorders>
            <w:shd w:val="clear" w:color="auto" w:fill="auto"/>
          </w:tcPr>
          <w:p w14:paraId="6F3A6FA1" w14:textId="77777777" w:rsidR="0076023E" w:rsidRPr="00EB32BB" w:rsidRDefault="0076023E" w:rsidP="004A3386">
            <w:pPr>
              <w:pStyle w:val="BodyText"/>
              <w:spacing w:line="240" w:lineRule="auto"/>
              <w:rPr>
                <w:rFonts w:cs="Arial"/>
                <w:szCs w:val="20"/>
              </w:rPr>
            </w:pPr>
          </w:p>
        </w:tc>
      </w:tr>
      <w:tr w:rsidR="0000683D" w:rsidRPr="00EB32BB" w14:paraId="3758618E" w14:textId="77777777" w:rsidTr="0000683D">
        <w:trPr>
          <w:gridAfter w:val="1"/>
          <w:wAfter w:w="2239" w:type="dxa"/>
          <w:trHeight w:hRule="exact" w:val="301"/>
        </w:trPr>
        <w:tc>
          <w:tcPr>
            <w:tcW w:w="7968" w:type="dxa"/>
            <w:tcBorders>
              <w:left w:val="single" w:sz="4" w:space="0" w:color="4A8958"/>
              <w:bottom w:val="single" w:sz="4" w:space="0" w:color="4A8958"/>
              <w:right w:val="single" w:sz="4" w:space="0" w:color="4A8958"/>
            </w:tcBorders>
            <w:shd w:val="clear" w:color="auto" w:fill="auto"/>
          </w:tcPr>
          <w:p w14:paraId="1696195F" w14:textId="77777777" w:rsidR="0000683D" w:rsidRDefault="0000683D" w:rsidP="004A3386">
            <w:pPr>
              <w:pStyle w:val="BodyText"/>
              <w:spacing w:line="240" w:lineRule="auto"/>
              <w:rPr>
                <w:rFonts w:cs="Arial"/>
                <w:szCs w:val="20"/>
              </w:rPr>
            </w:pPr>
          </w:p>
          <w:p w14:paraId="2A536696" w14:textId="77777777" w:rsidR="0000683D" w:rsidRDefault="0000683D" w:rsidP="004A3386">
            <w:pPr>
              <w:pStyle w:val="BodyText"/>
              <w:spacing w:line="240" w:lineRule="auto"/>
              <w:rPr>
                <w:rFonts w:cs="Arial"/>
                <w:szCs w:val="20"/>
              </w:rPr>
            </w:pPr>
          </w:p>
          <w:p w14:paraId="07468491" w14:textId="17581CBE" w:rsidR="0000683D" w:rsidRPr="00EB32BB" w:rsidRDefault="0000683D" w:rsidP="004A3386">
            <w:pPr>
              <w:pStyle w:val="BodyText"/>
              <w:spacing w:line="240" w:lineRule="auto"/>
              <w:rPr>
                <w:rFonts w:cs="Arial"/>
                <w:szCs w:val="20"/>
              </w:rPr>
            </w:pPr>
          </w:p>
        </w:tc>
      </w:tr>
    </w:tbl>
    <w:p w14:paraId="03CEDBDB" w14:textId="32E5939C" w:rsidR="007E2EF2" w:rsidRDefault="007E2EF2" w:rsidP="001B3B7B">
      <w:pPr>
        <w:pStyle w:val="Heading3"/>
      </w:pPr>
      <w:bookmarkStart w:id="2" w:name="_Toc318967195"/>
    </w:p>
    <w:p w14:paraId="5FE1879A" w14:textId="77777777" w:rsidR="00FC29A9" w:rsidRDefault="00FC29A9" w:rsidP="001B3B7B">
      <w:pPr>
        <w:pStyle w:val="Heading3"/>
      </w:pPr>
    </w:p>
    <w:p w14:paraId="2C5C99A5" w14:textId="0C7707D4" w:rsidR="007E2EF2" w:rsidRDefault="00510C5E" w:rsidP="00872ED3">
      <w:pPr>
        <w:pStyle w:val="Heading3"/>
      </w:pPr>
      <w:r>
        <w:tab/>
      </w:r>
    </w:p>
    <w:p w14:paraId="57AD8096" w14:textId="6A1E059C" w:rsidR="007E2EF2" w:rsidRPr="007E2EF2" w:rsidRDefault="000E5301" w:rsidP="007E2EF2">
      <w:pPr>
        <w:pStyle w:val="Heading03"/>
      </w:pPr>
      <w:bookmarkStart w:id="3" w:name="_Toc125191620"/>
      <w:r>
        <w:lastRenderedPageBreak/>
        <w:t>Executive Summary</w:t>
      </w:r>
      <w:bookmarkEnd w:id="3"/>
    </w:p>
    <w:p w14:paraId="24994EDA" w14:textId="197375D9" w:rsidR="00D86289" w:rsidRPr="00E45140" w:rsidRDefault="00D86289" w:rsidP="00E45140">
      <w:pPr>
        <w:pStyle w:val="Heading4"/>
      </w:pPr>
      <w:r w:rsidRPr="00E45140">
        <w:t>What</w:t>
      </w:r>
      <w:r w:rsidR="001E6639">
        <w:t>?</w:t>
      </w:r>
    </w:p>
    <w:p w14:paraId="743133F5" w14:textId="77777777" w:rsidR="00F05713" w:rsidRPr="00F05713" w:rsidRDefault="00F05713" w:rsidP="00F05713">
      <w:pPr>
        <w:pStyle w:val="ListParagraph"/>
        <w:numPr>
          <w:ilvl w:val="1"/>
          <w:numId w:val="18"/>
        </w:numPr>
        <w:rPr>
          <w:rFonts w:eastAsia="MS Gothic" w:cs="Arial"/>
          <w:iCs/>
          <w:color w:val="000000" w:themeColor="text1"/>
        </w:rPr>
      </w:pPr>
      <w:r w:rsidRPr="00F05713">
        <w:rPr>
          <w:rFonts w:eastAsia="MS Gothic" w:cs="Arial"/>
          <w:iCs/>
          <w:color w:val="000000" w:themeColor="text1"/>
        </w:rPr>
        <w:t>The Tables in schedule 15 of DCUSA were created to represent the revenue splits for DPCR5 and RIIO-ED1 whereas RIIO-ED2 revenue splits are very different.</w:t>
      </w:r>
    </w:p>
    <w:p w14:paraId="14C31FCB" w14:textId="5946DFCC" w:rsidR="00D86289" w:rsidRDefault="00D86289" w:rsidP="00E45140">
      <w:pPr>
        <w:pStyle w:val="Heading4"/>
      </w:pPr>
      <w:r w:rsidRPr="004C6117">
        <w:t>Why</w:t>
      </w:r>
      <w:r w:rsidR="001E6639">
        <w:t>?</w:t>
      </w:r>
      <w:r>
        <w:t xml:space="preserve"> </w:t>
      </w:r>
    </w:p>
    <w:p w14:paraId="3D9545E8" w14:textId="77777777" w:rsidR="00F05713" w:rsidRPr="00F05713" w:rsidRDefault="00F05713" w:rsidP="00F05713">
      <w:pPr>
        <w:pStyle w:val="ListParagraph"/>
        <w:numPr>
          <w:ilvl w:val="1"/>
          <w:numId w:val="18"/>
        </w:numPr>
        <w:rPr>
          <w:rFonts w:eastAsia="MS Gothic" w:cs="Arial"/>
          <w:iCs/>
          <w:color w:val="000000" w:themeColor="text1"/>
        </w:rPr>
      </w:pPr>
      <w:r w:rsidRPr="00F05713">
        <w:rPr>
          <w:rFonts w:eastAsia="MS Gothic" w:cs="Arial"/>
          <w:iCs/>
          <w:color w:val="000000" w:themeColor="text1"/>
        </w:rPr>
        <w:t>The previous electricity Distribution price control (known as RIIO-ED1) ended on 31 March 2023. The new price control (known as RIIO-ED2) will cover the five-year period from 1 April 2023 to 31 March 2028. The current tables are not suitable to correctly represent RIIO-ED2 revenue.</w:t>
      </w:r>
    </w:p>
    <w:p w14:paraId="6978B872" w14:textId="19E6DE3E" w:rsidR="008A3C81" w:rsidRDefault="008A3C81" w:rsidP="00E45140">
      <w:pPr>
        <w:pStyle w:val="Heading4"/>
      </w:pPr>
      <w:r w:rsidRPr="004C6117">
        <w:t>How</w:t>
      </w:r>
      <w:r w:rsidR="001E6639">
        <w:t>?</w:t>
      </w:r>
    </w:p>
    <w:p w14:paraId="49FA8F8B" w14:textId="51F98271" w:rsidR="00F05713" w:rsidRDefault="00F05713" w:rsidP="00F05713">
      <w:pPr>
        <w:pStyle w:val="ListParagraph"/>
        <w:numPr>
          <w:ilvl w:val="1"/>
          <w:numId w:val="18"/>
        </w:numPr>
        <w:rPr>
          <w:rFonts w:eastAsia="MS Gothic" w:cs="Arial"/>
          <w:iCs/>
          <w:color w:val="000000" w:themeColor="text1"/>
        </w:rPr>
      </w:pPr>
      <w:bookmarkStart w:id="4" w:name="_Ref123117024"/>
      <w:r w:rsidRPr="00F05713">
        <w:rPr>
          <w:rFonts w:eastAsia="MS Gothic" w:cs="Arial"/>
          <w:iCs/>
          <w:color w:val="000000" w:themeColor="text1"/>
        </w:rPr>
        <w:t xml:space="preserve">Amendments to the Cost Information Tables (specifically Table 1 and 2) within Schedule 15 of DCUSA to correctly represent the calculation of allowed revenue under the RIIO-ED2 Special Conditions of the Electricity Distribution Licence. </w:t>
      </w:r>
      <w:r w:rsidR="00801F2D">
        <w:rPr>
          <w:rFonts w:eastAsia="MS Gothic" w:cs="Arial"/>
          <w:iCs/>
          <w:color w:val="000000" w:themeColor="text1"/>
        </w:rPr>
        <w:t xml:space="preserve">These tables will be </w:t>
      </w:r>
      <w:r w:rsidR="00CE4344">
        <w:rPr>
          <w:rFonts w:eastAsia="MS Gothic" w:cs="Arial"/>
          <w:iCs/>
          <w:color w:val="000000" w:themeColor="text1"/>
        </w:rPr>
        <w:t xml:space="preserve">provided in a template workbook to be hosted on the DCUSA website with a reference to the template in the legal text, rather than the format of the tables being specified explicitly in the legal text. This will make it easier to implement any updates to the tables in future and ensure all DNOs are using </w:t>
      </w:r>
      <w:proofErr w:type="gramStart"/>
      <w:r w:rsidR="00CE4344">
        <w:rPr>
          <w:rFonts w:eastAsia="MS Gothic" w:cs="Arial"/>
          <w:iCs/>
          <w:color w:val="000000" w:themeColor="text1"/>
        </w:rPr>
        <w:t>exactly the same</w:t>
      </w:r>
      <w:proofErr w:type="gramEnd"/>
      <w:r w:rsidR="00CE4344">
        <w:rPr>
          <w:rFonts w:eastAsia="MS Gothic" w:cs="Arial"/>
          <w:iCs/>
          <w:color w:val="000000" w:themeColor="text1"/>
        </w:rPr>
        <w:t xml:space="preserve"> format for their submissions.</w:t>
      </w:r>
      <w:r w:rsidR="00801F2D">
        <w:rPr>
          <w:rFonts w:eastAsia="MS Gothic" w:cs="Arial"/>
          <w:iCs/>
          <w:color w:val="000000" w:themeColor="text1"/>
        </w:rPr>
        <w:t xml:space="preserve"> </w:t>
      </w:r>
      <w:r w:rsidR="00CE4344" w:rsidRPr="00F05713">
        <w:rPr>
          <w:rFonts w:eastAsia="MS Gothic" w:cs="Arial"/>
          <w:iCs/>
          <w:color w:val="000000" w:themeColor="text1"/>
        </w:rPr>
        <w:t xml:space="preserve">The proposed </w:t>
      </w:r>
      <w:r w:rsidR="00CE4344">
        <w:rPr>
          <w:rFonts w:eastAsia="MS Gothic" w:cs="Arial"/>
          <w:iCs/>
          <w:color w:val="000000" w:themeColor="text1"/>
        </w:rPr>
        <w:t>workbook template for these</w:t>
      </w:r>
      <w:r w:rsidR="00CE4344" w:rsidRPr="00F05713">
        <w:rPr>
          <w:rFonts w:eastAsia="MS Gothic" w:cs="Arial"/>
          <w:iCs/>
          <w:color w:val="000000" w:themeColor="text1"/>
        </w:rPr>
        <w:t xml:space="preserve"> tables</w:t>
      </w:r>
      <w:r w:rsidR="00CE4344">
        <w:rPr>
          <w:rFonts w:eastAsia="MS Gothic" w:cs="Arial"/>
          <w:iCs/>
          <w:color w:val="000000" w:themeColor="text1"/>
        </w:rPr>
        <w:t xml:space="preserve"> with the updated format</w:t>
      </w:r>
      <w:r w:rsidR="00CE4344" w:rsidRPr="00F05713">
        <w:rPr>
          <w:rFonts w:eastAsia="MS Gothic" w:cs="Arial"/>
          <w:iCs/>
          <w:color w:val="000000" w:themeColor="text1"/>
        </w:rPr>
        <w:t xml:space="preserve"> is in </w:t>
      </w:r>
      <w:r w:rsidR="00CE4344" w:rsidRPr="00872ED3">
        <w:rPr>
          <w:rFonts w:eastAsia="MS Gothic" w:cs="Arial"/>
          <w:iCs/>
          <w:color w:val="000000" w:themeColor="text1"/>
        </w:rPr>
        <w:t xml:space="preserve">Attachment </w:t>
      </w:r>
      <w:r w:rsidR="00872ED3" w:rsidRPr="00872ED3">
        <w:rPr>
          <w:rFonts w:eastAsia="MS Gothic" w:cs="Arial"/>
          <w:iCs/>
          <w:color w:val="000000" w:themeColor="text1"/>
        </w:rPr>
        <w:t>5</w:t>
      </w:r>
      <w:r w:rsidR="00CE4344" w:rsidRPr="00872ED3">
        <w:rPr>
          <w:rFonts w:eastAsia="MS Gothic" w:cs="Arial"/>
          <w:iCs/>
          <w:color w:val="000000" w:themeColor="text1"/>
        </w:rPr>
        <w:t>_Proposed ED2 Template</w:t>
      </w:r>
      <w:r w:rsidR="00CE4344" w:rsidRPr="00F05713">
        <w:rPr>
          <w:rFonts w:eastAsia="MS Gothic" w:cs="Arial"/>
          <w:iCs/>
          <w:color w:val="000000" w:themeColor="text1"/>
        </w:rPr>
        <w:t>.</w:t>
      </w:r>
    </w:p>
    <w:p w14:paraId="1ECACC82" w14:textId="539920E5" w:rsidR="00CE4344" w:rsidRPr="00F05713" w:rsidRDefault="00CE4344" w:rsidP="00F05713">
      <w:pPr>
        <w:pStyle w:val="ListParagraph"/>
        <w:numPr>
          <w:ilvl w:val="1"/>
          <w:numId w:val="18"/>
        </w:numPr>
        <w:rPr>
          <w:rFonts w:eastAsia="MS Gothic" w:cs="Arial"/>
          <w:iCs/>
          <w:color w:val="000000" w:themeColor="text1"/>
        </w:rPr>
      </w:pPr>
      <w:r>
        <w:rPr>
          <w:rFonts w:eastAsia="MS Gothic" w:cs="Arial"/>
          <w:iCs/>
          <w:color w:val="000000" w:themeColor="text1"/>
        </w:rPr>
        <w:t xml:space="preserve">These amendments are also reflected in the CDCM model and Annual Review Pack (ARP) </w:t>
      </w:r>
      <w:r w:rsidRPr="005F6350">
        <w:t>‘General Inputs’</w:t>
      </w:r>
      <w:r>
        <w:rPr>
          <w:rFonts w:eastAsia="MS Gothic" w:cs="Arial"/>
          <w:iCs/>
          <w:color w:val="000000" w:themeColor="text1"/>
        </w:rPr>
        <w:t>.</w:t>
      </w:r>
    </w:p>
    <w:p w14:paraId="2C61AB27" w14:textId="63B37D5B" w:rsidR="00F05713" w:rsidRPr="00F05713" w:rsidRDefault="00F05713" w:rsidP="00F05713">
      <w:pPr>
        <w:pStyle w:val="ListParagraph"/>
        <w:numPr>
          <w:ilvl w:val="1"/>
          <w:numId w:val="18"/>
        </w:numPr>
        <w:rPr>
          <w:rFonts w:eastAsia="MS Gothic" w:cs="Arial"/>
          <w:iCs/>
          <w:color w:val="000000" w:themeColor="text1"/>
        </w:rPr>
      </w:pPr>
      <w:r w:rsidRPr="00F05713">
        <w:rPr>
          <w:rFonts w:eastAsia="MS Gothic" w:cs="Arial"/>
          <w:iCs/>
          <w:color w:val="000000" w:themeColor="text1"/>
        </w:rPr>
        <w:t>It has been highlighted that DCP 325</w:t>
      </w:r>
      <w:r>
        <w:rPr>
          <w:rStyle w:val="FootnoteReference"/>
          <w:rFonts w:eastAsia="MS Gothic" w:cs="Arial"/>
          <w:iCs/>
          <w:color w:val="000000" w:themeColor="text1"/>
        </w:rPr>
        <w:footnoteReference w:id="2"/>
      </w:r>
      <w:r w:rsidRPr="00F05713">
        <w:rPr>
          <w:rFonts w:eastAsia="MS Gothic" w:cs="Arial"/>
          <w:iCs/>
          <w:color w:val="000000" w:themeColor="text1"/>
        </w:rPr>
        <w:t xml:space="preserve"> ‘Reviewing the requirements of Sections 35A ('Provision of Cost Information'), 35B ('Production of the Annual Review Pack'), Schedule 15 ('Cost Information Table') and Schedule 20 ('Production of the Annual Review Pack')’ will have some interactions with this change which are addressed in section 4.</w:t>
      </w:r>
    </w:p>
    <w:p w14:paraId="25E1294F" w14:textId="39EFC0F9" w:rsidR="00F05713" w:rsidRDefault="00F05713" w:rsidP="00F57DF4">
      <w:pPr>
        <w:numPr>
          <w:ilvl w:val="1"/>
          <w:numId w:val="0"/>
        </w:numPr>
        <w:tabs>
          <w:tab w:val="left" w:pos="7371"/>
        </w:tabs>
        <w:spacing w:before="240" w:after="0" w:line="360" w:lineRule="auto"/>
        <w:ind w:left="567" w:hanging="576"/>
        <w:jc w:val="both"/>
        <w:outlineLvl w:val="1"/>
      </w:pPr>
    </w:p>
    <w:p w14:paraId="7F7AF739" w14:textId="42BB4ECE" w:rsidR="00E6212D" w:rsidRDefault="00E6212D" w:rsidP="00E45140">
      <w:pPr>
        <w:pStyle w:val="Heading03"/>
      </w:pPr>
      <w:bookmarkStart w:id="5" w:name="_Toc125191621"/>
      <w:bookmarkEnd w:id="4"/>
      <w:r w:rsidRPr="00E45140">
        <w:t>Governance</w:t>
      </w:r>
      <w:bookmarkEnd w:id="2"/>
      <w:bookmarkEnd w:id="5"/>
    </w:p>
    <w:p w14:paraId="5C6C8FA7" w14:textId="2DF12F29" w:rsidR="00845FE1" w:rsidRDefault="00E45140" w:rsidP="008172D1">
      <w:pPr>
        <w:pStyle w:val="Heading4"/>
      </w:pPr>
      <w:r w:rsidRPr="00E45140">
        <w:t xml:space="preserve">Justification for Part </w:t>
      </w:r>
      <w:r w:rsidR="00F05713">
        <w:t>2</w:t>
      </w:r>
      <w:r w:rsidRPr="00E45140">
        <w:t xml:space="preserve"> </w:t>
      </w:r>
      <w:bookmarkStart w:id="6" w:name="_Hlk125021992"/>
      <w:r w:rsidRPr="00B9336C">
        <w:t>Matter</w:t>
      </w:r>
      <w:bookmarkEnd w:id="6"/>
    </w:p>
    <w:p w14:paraId="129A22B1" w14:textId="69734F85" w:rsidR="00F05713" w:rsidRDefault="00F05713" w:rsidP="008B5841">
      <w:pPr>
        <w:pStyle w:val="ListParagraph"/>
        <w:numPr>
          <w:ilvl w:val="1"/>
          <w:numId w:val="19"/>
        </w:numPr>
        <w:tabs>
          <w:tab w:val="left" w:pos="3402"/>
        </w:tabs>
        <w:spacing w:before="240" w:after="0" w:line="360" w:lineRule="auto"/>
        <w:jc w:val="both"/>
        <w:outlineLvl w:val="1"/>
        <w:rPr>
          <w:rFonts w:eastAsia="MS Gothic" w:cs="Arial"/>
          <w:iCs/>
          <w:color w:val="000000" w:themeColor="text1"/>
        </w:rPr>
      </w:pPr>
      <w:r w:rsidRPr="00F05713">
        <w:rPr>
          <w:rFonts w:eastAsia="MS Gothic" w:cs="Arial"/>
          <w:iCs/>
          <w:color w:val="000000" w:themeColor="text1"/>
        </w:rPr>
        <w:t xml:space="preserve">This is a part 2 matter as it only effects the representation of allowed revenue and does not affect </w:t>
      </w:r>
      <w:r w:rsidR="0072597D">
        <w:rPr>
          <w:rFonts w:eastAsia="MS Gothic" w:cs="Arial"/>
          <w:iCs/>
          <w:color w:val="000000" w:themeColor="text1"/>
        </w:rPr>
        <w:t>the calculations or the output tariffs</w:t>
      </w:r>
      <w:r w:rsidRPr="00F05713">
        <w:rPr>
          <w:rFonts w:eastAsia="MS Gothic" w:cs="Arial"/>
          <w:iCs/>
          <w:color w:val="000000" w:themeColor="text1"/>
        </w:rPr>
        <w:t>.</w:t>
      </w:r>
    </w:p>
    <w:p w14:paraId="39D752CF" w14:textId="77777777" w:rsidR="005F6350" w:rsidRPr="00F05713" w:rsidRDefault="005F6350" w:rsidP="005F6350">
      <w:pPr>
        <w:pStyle w:val="ListParagraph"/>
        <w:tabs>
          <w:tab w:val="left" w:pos="3402"/>
        </w:tabs>
        <w:spacing w:before="240" w:after="0" w:line="360" w:lineRule="auto"/>
        <w:ind w:left="718"/>
        <w:jc w:val="both"/>
        <w:outlineLvl w:val="1"/>
        <w:rPr>
          <w:rFonts w:eastAsia="MS Gothic" w:cs="Arial"/>
          <w:iCs/>
          <w:color w:val="000000" w:themeColor="text1"/>
        </w:rPr>
      </w:pPr>
    </w:p>
    <w:p w14:paraId="38EA0268" w14:textId="2A6BA898" w:rsidR="00D526C4" w:rsidRPr="00D526C4" w:rsidRDefault="00D526C4" w:rsidP="00D526C4">
      <w:pPr>
        <w:pStyle w:val="Default"/>
        <w:rPr>
          <w:rStyle w:val="BookTitle"/>
          <w:rFonts w:eastAsia="Times New Roman"/>
          <w:b w:val="0"/>
          <w:bCs w:val="0"/>
          <w:i w:val="0"/>
          <w:iCs w:val="0"/>
          <w:color w:val="008576"/>
          <w:spacing w:val="0"/>
          <w:sz w:val="23"/>
          <w:szCs w:val="23"/>
        </w:rPr>
      </w:pPr>
      <w:r w:rsidRPr="001E1C60">
        <w:rPr>
          <w:b/>
          <w:bCs/>
          <w:color w:val="008576"/>
          <w:sz w:val="23"/>
          <w:szCs w:val="23"/>
        </w:rPr>
        <w:t>Requested Next Steps</w:t>
      </w:r>
    </w:p>
    <w:p w14:paraId="3A4BDD9C" w14:textId="1444FC4B" w:rsidR="000D720A" w:rsidRPr="00AA28C2" w:rsidRDefault="00E76A4D" w:rsidP="008B5841">
      <w:pPr>
        <w:pStyle w:val="ListParagraph"/>
        <w:numPr>
          <w:ilvl w:val="1"/>
          <w:numId w:val="19"/>
        </w:numPr>
        <w:rPr>
          <w:spacing w:val="5"/>
        </w:rPr>
      </w:pPr>
      <w:bookmarkStart w:id="7" w:name="_Hlk155175435"/>
      <w:r w:rsidRPr="00B00582">
        <w:t>The Panel recommends that this CP should be issued to Parties for Voting</w:t>
      </w:r>
      <w:bookmarkEnd w:id="7"/>
      <w:r w:rsidR="005F6350">
        <w:t>.</w:t>
      </w:r>
    </w:p>
    <w:p w14:paraId="6DAA1E1C" w14:textId="77777777" w:rsidR="00AA28C2" w:rsidRDefault="00AA28C2" w:rsidP="00AA28C2">
      <w:pPr>
        <w:pStyle w:val="ListParagraph"/>
        <w:ind w:left="718"/>
      </w:pPr>
    </w:p>
    <w:p w14:paraId="0F2F62C0" w14:textId="77777777" w:rsidR="00AA28C2" w:rsidRDefault="00AA28C2" w:rsidP="00AA28C2">
      <w:pPr>
        <w:pStyle w:val="ListParagraph"/>
        <w:ind w:left="718"/>
      </w:pPr>
    </w:p>
    <w:p w14:paraId="7E195551" w14:textId="77777777" w:rsidR="00AA28C2" w:rsidRPr="005F6350" w:rsidRDefault="00AA28C2" w:rsidP="00AA28C2">
      <w:pPr>
        <w:pStyle w:val="ListParagraph"/>
        <w:ind w:left="718"/>
        <w:rPr>
          <w:rStyle w:val="BookTitle"/>
          <w:b w:val="0"/>
          <w:bCs w:val="0"/>
          <w:i w:val="0"/>
          <w:iCs w:val="0"/>
        </w:rPr>
      </w:pPr>
    </w:p>
    <w:p w14:paraId="45F91B20" w14:textId="6C715D88" w:rsidR="004C6117" w:rsidRPr="00E45140" w:rsidRDefault="004C6117" w:rsidP="00E45140">
      <w:pPr>
        <w:pStyle w:val="Heading03"/>
      </w:pPr>
      <w:bookmarkStart w:id="8" w:name="_Toc318967196"/>
      <w:bookmarkStart w:id="9" w:name="_Toc125191622"/>
      <w:r w:rsidRPr="00E45140">
        <w:t>Why Change?</w:t>
      </w:r>
      <w:bookmarkEnd w:id="8"/>
      <w:bookmarkEnd w:id="9"/>
    </w:p>
    <w:p w14:paraId="562EE443" w14:textId="5D518FA3" w:rsidR="005477D0" w:rsidRDefault="005477D0" w:rsidP="005477D0">
      <w:pPr>
        <w:pStyle w:val="Heading4"/>
      </w:pPr>
      <w:r>
        <w:t>Background of DCP 42</w:t>
      </w:r>
      <w:r w:rsidR="005F6350">
        <w:t>1</w:t>
      </w:r>
    </w:p>
    <w:p w14:paraId="14231BED" w14:textId="77777777" w:rsidR="005F6350" w:rsidRDefault="005F6350" w:rsidP="008B5841">
      <w:pPr>
        <w:pStyle w:val="ListParagraph"/>
        <w:numPr>
          <w:ilvl w:val="1"/>
          <w:numId w:val="26"/>
        </w:numPr>
      </w:pPr>
      <w:r>
        <w:t>The existing Cost Information Tables in Schedule 15 of the DCUSA were set up to represent the allowed revenues as calculated using the Special Conditions of the Electricity Distribution Licence for DPCR5 and RIIO-ED1.</w:t>
      </w:r>
    </w:p>
    <w:p w14:paraId="21F3017B" w14:textId="3D187E35" w:rsidR="005F6350" w:rsidRDefault="005F6350" w:rsidP="008B5841">
      <w:pPr>
        <w:pStyle w:val="ListParagraph"/>
        <w:numPr>
          <w:ilvl w:val="1"/>
          <w:numId w:val="26"/>
        </w:numPr>
      </w:pPr>
      <w:r>
        <w:t>RIIO-ED2 began on 01 April 2023, with new licence conditions coming into force on that date. The breakdown of allowed revenue under the RIIO-ED2 licence conditions is different to the breakdown under RIIO-ED1</w:t>
      </w:r>
      <w:r w:rsidR="004A7451">
        <w:t>.</w:t>
      </w:r>
      <w:r>
        <w:t xml:space="preserve"> This means that the existing table 1 and 2 in Schedule 15 are no longer suitable to represent the breakdown of allowed revenues. </w:t>
      </w:r>
    </w:p>
    <w:p w14:paraId="01B2A22F" w14:textId="695F1F9E" w:rsidR="00054B33" w:rsidRPr="0019780F" w:rsidRDefault="005F6350" w:rsidP="008B5841">
      <w:pPr>
        <w:pStyle w:val="ListParagraph"/>
        <w:numPr>
          <w:ilvl w:val="1"/>
          <w:numId w:val="26"/>
        </w:numPr>
      </w:pPr>
      <w:r>
        <w:t>This CP proposes changes to these tables to represent the breakdown of allowed revenue in RIIO-ED2.</w:t>
      </w:r>
    </w:p>
    <w:p w14:paraId="7A42BE63" w14:textId="33000E43" w:rsidR="000C4696" w:rsidRDefault="000E5301" w:rsidP="000C4696">
      <w:pPr>
        <w:pStyle w:val="Heading03"/>
      </w:pPr>
      <w:bookmarkStart w:id="10" w:name="_Toc125191623"/>
      <w:bookmarkStart w:id="11" w:name="_Ref158282974"/>
      <w:r w:rsidRPr="000E5301">
        <w:t>DCP 4</w:t>
      </w:r>
      <w:r w:rsidR="005F6350">
        <w:t>21</w:t>
      </w:r>
      <w:r w:rsidRPr="000E5301">
        <w:t xml:space="preserve"> Working Group Assessment</w:t>
      </w:r>
      <w:bookmarkEnd w:id="10"/>
      <w:bookmarkEnd w:id="11"/>
    </w:p>
    <w:p w14:paraId="3D3CB617" w14:textId="77777777" w:rsidR="001B3B7B" w:rsidRDefault="001B3B7B" w:rsidP="001B3B7B">
      <w:pPr>
        <w:pStyle w:val="Heading4"/>
      </w:pPr>
      <w:bookmarkStart w:id="12" w:name="_Toc110371101"/>
      <w:bookmarkStart w:id="13" w:name="_Toc125191624"/>
      <w:bookmarkStart w:id="14" w:name="_Toc318967199"/>
      <w:bookmarkEnd w:id="12"/>
      <w:r w:rsidRPr="001B3B7B">
        <w:t xml:space="preserve">DCP 421 Working Group Assessment </w:t>
      </w:r>
    </w:p>
    <w:p w14:paraId="5014BD7A" w14:textId="07258D40" w:rsidR="001B3B7B" w:rsidRDefault="001B3B7B">
      <w:pPr>
        <w:pStyle w:val="ListParagraph"/>
        <w:numPr>
          <w:ilvl w:val="1"/>
          <w:numId w:val="25"/>
        </w:numPr>
        <w:rPr>
          <w:iCs/>
        </w:rPr>
      </w:pPr>
      <w:r w:rsidRPr="005F6350">
        <w:rPr>
          <w:iCs/>
        </w:rPr>
        <w:t>The DCUSA Panel established a Working Group to assess/develop DCP 421. This Working Group consists of representatives from DNOs, Suppliers, IDNOs</w:t>
      </w:r>
      <w:r>
        <w:rPr>
          <w:iCs/>
        </w:rPr>
        <w:t xml:space="preserve"> and </w:t>
      </w:r>
      <w:r w:rsidRPr="005F6350">
        <w:rPr>
          <w:iCs/>
        </w:rPr>
        <w:t xml:space="preserve">Generators. Meetings were held in open session and the minutes and papers of each meeting are available on the DCUSA website – </w:t>
      </w:r>
      <w:hyperlink r:id="rId14" w:history="1">
        <w:r w:rsidRPr="005F6350">
          <w:rPr>
            <w:rStyle w:val="Hyperlink"/>
            <w:iCs/>
          </w:rPr>
          <w:t>www.dcusa.co.uk</w:t>
        </w:r>
      </w:hyperlink>
      <w:r w:rsidRPr="005F6350">
        <w:rPr>
          <w:iCs/>
        </w:rPr>
        <w:t>.</w:t>
      </w:r>
    </w:p>
    <w:p w14:paraId="4F6C10BF" w14:textId="65DE454E" w:rsidR="00CE4344" w:rsidRPr="00CE4344" w:rsidRDefault="00CE4344" w:rsidP="00872ED3">
      <w:pPr>
        <w:pStyle w:val="ListParagraph"/>
        <w:numPr>
          <w:ilvl w:val="1"/>
          <w:numId w:val="25"/>
        </w:numPr>
        <w:jc w:val="both"/>
      </w:pPr>
      <w:r w:rsidRPr="005F6350">
        <w:t xml:space="preserve">The link between this change and DCP 325 was discussed. The working group agree that this change will be focussing on the content of the Tables in Schedule 15 to align them to the RIIO-ED2 licence, whilst DCP 325 will continue to consider the more fundamental aspects of Schedules 15 and 20, such as the overlap between the two schedules and the timing of the submissions, with the contents of </w:t>
      </w:r>
      <w:r>
        <w:t>T</w:t>
      </w:r>
      <w:r w:rsidRPr="005F6350">
        <w:t>ables 1 and 2 descoped from the change. This will allow the two DCPs to progress and be assessed independently of each other, although each of the two working groups will ensure they are aware of the solution being developed for the other DCP.</w:t>
      </w:r>
    </w:p>
    <w:p w14:paraId="2FEE5162" w14:textId="7B19EEED" w:rsidR="001B3B7B" w:rsidRPr="001B3B7B" w:rsidRDefault="001B3B7B" w:rsidP="00872ED3">
      <w:pPr>
        <w:pStyle w:val="Heading4"/>
      </w:pPr>
      <w:r>
        <w:t>DCP 421 Proposed Solution</w:t>
      </w:r>
    </w:p>
    <w:p w14:paraId="7194BB44" w14:textId="371F52F8" w:rsidR="005F6350" w:rsidRPr="005F6350" w:rsidRDefault="005F6350" w:rsidP="008B5841">
      <w:pPr>
        <w:pStyle w:val="ListParagraph"/>
        <w:numPr>
          <w:ilvl w:val="1"/>
          <w:numId w:val="25"/>
        </w:numPr>
        <w:jc w:val="both"/>
      </w:pPr>
      <w:r w:rsidRPr="005F6350">
        <w:t>The RIIO-ED2 licence conditions were published by Ofgem in February 2023</w:t>
      </w:r>
      <w:r w:rsidRPr="005F6350">
        <w:rPr>
          <w:vertAlign w:val="superscript"/>
        </w:rPr>
        <w:footnoteReference w:id="3"/>
      </w:r>
      <w:r w:rsidRPr="005F6350">
        <w:t>, so the purpose of this Change Proposal is to reflect the calculation of allowed revenue under RIIO-ED2 in the Cost Information Tables (</w:t>
      </w:r>
      <w:r w:rsidR="0009115E">
        <w:t>T</w:t>
      </w:r>
      <w:r w:rsidRPr="005F6350">
        <w:t xml:space="preserve">able 1 and 2) of Schedule 15, which is also reflected in the CDCM and ARP ‘General Inputs’. </w:t>
      </w:r>
    </w:p>
    <w:p w14:paraId="617B5C84" w14:textId="748588F9" w:rsidR="005F6350" w:rsidRPr="005F6350" w:rsidRDefault="005F6350" w:rsidP="008B5841">
      <w:pPr>
        <w:pStyle w:val="ListParagraph"/>
        <w:numPr>
          <w:ilvl w:val="1"/>
          <w:numId w:val="25"/>
        </w:numPr>
        <w:jc w:val="both"/>
      </w:pPr>
      <w:r w:rsidRPr="005F6350">
        <w:t xml:space="preserve">The proposer provided a proposed template for the revised tables. This </w:t>
      </w:r>
      <w:r w:rsidR="00CE4344">
        <w:t>was</w:t>
      </w:r>
      <w:r w:rsidRPr="005F6350">
        <w:t xml:space="preserve"> assessed and updated by the working group and is provided in </w:t>
      </w:r>
      <w:r w:rsidRPr="00872ED3">
        <w:rPr>
          <w:b/>
          <w:bCs/>
        </w:rPr>
        <w:t xml:space="preserve">Attachment </w:t>
      </w:r>
      <w:r w:rsidR="00872ED3" w:rsidRPr="00872ED3">
        <w:rPr>
          <w:b/>
          <w:bCs/>
        </w:rPr>
        <w:t>5</w:t>
      </w:r>
      <w:r w:rsidRPr="00872ED3">
        <w:rPr>
          <w:b/>
          <w:bCs/>
        </w:rPr>
        <w:t>_Proposed ED2 Template</w:t>
      </w:r>
      <w:r w:rsidRPr="00872ED3">
        <w:t>.</w:t>
      </w:r>
    </w:p>
    <w:p w14:paraId="5499222C" w14:textId="77777777" w:rsidR="005F6350" w:rsidRPr="005F6350" w:rsidRDefault="005F6350" w:rsidP="008B5841">
      <w:pPr>
        <w:pStyle w:val="ListParagraph"/>
        <w:numPr>
          <w:ilvl w:val="1"/>
          <w:numId w:val="25"/>
        </w:numPr>
        <w:rPr>
          <w:iCs/>
        </w:rPr>
      </w:pPr>
      <w:r w:rsidRPr="005F6350">
        <w:rPr>
          <w:iCs/>
        </w:rPr>
        <w:lastRenderedPageBreak/>
        <w:t>The template consists of the following worksheets:</w:t>
      </w:r>
    </w:p>
    <w:p w14:paraId="11C0D33F" w14:textId="77777777" w:rsidR="005F6350" w:rsidRPr="005F6350" w:rsidRDefault="005F6350" w:rsidP="008B5841">
      <w:pPr>
        <w:pStyle w:val="ListParagraph"/>
        <w:numPr>
          <w:ilvl w:val="1"/>
          <w:numId w:val="34"/>
        </w:numPr>
        <w:jc w:val="both"/>
      </w:pPr>
      <w:r w:rsidRPr="005F6350">
        <w:t>‘Table 1 - ED2 Detailed’ – Proposed Table 1 to be included in quarterly Schedule 15 submissions, containing breakdown of allowed revenues, including a granular breakdown of base revenues. It is proposed that this table is used for the quarterly Cost Information submissions.</w:t>
      </w:r>
    </w:p>
    <w:p w14:paraId="2D74C286" w14:textId="77777777" w:rsidR="005F6350" w:rsidRPr="005F6350" w:rsidRDefault="005F6350" w:rsidP="008B5841">
      <w:pPr>
        <w:pStyle w:val="ListParagraph"/>
        <w:numPr>
          <w:ilvl w:val="1"/>
          <w:numId w:val="34"/>
        </w:numPr>
        <w:jc w:val="both"/>
      </w:pPr>
      <w:r w:rsidRPr="005F6350">
        <w:t>‘Table 1 – CDCM Input Version’ – Proposed Table 1 to be included in the CDCM ‘General Inputs’ containing breakdown of allowed revenues to the level of granularity required for the CDCM model. It is proposed that this table is used for the inputs to the CDCM.</w:t>
      </w:r>
    </w:p>
    <w:p w14:paraId="73574FB7" w14:textId="2318CD8F" w:rsidR="005F6350" w:rsidRPr="005F6350" w:rsidRDefault="005F6350" w:rsidP="008B5841">
      <w:pPr>
        <w:pStyle w:val="ListParagraph"/>
        <w:numPr>
          <w:ilvl w:val="1"/>
          <w:numId w:val="34"/>
        </w:numPr>
        <w:jc w:val="both"/>
      </w:pPr>
      <w:r w:rsidRPr="005F6350">
        <w:t>‘</w:t>
      </w:r>
      <w:r w:rsidR="00CE4344">
        <w:t xml:space="preserve">Table 1 - </w:t>
      </w:r>
      <w:r w:rsidRPr="005F6350">
        <w:t xml:space="preserve">Delta </w:t>
      </w:r>
      <w:proofErr w:type="gramStart"/>
      <w:r w:rsidR="00CE4344">
        <w:t>F</w:t>
      </w:r>
      <w:r w:rsidR="00CE4344" w:rsidRPr="005F6350">
        <w:t>rom</w:t>
      </w:r>
      <w:proofErr w:type="gramEnd"/>
      <w:r w:rsidR="00CE4344" w:rsidRPr="005F6350">
        <w:t xml:space="preserve"> </w:t>
      </w:r>
      <w:r w:rsidR="00CE4344">
        <w:t>P</w:t>
      </w:r>
      <w:r w:rsidR="00CE4344" w:rsidRPr="005F6350">
        <w:t xml:space="preserve">revious’ </w:t>
      </w:r>
      <w:r w:rsidRPr="005F6350">
        <w:t>– Proposed additional table providing variance between the values in Table 1 in the current and previous submission</w:t>
      </w:r>
      <w:r w:rsidR="0009115E">
        <w:t>s</w:t>
      </w:r>
      <w:r w:rsidRPr="005F6350">
        <w:t>, with commentary explaining any variances. This is to provide additional information to Suppliers which they would currently have to calculate themselves from the two submission packs for each DNO.</w:t>
      </w:r>
    </w:p>
    <w:p w14:paraId="779A12CB" w14:textId="77777777" w:rsidR="005F6350" w:rsidRPr="005F6350" w:rsidRDefault="005F6350" w:rsidP="008B5841">
      <w:pPr>
        <w:pStyle w:val="ListParagraph"/>
        <w:numPr>
          <w:ilvl w:val="1"/>
          <w:numId w:val="34"/>
        </w:numPr>
        <w:jc w:val="both"/>
      </w:pPr>
      <w:r w:rsidRPr="005F6350">
        <w:t>‘Table 2’ – Proposed Table 2 to be included in the quarterly Schedule 15 submissions. This is significantly changed from the existing Table 2 with the aim of providing more appropriate and informative sensitivities than those currently included in Table 2</w:t>
      </w:r>
    </w:p>
    <w:p w14:paraId="6CCFE490" w14:textId="77777777" w:rsidR="005F6350" w:rsidRPr="005F6350" w:rsidRDefault="005F6350" w:rsidP="008B5841">
      <w:pPr>
        <w:pStyle w:val="ListParagraph"/>
        <w:numPr>
          <w:ilvl w:val="1"/>
          <w:numId w:val="34"/>
        </w:numPr>
        <w:jc w:val="both"/>
      </w:pPr>
      <w:r w:rsidRPr="005F6350">
        <w:t>‘Table 3 – Illustrative Prices’ – No change from existing Table 3.</w:t>
      </w:r>
    </w:p>
    <w:p w14:paraId="7E805B06" w14:textId="77777777" w:rsidR="005F6350" w:rsidRPr="005F6350" w:rsidRDefault="005F6350" w:rsidP="008B5841">
      <w:pPr>
        <w:pStyle w:val="ListParagraph"/>
        <w:numPr>
          <w:ilvl w:val="1"/>
          <w:numId w:val="25"/>
        </w:numPr>
        <w:rPr>
          <w:iCs/>
        </w:rPr>
      </w:pPr>
      <w:r w:rsidRPr="005F6350">
        <w:rPr>
          <w:iCs/>
        </w:rPr>
        <w:t xml:space="preserve">Both versions of Table 1 in the template can be linked to the Price Control Financial Model (PCFM) and both calculate the allowed revenue in line with the RIIO-ED2 Special Conditions. </w:t>
      </w:r>
    </w:p>
    <w:p w14:paraId="1D30F8FB" w14:textId="77777777" w:rsidR="005F6350" w:rsidRPr="005F6350" w:rsidRDefault="005F6350" w:rsidP="005F6350">
      <w:pPr>
        <w:pStyle w:val="ListParagraph"/>
        <w:ind w:left="718"/>
        <w:rPr>
          <w:b/>
          <w:bCs/>
          <w:iCs/>
          <w:color w:val="008576"/>
          <w:u w:val="single"/>
        </w:rPr>
      </w:pPr>
      <w:bookmarkStart w:id="15" w:name="_Hlk159322582"/>
      <w:r w:rsidRPr="005F6350">
        <w:rPr>
          <w:b/>
          <w:bCs/>
          <w:iCs/>
          <w:color w:val="008576"/>
          <w:u w:val="single"/>
        </w:rPr>
        <w:t>Table</w:t>
      </w:r>
      <w:r w:rsidRPr="005F6350">
        <w:rPr>
          <w:iCs/>
          <w:color w:val="008576"/>
          <w:u w:val="single"/>
        </w:rPr>
        <w:t xml:space="preserve"> </w:t>
      </w:r>
      <w:r w:rsidRPr="005F6350">
        <w:rPr>
          <w:b/>
          <w:bCs/>
          <w:iCs/>
          <w:color w:val="008576"/>
          <w:u w:val="single"/>
        </w:rPr>
        <w:t>1</w:t>
      </w:r>
    </w:p>
    <w:bookmarkEnd w:id="15"/>
    <w:p w14:paraId="7ACC7C23" w14:textId="77777777" w:rsidR="005F6350" w:rsidRPr="005F6350" w:rsidRDefault="005F6350" w:rsidP="008B5841">
      <w:pPr>
        <w:pStyle w:val="ListParagraph"/>
        <w:numPr>
          <w:ilvl w:val="1"/>
          <w:numId w:val="25"/>
        </w:numPr>
        <w:rPr>
          <w:iCs/>
        </w:rPr>
      </w:pPr>
      <w:r w:rsidRPr="005F6350">
        <w:rPr>
          <w:iCs/>
        </w:rPr>
        <w:t xml:space="preserve">The current table 1 includes calculations of allowed revenue for the years t-1 to t+4, where </w:t>
      </w:r>
      <w:proofErr w:type="spellStart"/>
      <w:r w:rsidRPr="005F6350">
        <w:rPr>
          <w:iCs/>
        </w:rPr>
        <w:t>t</w:t>
      </w:r>
      <w:proofErr w:type="spellEnd"/>
      <w:r w:rsidRPr="005F6350">
        <w:rPr>
          <w:iCs/>
        </w:rPr>
        <w:t xml:space="preserve"> is the current regulatory year. </w:t>
      </w:r>
    </w:p>
    <w:p w14:paraId="11C34B72" w14:textId="77777777" w:rsidR="005F6350" w:rsidRPr="005F6350" w:rsidRDefault="005F6350" w:rsidP="008B5841">
      <w:pPr>
        <w:pStyle w:val="ListParagraph"/>
        <w:numPr>
          <w:ilvl w:val="1"/>
          <w:numId w:val="25"/>
        </w:numPr>
        <w:jc w:val="both"/>
      </w:pPr>
      <w:r w:rsidRPr="005F6350">
        <w:t xml:space="preserve">The Working Group considered whether it is appropriate to provide forecasts for years within the next price control period when there has been no submission or determination relating to that period, and the licence conditions for the calculation of allowed revenue within that period are not known. </w:t>
      </w:r>
    </w:p>
    <w:p w14:paraId="0C320A4A" w14:textId="77777777" w:rsidR="005F6350" w:rsidRPr="005F6350" w:rsidRDefault="005F6350" w:rsidP="008B5841">
      <w:pPr>
        <w:pStyle w:val="ListParagraph"/>
        <w:numPr>
          <w:ilvl w:val="1"/>
          <w:numId w:val="25"/>
        </w:numPr>
        <w:jc w:val="both"/>
      </w:pPr>
      <w:r w:rsidRPr="005F6350">
        <w:t xml:space="preserve">It was noted that determinations are not known until a few months before the price control period starts and that allowed revenue calculations will be required to calculate charges within that period significantly earlier because of the requirement to provide 15 months’ notice. It was also noted that Suppliers find the forecast of later years useful, even when it is known that it may change significantly when the price control determinations are finalised. </w:t>
      </w:r>
    </w:p>
    <w:p w14:paraId="78D94F63" w14:textId="64A7F01D" w:rsidR="005F6350" w:rsidRPr="005F6350" w:rsidRDefault="005F6350" w:rsidP="008B5841">
      <w:pPr>
        <w:pStyle w:val="ListParagraph"/>
        <w:numPr>
          <w:ilvl w:val="1"/>
          <w:numId w:val="25"/>
        </w:numPr>
        <w:jc w:val="both"/>
      </w:pPr>
      <w:r w:rsidRPr="005F6350">
        <w:t>It was agreed that Table 1 should continue to include the same years as currently (t-1 to t+4) and that for years within the next price control period there will be an assumption that the current licence conditions continue to apply, until such time that the new licence conditions are published by Ofgem.</w:t>
      </w:r>
    </w:p>
    <w:p w14:paraId="43C7899E" w14:textId="77777777" w:rsidR="005F6350" w:rsidRPr="005F6350" w:rsidRDefault="005F6350" w:rsidP="008B5841">
      <w:pPr>
        <w:pStyle w:val="ListParagraph"/>
        <w:numPr>
          <w:ilvl w:val="1"/>
          <w:numId w:val="25"/>
        </w:numPr>
        <w:jc w:val="both"/>
      </w:pPr>
      <w:r w:rsidRPr="005F6350">
        <w:t xml:space="preserve">The Working Group also discussed the two versions of Table 1 (‘ED2 Detailed’ and ‘CDCM Input Version’) and whether both are required. It was discussed that some Suppliers have previously requested additional granularity for the base revenue figures. </w:t>
      </w:r>
    </w:p>
    <w:p w14:paraId="58F74797" w14:textId="77777777" w:rsidR="005F6350" w:rsidRPr="005F6350" w:rsidRDefault="005F6350" w:rsidP="008B5841">
      <w:pPr>
        <w:pStyle w:val="ListParagraph"/>
        <w:numPr>
          <w:ilvl w:val="1"/>
          <w:numId w:val="25"/>
        </w:numPr>
        <w:jc w:val="both"/>
      </w:pPr>
      <w:r w:rsidRPr="005F6350">
        <w:t>In the RIIO-ED1 Special Conditions the base revenue was included as a single figure, however in the RIIO-ED2 Special Conditions this is broken down into the categories detailed in ‘Table 1 - CDCM Input Version’.</w:t>
      </w:r>
    </w:p>
    <w:p w14:paraId="218259DA" w14:textId="77777777" w:rsidR="005F6350" w:rsidRPr="005F6350" w:rsidRDefault="005F6350" w:rsidP="008B5841">
      <w:pPr>
        <w:pStyle w:val="ListParagraph"/>
        <w:numPr>
          <w:ilvl w:val="1"/>
          <w:numId w:val="25"/>
        </w:numPr>
        <w:jc w:val="both"/>
      </w:pPr>
      <w:r w:rsidRPr="005F6350">
        <w:t xml:space="preserve">The PCFM contains further granularity, including the breakdown of the calculation of Fast Money, Depreciation and Return, which has been added to ‘Table 1 – ED2 Detailed’. As both versions of Table 1 have additional granularity compared to the current Table 1, the Working Group are seeking </w:t>
      </w:r>
      <w:r w:rsidRPr="005F6350">
        <w:lastRenderedPageBreak/>
        <w:t>views on the level of granularity preferred by Suppliers and other users of the Cost Information Tables.</w:t>
      </w:r>
    </w:p>
    <w:p w14:paraId="20BDCC8D" w14:textId="77777777" w:rsidR="005F6350" w:rsidRDefault="005F6350" w:rsidP="008B5841">
      <w:pPr>
        <w:pStyle w:val="ListParagraph"/>
        <w:numPr>
          <w:ilvl w:val="1"/>
          <w:numId w:val="25"/>
        </w:numPr>
        <w:rPr>
          <w:iCs/>
        </w:rPr>
      </w:pPr>
      <w:r w:rsidRPr="005F6350">
        <w:rPr>
          <w:iCs/>
        </w:rPr>
        <w:t>It was suggested that the level of detail and complexity contained in ‘Table 1 - ED2 detailed’ within attachment 3 was beyond what is needed, adding unnecessary complexity and potential confusion. Some of the Working Group members suggested that only the information in ‘Table 1 - ED2 Detailed’ was required and others believing it was only the data within ‘Table 1 - CDCM Input Version’ that was required. As the Working Group were unable to reach consensus, it was agreed to seek party views on whether only one table of the data, or both should be produced and sent to the secretariate for the quarterly submissions.</w:t>
      </w:r>
    </w:p>
    <w:p w14:paraId="56358250" w14:textId="76F26CD4" w:rsidR="008B5841" w:rsidRPr="008B5841" w:rsidRDefault="008B5841" w:rsidP="008B5841">
      <w:pPr>
        <w:pStyle w:val="ListParagraph"/>
        <w:ind w:left="718"/>
        <w:rPr>
          <w:b/>
          <w:bCs/>
          <w:iCs/>
          <w:color w:val="008576"/>
          <w:u w:val="single"/>
        </w:rPr>
      </w:pPr>
      <w:r w:rsidRPr="005F6350">
        <w:rPr>
          <w:b/>
          <w:bCs/>
          <w:iCs/>
          <w:color w:val="008576"/>
          <w:u w:val="single"/>
        </w:rPr>
        <w:t>Table</w:t>
      </w:r>
      <w:r w:rsidRPr="005F6350">
        <w:rPr>
          <w:iCs/>
          <w:color w:val="008576"/>
          <w:u w:val="single"/>
        </w:rPr>
        <w:t xml:space="preserve"> </w:t>
      </w:r>
      <w:r>
        <w:rPr>
          <w:b/>
          <w:bCs/>
          <w:iCs/>
          <w:color w:val="008576"/>
          <w:u w:val="single"/>
        </w:rPr>
        <w:t>2</w:t>
      </w:r>
    </w:p>
    <w:p w14:paraId="2C47540F" w14:textId="77777777" w:rsidR="008B5841" w:rsidRDefault="008B5841" w:rsidP="008B5841">
      <w:pPr>
        <w:pStyle w:val="ListParagraph"/>
        <w:numPr>
          <w:ilvl w:val="1"/>
          <w:numId w:val="25"/>
        </w:numPr>
        <w:jc w:val="both"/>
      </w:pPr>
      <w:r>
        <w:t xml:space="preserve">The Working Group discussed Table 2 and whether it was useful for suppliers in its current format. It was discussed that changing the format to allow DNOs to provide sensitivities for changes to revenue which are forecast but not yet formally approved could be beneficial and may provide more meaningful information to Suppliers than is included in the current Table 2. </w:t>
      </w:r>
    </w:p>
    <w:p w14:paraId="4770816A" w14:textId="77777777" w:rsidR="008B5841" w:rsidRDefault="008B5841" w:rsidP="008B5841">
      <w:pPr>
        <w:pStyle w:val="ListParagraph"/>
        <w:numPr>
          <w:ilvl w:val="1"/>
          <w:numId w:val="25"/>
        </w:numPr>
        <w:jc w:val="both"/>
      </w:pPr>
      <w:r>
        <w:t>The Working Group agreed to seek views from suppliers on whether the information within Table 2 is used or of value and whether the proposed new format for Table 2 is an improvement on the current information provided.</w:t>
      </w:r>
    </w:p>
    <w:p w14:paraId="387B57A8" w14:textId="77777777" w:rsidR="008B5841" w:rsidRPr="008B5841" w:rsidRDefault="008B5841" w:rsidP="008B5841">
      <w:pPr>
        <w:pStyle w:val="ListParagraph"/>
        <w:ind w:left="718"/>
        <w:jc w:val="both"/>
        <w:rPr>
          <w:b/>
          <w:bCs/>
          <w:color w:val="008576"/>
          <w:u w:val="single"/>
        </w:rPr>
      </w:pPr>
      <w:r w:rsidRPr="008B5841">
        <w:rPr>
          <w:b/>
          <w:bCs/>
          <w:color w:val="008576"/>
          <w:u w:val="single"/>
        </w:rPr>
        <w:t>Forecast Inflation</w:t>
      </w:r>
    </w:p>
    <w:p w14:paraId="6EDE97C1" w14:textId="0810D70E" w:rsidR="008B5841" w:rsidRDefault="008B5841" w:rsidP="008B5841">
      <w:pPr>
        <w:pStyle w:val="ListParagraph"/>
        <w:numPr>
          <w:ilvl w:val="1"/>
          <w:numId w:val="25"/>
        </w:numPr>
        <w:jc w:val="both"/>
      </w:pPr>
      <w:r>
        <w:t>In RIIO-ED1 the forecast for inflation was taken from the HM Treasury forecast (as specified in the License Conditions), which was published quarterly, however within RIIO-ED2 the OBR forecast is used (as specified in the License Conditions) which is usually published in Spring and Autumn.</w:t>
      </w:r>
    </w:p>
    <w:p w14:paraId="6C70AB24" w14:textId="47360835" w:rsidR="008B5841" w:rsidRDefault="008B5841" w:rsidP="008B5841">
      <w:pPr>
        <w:pStyle w:val="ListParagraph"/>
        <w:numPr>
          <w:ilvl w:val="1"/>
          <w:numId w:val="25"/>
        </w:numPr>
        <w:jc w:val="both"/>
      </w:pPr>
      <w:r>
        <w:t xml:space="preserve">The Working Group agreed to seek party views on what information source could be used for </w:t>
      </w:r>
      <w:proofErr w:type="gramStart"/>
      <w:r>
        <w:t>forecast</w:t>
      </w:r>
      <w:proofErr w:type="gramEnd"/>
      <w:r>
        <w:t xml:space="preserve"> inflation for the quarterly submissions and when the forecast should be updated, as it was noted that certain inflation sources aren’t updated regularly. Additionally, it was questioned whether the source should be consistent across the DNOs, with the working group agreeing to seek party views on this matter.</w:t>
      </w:r>
    </w:p>
    <w:p w14:paraId="61E2CFF3" w14:textId="770B0FB4" w:rsidR="000779D5" w:rsidRDefault="008B5841" w:rsidP="00930BA2">
      <w:pPr>
        <w:pStyle w:val="ListParagraph"/>
        <w:numPr>
          <w:ilvl w:val="1"/>
          <w:numId w:val="25"/>
        </w:numPr>
        <w:jc w:val="both"/>
      </w:pPr>
      <w:r>
        <w:t>It was also agreed to seek party views on who should be responsible for codifying the source for forecast inflation i.e. the DCUSA, Ofgem etc.</w:t>
      </w:r>
    </w:p>
    <w:p w14:paraId="5ED3CC29" w14:textId="0992A1FF" w:rsidR="00DD1D46" w:rsidRDefault="00DD1D46" w:rsidP="00DD1D46">
      <w:pPr>
        <w:pStyle w:val="Heading03"/>
        <w:numPr>
          <w:ilvl w:val="0"/>
          <w:numId w:val="24"/>
        </w:numPr>
      </w:pPr>
      <w:bookmarkStart w:id="16" w:name="_Toc318967200"/>
      <w:bookmarkEnd w:id="13"/>
      <w:bookmarkEnd w:id="14"/>
      <w:r>
        <w:t>DCP421 Consultation</w:t>
      </w:r>
    </w:p>
    <w:p w14:paraId="51ED734D" w14:textId="0068F653" w:rsidR="00A9038F" w:rsidRPr="00A9038F" w:rsidRDefault="006D0800" w:rsidP="00872ED3">
      <w:pPr>
        <w:pStyle w:val="ListParagraph"/>
        <w:numPr>
          <w:ilvl w:val="1"/>
          <w:numId w:val="22"/>
        </w:numPr>
      </w:pPr>
      <w:r w:rsidRPr="006D0800">
        <w:t>The Working Group undertook one consultation during the development of the change proposal.</w:t>
      </w:r>
    </w:p>
    <w:p w14:paraId="1D6D30BC" w14:textId="77777777" w:rsidR="00A9038F" w:rsidRPr="00A9038F" w:rsidRDefault="00A9038F" w:rsidP="00A9038F">
      <w:pPr>
        <w:ind w:left="142"/>
        <w:rPr>
          <w:b/>
          <w:bCs/>
          <w:color w:val="008576"/>
          <w:u w:val="single"/>
        </w:rPr>
      </w:pPr>
      <w:r w:rsidRPr="00A9038F">
        <w:rPr>
          <w:b/>
          <w:bCs/>
          <w:color w:val="008576"/>
          <w:u w:val="single"/>
        </w:rPr>
        <w:t>Consultation</w:t>
      </w:r>
    </w:p>
    <w:p w14:paraId="00F35506" w14:textId="3AC73F20" w:rsidR="00A9038F" w:rsidRDefault="00A9038F" w:rsidP="00A9038F">
      <w:pPr>
        <w:pStyle w:val="ListParagraph"/>
        <w:numPr>
          <w:ilvl w:val="1"/>
          <w:numId w:val="22"/>
        </w:numPr>
      </w:pPr>
      <w:r w:rsidRPr="00A9038F">
        <w:t xml:space="preserve">The consultation was issued to parties on 11 August 2023. There were seven responses received to the consultation. The Working Group’s conclusions can be found </w:t>
      </w:r>
      <w:r w:rsidRPr="00872ED3">
        <w:t xml:space="preserve">in </w:t>
      </w:r>
      <w:r w:rsidRPr="00872ED3">
        <w:rPr>
          <w:b/>
          <w:bCs/>
        </w:rPr>
        <w:t xml:space="preserve">Attachment 3 DCP 421 Consolidated Consultation </w:t>
      </w:r>
      <w:r w:rsidR="00872ED3" w:rsidRPr="00872ED3">
        <w:rPr>
          <w:b/>
          <w:bCs/>
        </w:rPr>
        <w:t>4</w:t>
      </w:r>
      <w:r w:rsidRPr="00872ED3">
        <w:rPr>
          <w:b/>
          <w:bCs/>
        </w:rPr>
        <w:t xml:space="preserve"> Responses</w:t>
      </w:r>
      <w:r w:rsidRPr="00872ED3">
        <w:t>, with a summary of</w:t>
      </w:r>
      <w:r w:rsidRPr="00A9038F">
        <w:t xml:space="preserve"> each shown below.</w:t>
      </w:r>
    </w:p>
    <w:p w14:paraId="577F0C86" w14:textId="77777777" w:rsidR="003D2A7E" w:rsidRDefault="003D2A7E" w:rsidP="003D2A7E">
      <w:pPr>
        <w:pStyle w:val="Question"/>
        <w:keepNext w:val="0"/>
        <w:keepLines/>
        <w:pBdr>
          <w:top w:val="single" w:sz="48" w:space="0" w:color="339966"/>
        </w:pBdr>
        <w:rPr>
          <w:color w:val="FFFFFF" w:themeColor="background1"/>
        </w:rPr>
      </w:pPr>
      <w:r w:rsidRPr="00201B13">
        <w:rPr>
          <w:color w:val="FFFFFF" w:themeColor="background1"/>
        </w:rPr>
        <w:t xml:space="preserve">Question 1: Do you understand the intent of the Change Proposal? </w:t>
      </w:r>
    </w:p>
    <w:p w14:paraId="6AF05092" w14:textId="161F7A61" w:rsidR="003D2A7E" w:rsidRPr="003D2A7E" w:rsidRDefault="003D2A7E" w:rsidP="003D2A7E">
      <w:pPr>
        <w:pStyle w:val="Question"/>
        <w:keepNext w:val="0"/>
        <w:keepLines/>
        <w:pBdr>
          <w:top w:val="single" w:sz="48" w:space="0" w:color="339966"/>
        </w:pBdr>
        <w:rPr>
          <w:color w:val="FFFFFF" w:themeColor="background1"/>
        </w:rPr>
      </w:pPr>
      <w:r w:rsidRPr="006030C7">
        <w:rPr>
          <w:color w:val="FFFFFF" w:themeColor="background1"/>
        </w:rPr>
        <w:t xml:space="preserve">Question 2: Are you supportive of the principles </w:t>
      </w:r>
      <w:r>
        <w:rPr>
          <w:color w:val="FFFFFF" w:themeColor="background1"/>
        </w:rPr>
        <w:t>of</w:t>
      </w:r>
      <w:r w:rsidRPr="006030C7">
        <w:rPr>
          <w:color w:val="FFFFFF" w:themeColor="background1"/>
        </w:rPr>
        <w:t xml:space="preserve"> this C</w:t>
      </w:r>
      <w:r>
        <w:rPr>
          <w:color w:val="FFFFFF" w:themeColor="background1"/>
        </w:rPr>
        <w:t xml:space="preserve">hange </w:t>
      </w:r>
      <w:r w:rsidRPr="006030C7">
        <w:rPr>
          <w:color w:val="FFFFFF" w:themeColor="background1"/>
        </w:rPr>
        <w:t>P</w:t>
      </w:r>
      <w:r>
        <w:rPr>
          <w:color w:val="FFFFFF" w:themeColor="background1"/>
        </w:rPr>
        <w:t>roposal</w:t>
      </w:r>
      <w:r w:rsidRPr="006030C7">
        <w:rPr>
          <w:color w:val="FFFFFF" w:themeColor="background1"/>
        </w:rPr>
        <w:t>?</w:t>
      </w:r>
    </w:p>
    <w:p w14:paraId="60507429" w14:textId="371BDAE2" w:rsidR="00A9038F" w:rsidRPr="009A12A0" w:rsidRDefault="00A9038F" w:rsidP="00A9038F">
      <w:pPr>
        <w:pStyle w:val="ListParagraph"/>
        <w:numPr>
          <w:ilvl w:val="1"/>
          <w:numId w:val="22"/>
        </w:numPr>
        <w:rPr>
          <w:bCs/>
        </w:rPr>
      </w:pPr>
      <w:r w:rsidRPr="00A9038F">
        <w:t>All respondents understood the intent of the change proposal and all respondents supported the principles of the change proposal.</w:t>
      </w:r>
    </w:p>
    <w:p w14:paraId="6688042F" w14:textId="4E552276" w:rsidR="009A12A0" w:rsidRPr="009A12A0" w:rsidRDefault="009A12A0" w:rsidP="009A12A0">
      <w:pPr>
        <w:pStyle w:val="Question"/>
        <w:keepLines/>
        <w:pBdr>
          <w:bottom w:val="single" w:sz="48" w:space="0" w:color="339966"/>
        </w:pBdr>
      </w:pPr>
      <w:r w:rsidRPr="002A3F8F">
        <w:lastRenderedPageBreak/>
        <w:t>Question</w:t>
      </w:r>
      <w:r>
        <w:t xml:space="preserve"> 3 – Should the years in Table 1 remain the same as in the current Table 1, with allowed revenue for any years in a future price control period assumed to be calculated on the same basis as the latest known price control period? Please provide rationale.</w:t>
      </w:r>
    </w:p>
    <w:p w14:paraId="56F3910A" w14:textId="4CF68217" w:rsidR="00A9038F" w:rsidRPr="00A9038F" w:rsidRDefault="00A9038F" w:rsidP="00A9038F">
      <w:pPr>
        <w:pStyle w:val="ListParagraph"/>
        <w:numPr>
          <w:ilvl w:val="1"/>
          <w:numId w:val="22"/>
        </w:numPr>
        <w:rPr>
          <w:iCs/>
        </w:rPr>
      </w:pPr>
      <w:r w:rsidRPr="00A9038F">
        <w:rPr>
          <w:iCs/>
        </w:rPr>
        <w:t xml:space="preserve">All six of the respondents who offered a view on this question believed </w:t>
      </w:r>
      <w:r w:rsidR="006D0800">
        <w:rPr>
          <w:iCs/>
        </w:rPr>
        <w:t xml:space="preserve">the </w:t>
      </w:r>
      <w:r w:rsidRPr="00A9038F">
        <w:rPr>
          <w:iCs/>
        </w:rPr>
        <w:t>years in Table 1 should remain the same as in the current Table 1</w:t>
      </w:r>
      <w:r w:rsidR="006D0800">
        <w:rPr>
          <w:rFonts w:cs="Arial"/>
          <w:iCs/>
          <w:szCs w:val="20"/>
        </w:rPr>
        <w:t>, with forecasts for any years in a future price control period calculated on the same basis as the latest known price control period,</w:t>
      </w:r>
      <w:r w:rsidRPr="00A9038F">
        <w:rPr>
          <w:iCs/>
        </w:rPr>
        <w:t xml:space="preserve"> with the final responder not offering a view.</w:t>
      </w:r>
      <w:r w:rsidR="006D0800">
        <w:rPr>
          <w:iCs/>
        </w:rPr>
        <w:t xml:space="preserve"> </w:t>
      </w:r>
    </w:p>
    <w:p w14:paraId="59101F92" w14:textId="5677C1D6" w:rsidR="00A9038F" w:rsidRPr="004A5E25" w:rsidRDefault="00A9038F" w:rsidP="00A9038F">
      <w:pPr>
        <w:pStyle w:val="ListParagraph"/>
        <w:numPr>
          <w:ilvl w:val="1"/>
          <w:numId w:val="22"/>
        </w:numPr>
        <w:rPr>
          <w:bCs/>
        </w:rPr>
      </w:pPr>
      <w:r w:rsidRPr="00A9038F">
        <w:rPr>
          <w:bCs/>
        </w:rPr>
        <w:t>On</w:t>
      </w:r>
      <w:r w:rsidR="006D0800">
        <w:rPr>
          <w:bCs/>
        </w:rPr>
        <w:t>e</w:t>
      </w:r>
      <w:r w:rsidRPr="00A9038F">
        <w:rPr>
          <w:bCs/>
        </w:rPr>
        <w:t xml:space="preserve"> of the six responders who replied to this question </w:t>
      </w:r>
      <w:r w:rsidR="006D0800">
        <w:rPr>
          <w:rFonts w:cs="Arial"/>
          <w:bCs/>
          <w:szCs w:val="20"/>
        </w:rPr>
        <w:t>suggested including</w:t>
      </w:r>
      <w:r w:rsidRPr="00A9038F">
        <w:rPr>
          <w:bCs/>
        </w:rPr>
        <w:t xml:space="preserve"> </w:t>
      </w:r>
      <w:r w:rsidRPr="00A9038F">
        <w:t>a caveat to say the</w:t>
      </w:r>
      <w:r w:rsidR="006D0800">
        <w:t xml:space="preserve"> allowed revenue in</w:t>
      </w:r>
      <w:r w:rsidRPr="00A9038F">
        <w:t xml:space="preserve"> years </w:t>
      </w:r>
      <w:r w:rsidR="006D0800">
        <w:t xml:space="preserve">outside of the current price control period </w:t>
      </w:r>
      <w:r w:rsidRPr="00A9038F">
        <w:t>are subject to change once the licence conditions are finalised.</w:t>
      </w:r>
    </w:p>
    <w:p w14:paraId="5161208E" w14:textId="2EC14468" w:rsidR="004A5E25" w:rsidRPr="004A5E25" w:rsidRDefault="004A5E25" w:rsidP="004A5E25">
      <w:pPr>
        <w:pStyle w:val="Question"/>
        <w:keepLines/>
        <w:pBdr>
          <w:bottom w:val="single" w:sz="48" w:space="0" w:color="339966"/>
        </w:pBdr>
      </w:pPr>
      <w:r>
        <w:t>Question 4 – Is the level of granularity in ‘Table 1 – CDCM Input Version’ sufficient for the CDCM ‘General Inputs’ or is anything further required for input into the CDCM? Please provide rationale.</w:t>
      </w:r>
    </w:p>
    <w:p w14:paraId="179C8841" w14:textId="75DF1F80" w:rsidR="00A9038F" w:rsidRPr="00A9038F" w:rsidRDefault="00A9038F" w:rsidP="00A9038F">
      <w:pPr>
        <w:pStyle w:val="ListParagraph"/>
        <w:numPr>
          <w:ilvl w:val="1"/>
          <w:numId w:val="22"/>
        </w:numPr>
        <w:rPr>
          <w:bCs/>
        </w:rPr>
      </w:pPr>
      <w:r w:rsidRPr="00A9038F">
        <w:rPr>
          <w:bCs/>
        </w:rPr>
        <w:t xml:space="preserve">Five respondents believed the level of granularity in </w:t>
      </w:r>
      <w:r w:rsidR="006D0800">
        <w:rPr>
          <w:bCs/>
        </w:rPr>
        <w:t>'T</w:t>
      </w:r>
      <w:r w:rsidRPr="00A9038F">
        <w:rPr>
          <w:bCs/>
        </w:rPr>
        <w:t>able 1</w:t>
      </w:r>
      <w:r w:rsidR="006D0800">
        <w:rPr>
          <w:bCs/>
        </w:rPr>
        <w:t xml:space="preserve"> </w:t>
      </w:r>
      <w:r w:rsidRPr="00A9038F">
        <w:rPr>
          <w:bCs/>
        </w:rPr>
        <w:t>- CDCM Input</w:t>
      </w:r>
      <w:r w:rsidR="006D0800">
        <w:rPr>
          <w:bCs/>
        </w:rPr>
        <w:t xml:space="preserve"> V</w:t>
      </w:r>
      <w:r w:rsidRPr="00A9038F">
        <w:rPr>
          <w:bCs/>
        </w:rPr>
        <w:t>ersion</w:t>
      </w:r>
      <w:r w:rsidR="006D0800">
        <w:rPr>
          <w:bCs/>
        </w:rPr>
        <w:t>’</w:t>
      </w:r>
      <w:r w:rsidRPr="00A9038F">
        <w:rPr>
          <w:bCs/>
        </w:rPr>
        <w:t xml:space="preserve"> was sufficient</w:t>
      </w:r>
      <w:r w:rsidR="006D0800">
        <w:rPr>
          <w:bCs/>
        </w:rPr>
        <w:t xml:space="preserve"> for the CDCM requirements</w:t>
      </w:r>
      <w:r w:rsidRPr="00A9038F">
        <w:rPr>
          <w:bCs/>
        </w:rPr>
        <w:t>.</w:t>
      </w:r>
    </w:p>
    <w:p w14:paraId="6B23D7E3" w14:textId="0BC85FB9" w:rsidR="00A9038F" w:rsidRPr="00623D38" w:rsidRDefault="00A9038F" w:rsidP="00A9038F">
      <w:pPr>
        <w:pStyle w:val="ListParagraph"/>
        <w:numPr>
          <w:ilvl w:val="1"/>
          <w:numId w:val="22"/>
        </w:numPr>
        <w:rPr>
          <w:bCs/>
        </w:rPr>
      </w:pPr>
      <w:r w:rsidRPr="00A9038F">
        <w:rPr>
          <w:bCs/>
        </w:rPr>
        <w:t xml:space="preserve">One responder stated that they did not use the </w:t>
      </w:r>
      <w:r w:rsidR="006D0800">
        <w:rPr>
          <w:bCs/>
        </w:rPr>
        <w:t>“</w:t>
      </w:r>
      <w:r w:rsidRPr="00A9038F">
        <w:t>Excluded Services</w:t>
      </w:r>
      <w:r w:rsidR="006D0800">
        <w:t>”</w:t>
      </w:r>
      <w:r w:rsidRPr="00A9038F">
        <w:t xml:space="preserve">, or the </w:t>
      </w:r>
      <w:r w:rsidR="006D0800">
        <w:t>“</w:t>
      </w:r>
      <w:r w:rsidRPr="00A9038F">
        <w:t>Revenue raised out</w:t>
      </w:r>
      <w:r w:rsidR="006D0800">
        <w:t xml:space="preserve">side of the </w:t>
      </w:r>
      <w:r w:rsidRPr="00A9038F">
        <w:t>CDCM</w:t>
      </w:r>
      <w:r w:rsidR="006D0800">
        <w:t>”</w:t>
      </w:r>
      <w:r w:rsidRPr="00A9038F">
        <w:t xml:space="preserve"> blocks but believed that it may make sense to keep a few rows in to allow for anything that comes up that isn’t currently known, such as the rebates in 2013/14 which the voluntary under-recovery row was last used for.</w:t>
      </w:r>
    </w:p>
    <w:p w14:paraId="3E3D805C" w14:textId="50A7DD58" w:rsidR="00623D38" w:rsidRPr="00623D38" w:rsidRDefault="00623D38" w:rsidP="00623D38">
      <w:pPr>
        <w:pStyle w:val="Question"/>
        <w:keepLines/>
        <w:pBdr>
          <w:bottom w:val="single" w:sz="48" w:space="0" w:color="339966"/>
        </w:pBdr>
      </w:pPr>
      <w:r>
        <w:t xml:space="preserve">Question 5 – </w:t>
      </w:r>
      <w:r w:rsidRPr="00404008">
        <w:t>For Suppliers Only-</w:t>
      </w:r>
      <w:r>
        <w:t xml:space="preserve"> Is the level of granularity in ‘Table 1 – ED2 Detailed’ required for the quarterly Cost Information submissions, or is the level within ‘Table 1 – CDCM Input Version’ sufficient, or should both be produced? Please provide rationale.</w:t>
      </w:r>
    </w:p>
    <w:p w14:paraId="73025CD4" w14:textId="09735151" w:rsidR="00A9038F" w:rsidRPr="00A9038F" w:rsidRDefault="00A9038F" w:rsidP="00A9038F">
      <w:pPr>
        <w:pStyle w:val="ListParagraph"/>
        <w:numPr>
          <w:ilvl w:val="1"/>
          <w:numId w:val="22"/>
        </w:numPr>
        <w:rPr>
          <w:bCs/>
        </w:rPr>
      </w:pPr>
      <w:r w:rsidRPr="00A9038F">
        <w:rPr>
          <w:bCs/>
        </w:rPr>
        <w:t xml:space="preserve">Six of the seven respondents </w:t>
      </w:r>
      <w:proofErr w:type="gramStart"/>
      <w:r w:rsidRPr="00A9038F">
        <w:rPr>
          <w:bCs/>
        </w:rPr>
        <w:t>were</w:t>
      </w:r>
      <w:proofErr w:type="gramEnd"/>
      <w:r w:rsidRPr="00A9038F">
        <w:rPr>
          <w:bCs/>
        </w:rPr>
        <w:t xml:space="preserve"> not suppliers so offered no view </w:t>
      </w:r>
      <w:r w:rsidR="006D0800">
        <w:rPr>
          <w:bCs/>
        </w:rPr>
        <w:t>for</w:t>
      </w:r>
      <w:r w:rsidR="006D0800" w:rsidRPr="00A9038F">
        <w:rPr>
          <w:bCs/>
        </w:rPr>
        <w:t xml:space="preserve"> </w:t>
      </w:r>
      <w:r w:rsidRPr="00A9038F">
        <w:rPr>
          <w:bCs/>
        </w:rPr>
        <w:t>this question.</w:t>
      </w:r>
    </w:p>
    <w:p w14:paraId="3CB02D8C" w14:textId="28034D58" w:rsidR="00A9038F" w:rsidRPr="00A9038F" w:rsidRDefault="00A9038F" w:rsidP="00A9038F">
      <w:pPr>
        <w:pStyle w:val="ListParagraph"/>
        <w:numPr>
          <w:ilvl w:val="1"/>
          <w:numId w:val="22"/>
        </w:numPr>
        <w:rPr>
          <w:bCs/>
        </w:rPr>
      </w:pPr>
      <w:r w:rsidRPr="00A9038F">
        <w:rPr>
          <w:bCs/>
        </w:rPr>
        <w:t>The only supplier who responde</w:t>
      </w:r>
      <w:r w:rsidR="006D0800">
        <w:rPr>
          <w:bCs/>
        </w:rPr>
        <w:t>d</w:t>
      </w:r>
      <w:r w:rsidRPr="00A9038F">
        <w:rPr>
          <w:bCs/>
        </w:rPr>
        <w:t xml:space="preserve"> to the consultation stated that the </w:t>
      </w:r>
      <w:r w:rsidRPr="00A9038F">
        <w:t xml:space="preserve">level of detail in the </w:t>
      </w:r>
      <w:r w:rsidR="006D0800">
        <w:t>‘</w:t>
      </w:r>
      <w:r w:rsidRPr="00A9038F">
        <w:t>ED2</w:t>
      </w:r>
      <w:r w:rsidR="006D0800">
        <w:t xml:space="preserve"> Detailed’</w:t>
      </w:r>
      <w:r w:rsidRPr="00A9038F">
        <w:t xml:space="preserve"> table was preferable.</w:t>
      </w:r>
    </w:p>
    <w:p w14:paraId="4F294394" w14:textId="77777777" w:rsidR="005A113C" w:rsidRPr="00C87587" w:rsidRDefault="005A113C" w:rsidP="005A113C">
      <w:pPr>
        <w:pStyle w:val="Question"/>
        <w:keepLines/>
        <w:pBdr>
          <w:bottom w:val="single" w:sz="48" w:space="0" w:color="339966"/>
        </w:pBdr>
      </w:pPr>
      <w:r>
        <w:t xml:space="preserve">Question 6 - </w:t>
      </w:r>
      <w:r w:rsidRPr="0062117A">
        <w:t xml:space="preserve">Are there any data items that have not been included within </w:t>
      </w:r>
      <w:r>
        <w:t>‘</w:t>
      </w:r>
      <w:r w:rsidRPr="0062117A">
        <w:t xml:space="preserve">Table 1 </w:t>
      </w:r>
      <w:r>
        <w:t xml:space="preserve">- </w:t>
      </w:r>
      <w:r w:rsidRPr="0062117A">
        <w:t>ED2 Detailed</w:t>
      </w:r>
      <w:r>
        <w:t xml:space="preserve">’ or ‘Table 1 - CDCM input version’ </w:t>
      </w:r>
      <w:r w:rsidRPr="0062117A">
        <w:t xml:space="preserve">that you believe should be included, or any other changes to the format that you believe would improve this table? If </w:t>
      </w:r>
      <w:proofErr w:type="gramStart"/>
      <w:r w:rsidRPr="0062117A">
        <w:t>so</w:t>
      </w:r>
      <w:proofErr w:type="gramEnd"/>
      <w:r w:rsidRPr="0062117A">
        <w:t xml:space="preserve"> please provide rationale.</w:t>
      </w:r>
    </w:p>
    <w:p w14:paraId="45D504F1" w14:textId="77777777" w:rsidR="00A9038F" w:rsidRPr="00A9038F" w:rsidRDefault="00A9038F" w:rsidP="00A9038F">
      <w:pPr>
        <w:pStyle w:val="ListParagraph"/>
        <w:numPr>
          <w:ilvl w:val="1"/>
          <w:numId w:val="22"/>
        </w:numPr>
        <w:rPr>
          <w:bCs/>
        </w:rPr>
      </w:pPr>
      <w:r w:rsidRPr="00A9038F">
        <w:rPr>
          <w:bCs/>
        </w:rPr>
        <w:t>Five respondents stated that no additional data items were required.</w:t>
      </w:r>
    </w:p>
    <w:p w14:paraId="182B6B8B" w14:textId="21BAF64C" w:rsidR="00A9038F" w:rsidRPr="00A9038F" w:rsidRDefault="00A9038F" w:rsidP="00A9038F">
      <w:pPr>
        <w:pStyle w:val="ListParagraph"/>
        <w:numPr>
          <w:ilvl w:val="1"/>
          <w:numId w:val="22"/>
        </w:numPr>
        <w:rPr>
          <w:bCs/>
        </w:rPr>
      </w:pPr>
      <w:r w:rsidRPr="00A9038F">
        <w:rPr>
          <w:bCs/>
        </w:rPr>
        <w:t xml:space="preserve">One responder commented that for </w:t>
      </w:r>
      <w:r w:rsidR="006D0800">
        <w:rPr>
          <w:bCs/>
        </w:rPr>
        <w:t>‘</w:t>
      </w:r>
      <w:r w:rsidRPr="00A9038F">
        <w:rPr>
          <w:bCs/>
        </w:rPr>
        <w:t xml:space="preserve">Table 1 – CDCM Input </w:t>
      </w:r>
      <w:r w:rsidR="006D0800">
        <w:rPr>
          <w:bCs/>
        </w:rPr>
        <w:t>Version’ i</w:t>
      </w:r>
      <w:r w:rsidRPr="00A9038F">
        <w:rPr>
          <w:bCs/>
        </w:rPr>
        <w:t>t might be beneficial to provide the breakdown of Output Delivery Incentive (ODI) and Other Revenue Allowance (ORA) as was done for Pass-Through (PT). Or leave the breakdown for all three in 'Table 1 – ED2 Detailed' worksheet.</w:t>
      </w:r>
      <w:r w:rsidR="006D0800">
        <w:rPr>
          <w:bCs/>
        </w:rPr>
        <w:t xml:space="preserve"> </w:t>
      </w:r>
    </w:p>
    <w:p w14:paraId="54C96CBE" w14:textId="77777777" w:rsidR="00A9038F" w:rsidRPr="00A9038F" w:rsidRDefault="00A9038F" w:rsidP="00A9038F">
      <w:pPr>
        <w:pStyle w:val="ListParagraph"/>
        <w:numPr>
          <w:ilvl w:val="1"/>
          <w:numId w:val="22"/>
        </w:numPr>
        <w:rPr>
          <w:bCs/>
        </w:rPr>
      </w:pPr>
      <w:r w:rsidRPr="00A9038F">
        <w:rPr>
          <w:bCs/>
        </w:rPr>
        <w:t>The same responder to the above point also stated that a colour legend would be helpful.</w:t>
      </w:r>
    </w:p>
    <w:p w14:paraId="4E5D862C" w14:textId="00680606" w:rsidR="00A9038F" w:rsidRPr="00A9038F" w:rsidRDefault="00A9038F" w:rsidP="00A9038F">
      <w:pPr>
        <w:pStyle w:val="ListParagraph"/>
        <w:numPr>
          <w:ilvl w:val="1"/>
          <w:numId w:val="22"/>
        </w:numPr>
        <w:rPr>
          <w:bCs/>
        </w:rPr>
      </w:pPr>
      <w:r w:rsidRPr="00A9038F">
        <w:rPr>
          <w:bCs/>
        </w:rPr>
        <w:t xml:space="preserve">The only supplier to respond to the consultation stated </w:t>
      </w:r>
      <w:r w:rsidRPr="00A9038F">
        <w:t>that the split of revenue between CDCM and EDCM isn’t included in the ‘ED2 Detailed’ tab</w:t>
      </w:r>
      <w:r w:rsidR="006D0800">
        <w:t>, so</w:t>
      </w:r>
      <w:r w:rsidRPr="00A9038F">
        <w:t xml:space="preserve"> if the intention is to only provide only the ‘ED2 Detailed’ or the ‘CDCM Input Version’ then rows 48, 49 and 53 of the ‘CDCM Input Version’ should be included in the ‘ED2 Detailed output’.</w:t>
      </w:r>
      <w:r w:rsidR="006D0800">
        <w:t xml:space="preserve"> </w:t>
      </w:r>
    </w:p>
    <w:p w14:paraId="142C1D66" w14:textId="77777777" w:rsidR="005468F2" w:rsidRPr="00E615CA" w:rsidRDefault="005468F2" w:rsidP="005468F2">
      <w:pPr>
        <w:pStyle w:val="Question"/>
        <w:keepLines/>
        <w:pBdr>
          <w:bottom w:val="single" w:sz="48" w:space="0" w:color="339966"/>
        </w:pBdr>
      </w:pPr>
      <w:r>
        <w:lastRenderedPageBreak/>
        <w:t>Question 7 – Does the ‘Delta from previous’ table provide additional value to the submission? Are there any data items that have not been included within the ‘</w:t>
      </w:r>
      <w:r w:rsidRPr="003833DA">
        <w:t xml:space="preserve">Delta from </w:t>
      </w:r>
      <w:r>
        <w:t>p</w:t>
      </w:r>
      <w:r w:rsidRPr="003833DA">
        <w:t>revious</w:t>
      </w:r>
      <w:r>
        <w:t xml:space="preserve">’ table that you believe should be included, or any other changes to the format that you believe would improve this table? If </w:t>
      </w:r>
      <w:proofErr w:type="gramStart"/>
      <w:r>
        <w:t>so</w:t>
      </w:r>
      <w:proofErr w:type="gramEnd"/>
      <w:r>
        <w:t xml:space="preserve"> please provide rationale.</w:t>
      </w:r>
    </w:p>
    <w:p w14:paraId="5FBDE613" w14:textId="1C878679" w:rsidR="00A9038F" w:rsidRPr="00A9038F" w:rsidRDefault="00A9038F" w:rsidP="00A9038F">
      <w:pPr>
        <w:pStyle w:val="ListParagraph"/>
        <w:numPr>
          <w:ilvl w:val="1"/>
          <w:numId w:val="22"/>
        </w:numPr>
        <w:rPr>
          <w:bCs/>
        </w:rPr>
      </w:pPr>
      <w:r w:rsidRPr="00A9038F">
        <w:rPr>
          <w:bCs/>
        </w:rPr>
        <w:t xml:space="preserve">All respondents believed that the </w:t>
      </w:r>
      <w:r w:rsidR="006D0800">
        <w:rPr>
          <w:bCs/>
        </w:rPr>
        <w:t>‘</w:t>
      </w:r>
      <w:r w:rsidRPr="00A9038F">
        <w:rPr>
          <w:bCs/>
        </w:rPr>
        <w:t>Delta from pr</w:t>
      </w:r>
      <w:r w:rsidR="006D0800">
        <w:rPr>
          <w:bCs/>
        </w:rPr>
        <w:t>e</w:t>
      </w:r>
      <w:r w:rsidRPr="00A9038F">
        <w:rPr>
          <w:bCs/>
        </w:rPr>
        <w:t>vious</w:t>
      </w:r>
      <w:r w:rsidR="006D0800">
        <w:rPr>
          <w:bCs/>
        </w:rPr>
        <w:t>’</w:t>
      </w:r>
      <w:r w:rsidRPr="00A9038F">
        <w:rPr>
          <w:bCs/>
        </w:rPr>
        <w:t xml:space="preserve"> table provided additional value. The reasons ranged from it potentially explaining significant price changes to </w:t>
      </w:r>
      <w:r w:rsidRPr="00A9038F">
        <w:t>allowing for an easy comparison to the previous submission.</w:t>
      </w:r>
    </w:p>
    <w:p w14:paraId="13305679" w14:textId="29485EC5" w:rsidR="00A9038F" w:rsidRPr="00A9038F" w:rsidRDefault="00A9038F" w:rsidP="00A9038F">
      <w:pPr>
        <w:pStyle w:val="ListParagraph"/>
        <w:numPr>
          <w:ilvl w:val="1"/>
          <w:numId w:val="22"/>
        </w:numPr>
        <w:rPr>
          <w:bCs/>
        </w:rPr>
      </w:pPr>
      <w:r w:rsidRPr="00A9038F">
        <w:rPr>
          <w:bCs/>
        </w:rPr>
        <w:t>One of the respondents commented that the stakeholder teleconference, which is mandated by the DCUSA</w:t>
      </w:r>
      <w:r w:rsidR="00C74172">
        <w:rPr>
          <w:bCs/>
        </w:rPr>
        <w:t>,</w:t>
      </w:r>
      <w:r w:rsidRPr="00A9038F">
        <w:rPr>
          <w:bCs/>
        </w:rPr>
        <w:t xml:space="preserve"> might need to take a slightly different format as these deltas are discussed during the presentation (for example, the slides may not be needed as the same information is contained in the worksheet).</w:t>
      </w:r>
    </w:p>
    <w:p w14:paraId="52195655" w14:textId="77777777" w:rsidR="001666A7" w:rsidRPr="00D2287B" w:rsidRDefault="001666A7" w:rsidP="001666A7">
      <w:pPr>
        <w:pStyle w:val="Question"/>
        <w:keepNext w:val="0"/>
        <w:keepLines/>
        <w:pBdr>
          <w:bottom w:val="single" w:sz="48" w:space="0" w:color="339966"/>
        </w:pBdr>
      </w:pPr>
      <w:r w:rsidRPr="002A3F8F">
        <w:t>Question</w:t>
      </w:r>
      <w:r>
        <w:t xml:space="preserve"> 8 - </w:t>
      </w:r>
      <w:r w:rsidRPr="00577C50">
        <w:rPr>
          <w:u w:val="single"/>
        </w:rPr>
        <w:t>For suppliers only</w:t>
      </w:r>
      <w:r>
        <w:rPr>
          <w:u w:val="single"/>
        </w:rPr>
        <w:t xml:space="preserve"> </w:t>
      </w:r>
      <w:r w:rsidRPr="00577C50">
        <w:rPr>
          <w:u w:val="single"/>
        </w:rPr>
        <w:t>-</w:t>
      </w:r>
      <w:r>
        <w:rPr>
          <w:u w:val="single"/>
        </w:rPr>
        <w:t xml:space="preserve"> </w:t>
      </w:r>
      <w:r>
        <w:t xml:space="preserve">Do you use the information provided in Table 2? If </w:t>
      </w:r>
      <w:proofErr w:type="gramStart"/>
      <w:r>
        <w:t>so</w:t>
      </w:r>
      <w:proofErr w:type="gramEnd"/>
      <w:r>
        <w:t xml:space="preserve"> what do you use the information for and does it add significant value?</w:t>
      </w:r>
    </w:p>
    <w:p w14:paraId="76099C58" w14:textId="77777777" w:rsidR="00A9038F" w:rsidRPr="00A9038F" w:rsidRDefault="00A9038F" w:rsidP="00A9038F">
      <w:pPr>
        <w:pStyle w:val="ListParagraph"/>
        <w:numPr>
          <w:ilvl w:val="1"/>
          <w:numId w:val="22"/>
        </w:numPr>
        <w:rPr>
          <w:bCs/>
        </w:rPr>
      </w:pPr>
      <w:r w:rsidRPr="00A9038F">
        <w:rPr>
          <w:bCs/>
        </w:rPr>
        <w:t>Six of the seven respondents didn’t offer a view as they were not suppliers.</w:t>
      </w:r>
    </w:p>
    <w:p w14:paraId="69BFCA1C" w14:textId="3E966412" w:rsidR="00A9038F" w:rsidRPr="00A9038F" w:rsidRDefault="00A9038F" w:rsidP="00A9038F">
      <w:pPr>
        <w:pStyle w:val="ListParagraph"/>
        <w:numPr>
          <w:ilvl w:val="1"/>
          <w:numId w:val="22"/>
        </w:numPr>
        <w:rPr>
          <w:bCs/>
        </w:rPr>
      </w:pPr>
      <w:r w:rsidRPr="00A9038F">
        <w:rPr>
          <w:bCs/>
        </w:rPr>
        <w:t xml:space="preserve">The only supplier to respond to this question stated that the </w:t>
      </w:r>
      <w:proofErr w:type="spellStart"/>
      <w:r w:rsidR="006D304F">
        <w:rPr>
          <w:bCs/>
        </w:rPr>
        <w:t>the</w:t>
      </w:r>
      <w:proofErr w:type="spellEnd"/>
      <w:r w:rsidR="006D304F">
        <w:rPr>
          <w:bCs/>
        </w:rPr>
        <w:t xml:space="preserve"> current format of Table 2 does not provide much insight and that the </w:t>
      </w:r>
      <w:r w:rsidR="00701CE7">
        <w:rPr>
          <w:bCs/>
        </w:rPr>
        <w:t>updated Table 2 could be much more useful in providing foresight of potential revenue movements</w:t>
      </w:r>
      <w:r w:rsidRPr="00A9038F">
        <w:rPr>
          <w:bCs/>
        </w:rPr>
        <w:t>.</w:t>
      </w:r>
    </w:p>
    <w:p w14:paraId="4C45C64D" w14:textId="77777777" w:rsidR="00145C79" w:rsidRPr="003E6F43" w:rsidRDefault="00145C79" w:rsidP="00145C79">
      <w:pPr>
        <w:pStyle w:val="Question"/>
        <w:keepNext w:val="0"/>
        <w:keepLines/>
        <w:pBdr>
          <w:bottom w:val="single" w:sz="48" w:space="0" w:color="339966"/>
        </w:pBdr>
      </w:pPr>
      <w:r>
        <w:t>Question 9 – Is the proposed Table 2 an improvement on the existing Table and do you believe this could provide more meaningful information to Suppliers? Please provide your rationale.</w:t>
      </w:r>
    </w:p>
    <w:p w14:paraId="5394F783" w14:textId="77777777" w:rsidR="00A9038F" w:rsidRPr="00A9038F" w:rsidRDefault="00A9038F" w:rsidP="00A9038F">
      <w:pPr>
        <w:pStyle w:val="ListParagraph"/>
        <w:numPr>
          <w:ilvl w:val="1"/>
          <w:numId w:val="22"/>
        </w:numPr>
        <w:rPr>
          <w:bCs/>
        </w:rPr>
      </w:pPr>
      <w:r w:rsidRPr="00A9038F">
        <w:rPr>
          <w:bCs/>
        </w:rPr>
        <w:t>Four of the six respondents stated they believed the proposed Table 2 is an improvement on the existing table.</w:t>
      </w:r>
    </w:p>
    <w:p w14:paraId="14E83B87" w14:textId="086024AB" w:rsidR="00A9038F" w:rsidRPr="00A9038F" w:rsidRDefault="00A9038F" w:rsidP="00A9038F">
      <w:pPr>
        <w:pStyle w:val="ListParagraph"/>
        <w:numPr>
          <w:ilvl w:val="1"/>
          <w:numId w:val="22"/>
        </w:numPr>
        <w:rPr>
          <w:bCs/>
        </w:rPr>
      </w:pPr>
      <w:r w:rsidRPr="00A9038F">
        <w:rPr>
          <w:bCs/>
        </w:rPr>
        <w:t xml:space="preserve">One of these four respondents stated that whilst they believed Table 2 was an improvement, this question was more pertinent to suppliers as it </w:t>
      </w:r>
      <w:r w:rsidR="00701CE7">
        <w:rPr>
          <w:bCs/>
        </w:rPr>
        <w:t xml:space="preserve">is more </w:t>
      </w:r>
      <w:r w:rsidRPr="00A9038F">
        <w:rPr>
          <w:bCs/>
        </w:rPr>
        <w:t>relevant to the</w:t>
      </w:r>
      <w:r w:rsidR="00701CE7">
        <w:rPr>
          <w:bCs/>
        </w:rPr>
        <w:t>m as the recipients of this information</w:t>
      </w:r>
      <w:r w:rsidRPr="00A9038F">
        <w:rPr>
          <w:bCs/>
        </w:rPr>
        <w:t>.</w:t>
      </w:r>
    </w:p>
    <w:p w14:paraId="2C4062D7" w14:textId="77777777" w:rsidR="00A9038F" w:rsidRPr="00A9038F" w:rsidRDefault="00A9038F" w:rsidP="00A9038F">
      <w:pPr>
        <w:pStyle w:val="ListParagraph"/>
        <w:numPr>
          <w:ilvl w:val="1"/>
          <w:numId w:val="22"/>
        </w:numPr>
        <w:rPr>
          <w:bCs/>
        </w:rPr>
      </w:pPr>
      <w:r w:rsidRPr="00A9038F">
        <w:rPr>
          <w:bCs/>
        </w:rPr>
        <w:t>Two respondents didn’t offer a view stating that this question was more appropriate for Suppliers to comment on.</w:t>
      </w:r>
    </w:p>
    <w:p w14:paraId="3D1C9FCE" w14:textId="05B972E8" w:rsidR="00A9038F" w:rsidRPr="00A9038F" w:rsidRDefault="00A9038F" w:rsidP="00A9038F">
      <w:pPr>
        <w:pStyle w:val="ListParagraph"/>
        <w:numPr>
          <w:ilvl w:val="1"/>
          <w:numId w:val="22"/>
        </w:numPr>
        <w:rPr>
          <w:bCs/>
        </w:rPr>
      </w:pPr>
      <w:r w:rsidRPr="00A9038F">
        <w:rPr>
          <w:bCs/>
        </w:rPr>
        <w:t xml:space="preserve">The final respondent stated they </w:t>
      </w:r>
      <w:r w:rsidRPr="00A9038F">
        <w:t xml:space="preserve">believed the existing style is </w:t>
      </w:r>
      <w:proofErr w:type="gramStart"/>
      <w:r w:rsidRPr="00A9038F">
        <w:t>more preferable</w:t>
      </w:r>
      <w:proofErr w:type="gramEnd"/>
      <w:r w:rsidRPr="00A9038F">
        <w:t xml:space="preserve"> and the proposed table may be too prescriptive and not allow for any flexibility</w:t>
      </w:r>
      <w:r w:rsidR="00701CE7">
        <w:t xml:space="preserve"> to reflect issues of importance in the future without a DCP</w:t>
      </w:r>
      <w:r w:rsidRPr="00A9038F">
        <w:t>.</w:t>
      </w:r>
    </w:p>
    <w:p w14:paraId="6ACC022F" w14:textId="43C529E5" w:rsidR="00881042" w:rsidRPr="00932102" w:rsidRDefault="00881042" w:rsidP="00881042">
      <w:pPr>
        <w:pStyle w:val="Question"/>
        <w:keepLines/>
        <w:pBdr>
          <w:top w:val="none" w:sz="0" w:space="0" w:color="auto"/>
          <w:left w:val="none" w:sz="0" w:space="0" w:color="auto"/>
          <w:bottom w:val="none" w:sz="0" w:space="0" w:color="auto"/>
          <w:right w:val="none" w:sz="0" w:space="0" w:color="auto"/>
        </w:pBdr>
      </w:pPr>
      <w:r>
        <w:t xml:space="preserve">Question 10 - Are there any data items that have not been included within </w:t>
      </w:r>
      <w:r w:rsidRPr="003833DA">
        <w:t>Table 2</w:t>
      </w:r>
      <w:r>
        <w:t xml:space="preserve"> tab that you believe should be included, or any other changes to the format that you believe would improve this table? If </w:t>
      </w:r>
      <w:proofErr w:type="gramStart"/>
      <w:r>
        <w:t>so</w:t>
      </w:r>
      <w:proofErr w:type="gramEnd"/>
      <w:r>
        <w:t xml:space="preserve"> please provide rationale.</w:t>
      </w:r>
    </w:p>
    <w:p w14:paraId="37483598" w14:textId="15634860" w:rsidR="00A9038F" w:rsidRPr="00A9038F" w:rsidRDefault="00A9038F" w:rsidP="00A9038F">
      <w:pPr>
        <w:pStyle w:val="ListParagraph"/>
        <w:numPr>
          <w:ilvl w:val="1"/>
          <w:numId w:val="22"/>
        </w:numPr>
        <w:rPr>
          <w:bCs/>
        </w:rPr>
      </w:pPr>
      <w:r w:rsidRPr="00A9038F">
        <w:rPr>
          <w:bCs/>
        </w:rPr>
        <w:t>Six of the seven respondents stated that they did</w:t>
      </w:r>
      <w:r w:rsidR="006D0800">
        <w:rPr>
          <w:bCs/>
        </w:rPr>
        <w:t xml:space="preserve"> </w:t>
      </w:r>
      <w:r w:rsidRPr="00A9038F">
        <w:rPr>
          <w:bCs/>
        </w:rPr>
        <w:t>n</w:t>
      </w:r>
      <w:r w:rsidR="006D0800">
        <w:rPr>
          <w:bCs/>
        </w:rPr>
        <w:t>o</w:t>
      </w:r>
      <w:r w:rsidRPr="00A9038F">
        <w:rPr>
          <w:bCs/>
        </w:rPr>
        <w:t xml:space="preserve">t believe there were any additional data items or changes required to </w:t>
      </w:r>
      <w:r w:rsidR="006D0800">
        <w:rPr>
          <w:bCs/>
        </w:rPr>
        <w:t>T</w:t>
      </w:r>
      <w:r w:rsidRPr="00A9038F">
        <w:rPr>
          <w:bCs/>
        </w:rPr>
        <w:t>able 2 or didn’t offer a view.</w:t>
      </w:r>
    </w:p>
    <w:p w14:paraId="683CE67A" w14:textId="77777777" w:rsidR="00A9038F" w:rsidRPr="00A9038F" w:rsidRDefault="00A9038F" w:rsidP="00A9038F">
      <w:pPr>
        <w:pStyle w:val="ListParagraph"/>
        <w:numPr>
          <w:ilvl w:val="1"/>
          <w:numId w:val="22"/>
        </w:numPr>
        <w:rPr>
          <w:bCs/>
        </w:rPr>
      </w:pPr>
      <w:r w:rsidRPr="00A9038F">
        <w:rPr>
          <w:bCs/>
        </w:rPr>
        <w:t>The final respondent stated that a commentary column may be helpful as well as the previously mentioned colour coded legend.</w:t>
      </w:r>
    </w:p>
    <w:p w14:paraId="0362C37F" w14:textId="77777777" w:rsidR="00A9038F" w:rsidRPr="00A9038F" w:rsidRDefault="00A9038F" w:rsidP="00A9038F">
      <w:pPr>
        <w:pStyle w:val="ListParagraph"/>
        <w:numPr>
          <w:ilvl w:val="1"/>
          <w:numId w:val="22"/>
        </w:numPr>
        <w:rPr>
          <w:bCs/>
        </w:rPr>
      </w:pPr>
      <w:r w:rsidRPr="00A9038F">
        <w:rPr>
          <w:bCs/>
        </w:rPr>
        <w:t>They also commented that unless the intention for the inflation table in Table 2 is to only show potential large swings and impacts of different inflation values, it is not needed.</w:t>
      </w:r>
    </w:p>
    <w:p w14:paraId="7EF28532" w14:textId="77777777" w:rsidR="00A9038F" w:rsidRPr="00A9038F" w:rsidRDefault="00A9038F" w:rsidP="00A9038F">
      <w:pPr>
        <w:pStyle w:val="ListParagraph"/>
        <w:ind w:left="718"/>
        <w:rPr>
          <w:bCs/>
        </w:rPr>
      </w:pPr>
    </w:p>
    <w:p w14:paraId="0088C4DA" w14:textId="77777777" w:rsidR="00957609" w:rsidRDefault="00957609" w:rsidP="00957609">
      <w:pPr>
        <w:pStyle w:val="Question"/>
        <w:keepLines/>
        <w:pBdr>
          <w:top w:val="none" w:sz="0" w:space="0" w:color="auto"/>
          <w:left w:val="none" w:sz="0" w:space="0" w:color="auto"/>
          <w:bottom w:val="none" w:sz="0" w:space="0" w:color="auto"/>
          <w:right w:val="none" w:sz="0" w:space="0" w:color="auto"/>
        </w:pBdr>
      </w:pPr>
      <w:r w:rsidRPr="002A3F8F">
        <w:lastRenderedPageBreak/>
        <w:t>Question</w:t>
      </w:r>
      <w:r>
        <w:t xml:space="preserve"> 11 -</w:t>
      </w:r>
      <w:r w:rsidRPr="004B71CF">
        <w:t xml:space="preserve"> </w:t>
      </w:r>
      <w:r>
        <w:t>What source of forecast inflation should be used and should that source be consistently applied by all DNOs?</w:t>
      </w:r>
    </w:p>
    <w:p w14:paraId="2837C082" w14:textId="1CDC385C" w:rsidR="002D2929" w:rsidRPr="002D2929" w:rsidRDefault="002D2929" w:rsidP="002D2929">
      <w:pPr>
        <w:pStyle w:val="ListParagraph"/>
        <w:keepNext/>
        <w:numPr>
          <w:ilvl w:val="1"/>
          <w:numId w:val="22"/>
        </w:numPr>
        <w:tabs>
          <w:tab w:val="left" w:pos="851"/>
        </w:tabs>
        <w:spacing w:line="360" w:lineRule="auto"/>
        <w:jc w:val="both"/>
        <w:outlineLvl w:val="1"/>
        <w:rPr>
          <w:rFonts w:cs="Arial"/>
          <w:iCs/>
          <w:szCs w:val="20"/>
        </w:rPr>
      </w:pPr>
      <w:r>
        <w:t>The responses to this question ranged from either the OBR</w:t>
      </w:r>
      <w:r w:rsidR="00C96043">
        <w:t xml:space="preserve"> forecast</w:t>
      </w:r>
      <w:r>
        <w:t xml:space="preserve"> being the source of inflation or the DNOs setting the value as is the current process.</w:t>
      </w:r>
    </w:p>
    <w:p w14:paraId="72C6ECFB" w14:textId="77777777" w:rsidR="007E61F4" w:rsidRPr="000A1B2C" w:rsidRDefault="007E61F4" w:rsidP="007E61F4">
      <w:pPr>
        <w:pStyle w:val="Question"/>
        <w:keepLines/>
        <w:pBdr>
          <w:top w:val="none" w:sz="0" w:space="0" w:color="auto"/>
          <w:left w:val="none" w:sz="0" w:space="0" w:color="auto"/>
          <w:bottom w:val="none" w:sz="0" w:space="0" w:color="auto"/>
          <w:right w:val="none" w:sz="0" w:space="0" w:color="auto"/>
        </w:pBdr>
      </w:pPr>
      <w:r w:rsidRPr="002A3F8F">
        <w:t>Question</w:t>
      </w:r>
      <w:r>
        <w:t xml:space="preserve"> 12</w:t>
      </w:r>
      <w:r w:rsidRPr="004B71CF">
        <w:t xml:space="preserve"> </w:t>
      </w:r>
      <w:r>
        <w:t>- Who should be responsible for codifying where the inflation source comes from i.e. the DCUSA, Ofgem etc? Please provide rationale.</w:t>
      </w:r>
    </w:p>
    <w:p w14:paraId="547E5B7C" w14:textId="476ADEB7" w:rsidR="007E61F4" w:rsidRDefault="007E61F4" w:rsidP="007E61F4">
      <w:pPr>
        <w:pStyle w:val="ListParagraph"/>
        <w:keepNext/>
        <w:numPr>
          <w:ilvl w:val="1"/>
          <w:numId w:val="22"/>
        </w:numPr>
        <w:tabs>
          <w:tab w:val="left" w:pos="851"/>
        </w:tabs>
        <w:spacing w:line="360" w:lineRule="auto"/>
        <w:jc w:val="both"/>
        <w:outlineLvl w:val="1"/>
      </w:pPr>
      <w:r>
        <w:t>Five of the respondents believed that codifying the forecast inflation source was</w:t>
      </w:r>
      <w:r w:rsidR="00C96043">
        <w:t xml:space="preserve"> </w:t>
      </w:r>
      <w:r>
        <w:t>n</w:t>
      </w:r>
      <w:r w:rsidR="00C96043">
        <w:t>o</w:t>
      </w:r>
      <w:r>
        <w:t>t needed as per</w:t>
      </w:r>
      <w:r w:rsidR="00C96043">
        <w:t xml:space="preserve"> the</w:t>
      </w:r>
      <w:r>
        <w:t xml:space="preserve"> current process.  </w:t>
      </w:r>
    </w:p>
    <w:p w14:paraId="0E887918" w14:textId="77777777" w:rsidR="007E61F4" w:rsidRPr="009914B0" w:rsidRDefault="007E61F4" w:rsidP="007E61F4">
      <w:pPr>
        <w:pStyle w:val="ListParagraph"/>
        <w:keepNext/>
        <w:numPr>
          <w:ilvl w:val="1"/>
          <w:numId w:val="22"/>
        </w:numPr>
        <w:tabs>
          <w:tab w:val="left" w:pos="851"/>
        </w:tabs>
        <w:spacing w:line="360" w:lineRule="auto"/>
        <w:jc w:val="both"/>
        <w:outlineLvl w:val="1"/>
        <w:rPr>
          <w:rFonts w:cs="Arial"/>
          <w:b/>
          <w:bCs/>
          <w:iCs/>
          <w:szCs w:val="20"/>
        </w:rPr>
      </w:pPr>
      <w:r>
        <w:t>One respondent stated it should be Codified within the DCUSA and another offered no view.</w:t>
      </w:r>
    </w:p>
    <w:p w14:paraId="5C83387F" w14:textId="4687FD58" w:rsidR="002D2929" w:rsidRPr="00DE38AF" w:rsidRDefault="00D3710F" w:rsidP="00DE38AF">
      <w:pPr>
        <w:pStyle w:val="Question"/>
        <w:keepNext w:val="0"/>
        <w:keepLines/>
      </w:pPr>
      <w:r>
        <w:t xml:space="preserve">Question 13: </w:t>
      </w:r>
      <w:r w:rsidRPr="002301C3">
        <w:t xml:space="preserve"> </w:t>
      </w:r>
      <w:r w:rsidRPr="00571044">
        <w:t>D</w:t>
      </w:r>
      <w:r>
        <w:t>o you have a preference of how the tables are reflected within the DCUSA legal text? Should they be captured within the body of the text or provided in a separate workbook, referenced within the legal text.</w:t>
      </w:r>
    </w:p>
    <w:p w14:paraId="0D1798EF" w14:textId="37D15FA1" w:rsidR="004E15A3" w:rsidRDefault="00DE38AF" w:rsidP="008B5841">
      <w:pPr>
        <w:pStyle w:val="ListParagraph"/>
        <w:numPr>
          <w:ilvl w:val="1"/>
          <w:numId w:val="22"/>
        </w:numPr>
        <w:spacing w:line="360" w:lineRule="auto"/>
      </w:pPr>
      <w:r>
        <w:t>All respondents agreed that the tables should be within a separate workbook with a reference in the legal</w:t>
      </w:r>
      <w:r w:rsidR="00C96043">
        <w:t xml:space="preserve"> text</w:t>
      </w:r>
      <w:r>
        <w:t xml:space="preserve"> as this would allow for flexibility to update the template without having to go through the formal change process.</w:t>
      </w:r>
    </w:p>
    <w:p w14:paraId="07069B70" w14:textId="246957C3" w:rsidR="00DE38AF" w:rsidRDefault="000A1C34" w:rsidP="000A1C34">
      <w:pPr>
        <w:pStyle w:val="Question"/>
        <w:keepNext w:val="0"/>
        <w:keepLines/>
      </w:pPr>
      <w:r w:rsidRPr="002A3F8F">
        <w:t>Question</w:t>
      </w:r>
      <w:r>
        <w:t xml:space="preserve"> 14:</w:t>
      </w:r>
      <w:r w:rsidRPr="00F05AE8">
        <w:t xml:space="preserve"> </w:t>
      </w:r>
      <w:r w:rsidRPr="007532B3">
        <w:t>Do you consider th</w:t>
      </w:r>
      <w:r>
        <w:t xml:space="preserve">e solution </w:t>
      </w:r>
      <w:r w:rsidRPr="007532B3">
        <w:t>better facilitates the DCUSA objectives? Please give supporting reasons</w:t>
      </w:r>
      <w:r>
        <w:rPr>
          <w:noProof/>
        </w:rPr>
        <w:t>.</w:t>
      </w:r>
    </w:p>
    <w:p w14:paraId="48B1126B" w14:textId="77777777" w:rsidR="009E421E" w:rsidRPr="009E421E" w:rsidRDefault="009E421E" w:rsidP="009E421E">
      <w:pPr>
        <w:pStyle w:val="ListParagraph"/>
        <w:keepNext/>
        <w:numPr>
          <w:ilvl w:val="1"/>
          <w:numId w:val="22"/>
        </w:numPr>
        <w:tabs>
          <w:tab w:val="left" w:pos="851"/>
        </w:tabs>
        <w:spacing w:line="360" w:lineRule="auto"/>
        <w:jc w:val="both"/>
        <w:outlineLvl w:val="1"/>
        <w:rPr>
          <w:rFonts w:cs="Arial"/>
          <w:b/>
          <w:bCs/>
          <w:iCs/>
          <w:szCs w:val="20"/>
        </w:rPr>
      </w:pPr>
      <w:r>
        <w:t>For the General objectives five respondents believed objective 3 was better facilitated and four believed objective 2 was better facilitated. One responder offered no view.</w:t>
      </w:r>
    </w:p>
    <w:tbl>
      <w:tblPr>
        <w:tblStyle w:val="TableGrid"/>
        <w:tblW w:w="9346" w:type="dxa"/>
        <w:tblLook w:val="04A0" w:firstRow="1" w:lastRow="0" w:firstColumn="1" w:lastColumn="0" w:noHBand="0" w:noVBand="1"/>
      </w:tblPr>
      <w:tblGrid>
        <w:gridCol w:w="1496"/>
        <w:gridCol w:w="1312"/>
        <w:gridCol w:w="1312"/>
        <w:gridCol w:w="1312"/>
        <w:gridCol w:w="1312"/>
        <w:gridCol w:w="1312"/>
        <w:gridCol w:w="1290"/>
      </w:tblGrid>
      <w:tr w:rsidR="00445B29" w14:paraId="0CF43C65" w14:textId="77777777" w:rsidTr="00FA663F">
        <w:tc>
          <w:tcPr>
            <w:tcW w:w="9346" w:type="dxa"/>
            <w:gridSpan w:val="7"/>
          </w:tcPr>
          <w:p w14:paraId="28137174" w14:textId="77777777" w:rsidR="00445B29" w:rsidRDefault="00445B29" w:rsidP="00FA663F">
            <w:pPr>
              <w:spacing w:line="360" w:lineRule="auto"/>
              <w:jc w:val="center"/>
              <w:rPr>
                <w:iCs/>
              </w:rPr>
            </w:pPr>
            <w:r>
              <w:rPr>
                <w:b/>
                <w:bCs/>
              </w:rPr>
              <w:t>General Objectives</w:t>
            </w:r>
          </w:p>
        </w:tc>
      </w:tr>
      <w:tr w:rsidR="00445B29" w14:paraId="788CA43E" w14:textId="77777777" w:rsidTr="00FA663F">
        <w:tc>
          <w:tcPr>
            <w:tcW w:w="1496" w:type="dxa"/>
          </w:tcPr>
          <w:p w14:paraId="10BDAC96" w14:textId="77777777" w:rsidR="00445B29" w:rsidRPr="006F1FA0" w:rsidRDefault="00445B29" w:rsidP="00FA663F">
            <w:pPr>
              <w:spacing w:line="360" w:lineRule="auto"/>
              <w:jc w:val="both"/>
              <w:rPr>
                <w:b/>
                <w:bCs/>
                <w:iCs/>
              </w:rPr>
            </w:pPr>
            <w:r w:rsidRPr="006F1FA0">
              <w:rPr>
                <w:b/>
                <w:bCs/>
                <w:iCs/>
              </w:rPr>
              <w:t>Responder</w:t>
            </w:r>
          </w:p>
        </w:tc>
        <w:tc>
          <w:tcPr>
            <w:tcW w:w="1312" w:type="dxa"/>
          </w:tcPr>
          <w:p w14:paraId="5792AB51" w14:textId="77777777" w:rsidR="00445B29" w:rsidRPr="006F1FA0" w:rsidRDefault="00445B29" w:rsidP="00FA663F">
            <w:pPr>
              <w:spacing w:line="360" w:lineRule="auto"/>
              <w:jc w:val="both"/>
              <w:rPr>
                <w:b/>
                <w:bCs/>
                <w:iCs/>
              </w:rPr>
            </w:pPr>
            <w:r w:rsidRPr="006F1FA0">
              <w:rPr>
                <w:b/>
                <w:bCs/>
                <w:iCs/>
              </w:rPr>
              <w:t>1</w:t>
            </w:r>
          </w:p>
        </w:tc>
        <w:tc>
          <w:tcPr>
            <w:tcW w:w="1312" w:type="dxa"/>
          </w:tcPr>
          <w:p w14:paraId="30C31E70" w14:textId="77777777" w:rsidR="00445B29" w:rsidRPr="006F1FA0" w:rsidRDefault="00445B29" w:rsidP="00FA663F">
            <w:pPr>
              <w:spacing w:line="360" w:lineRule="auto"/>
              <w:jc w:val="both"/>
              <w:rPr>
                <w:b/>
                <w:bCs/>
                <w:iCs/>
              </w:rPr>
            </w:pPr>
            <w:r w:rsidRPr="006F1FA0">
              <w:rPr>
                <w:b/>
                <w:bCs/>
                <w:iCs/>
              </w:rPr>
              <w:t>2</w:t>
            </w:r>
          </w:p>
        </w:tc>
        <w:tc>
          <w:tcPr>
            <w:tcW w:w="1312" w:type="dxa"/>
          </w:tcPr>
          <w:p w14:paraId="48738AA0" w14:textId="77777777" w:rsidR="00445B29" w:rsidRPr="006F1FA0" w:rsidRDefault="00445B29" w:rsidP="00FA663F">
            <w:pPr>
              <w:spacing w:line="360" w:lineRule="auto"/>
              <w:jc w:val="both"/>
              <w:rPr>
                <w:b/>
                <w:bCs/>
                <w:iCs/>
              </w:rPr>
            </w:pPr>
            <w:r w:rsidRPr="006F1FA0">
              <w:rPr>
                <w:b/>
                <w:bCs/>
                <w:iCs/>
              </w:rPr>
              <w:t>3</w:t>
            </w:r>
          </w:p>
        </w:tc>
        <w:tc>
          <w:tcPr>
            <w:tcW w:w="1312" w:type="dxa"/>
          </w:tcPr>
          <w:p w14:paraId="1399F119" w14:textId="77777777" w:rsidR="00445B29" w:rsidRPr="006F1FA0" w:rsidRDefault="00445B29" w:rsidP="00FA663F">
            <w:pPr>
              <w:spacing w:line="360" w:lineRule="auto"/>
              <w:jc w:val="both"/>
              <w:rPr>
                <w:b/>
                <w:bCs/>
                <w:iCs/>
              </w:rPr>
            </w:pPr>
            <w:r w:rsidRPr="006F1FA0">
              <w:rPr>
                <w:b/>
                <w:bCs/>
                <w:iCs/>
              </w:rPr>
              <w:t>4</w:t>
            </w:r>
          </w:p>
        </w:tc>
        <w:tc>
          <w:tcPr>
            <w:tcW w:w="1312" w:type="dxa"/>
          </w:tcPr>
          <w:p w14:paraId="13C2FED0" w14:textId="77777777" w:rsidR="00445B29" w:rsidRPr="006F1FA0" w:rsidRDefault="00445B29" w:rsidP="00FA663F">
            <w:pPr>
              <w:spacing w:line="360" w:lineRule="auto"/>
              <w:jc w:val="both"/>
              <w:rPr>
                <w:b/>
                <w:bCs/>
                <w:iCs/>
              </w:rPr>
            </w:pPr>
            <w:r w:rsidRPr="006F1FA0">
              <w:rPr>
                <w:b/>
                <w:bCs/>
                <w:iCs/>
              </w:rPr>
              <w:t>5</w:t>
            </w:r>
          </w:p>
        </w:tc>
        <w:tc>
          <w:tcPr>
            <w:tcW w:w="1290" w:type="dxa"/>
          </w:tcPr>
          <w:p w14:paraId="3AB623EA" w14:textId="77777777" w:rsidR="00445B29" w:rsidRPr="006F1FA0" w:rsidRDefault="00445B29" w:rsidP="00FA663F">
            <w:pPr>
              <w:spacing w:line="360" w:lineRule="auto"/>
              <w:jc w:val="both"/>
              <w:rPr>
                <w:b/>
                <w:bCs/>
                <w:iCs/>
              </w:rPr>
            </w:pPr>
            <w:r>
              <w:rPr>
                <w:b/>
                <w:bCs/>
                <w:iCs/>
              </w:rPr>
              <w:t>Overall response</w:t>
            </w:r>
          </w:p>
        </w:tc>
      </w:tr>
      <w:tr w:rsidR="00445B29" w14:paraId="7445BF9B" w14:textId="77777777" w:rsidTr="00FA663F">
        <w:tc>
          <w:tcPr>
            <w:tcW w:w="1496" w:type="dxa"/>
          </w:tcPr>
          <w:p w14:paraId="4685CF5E" w14:textId="77777777" w:rsidR="00445B29" w:rsidRDefault="00445B29" w:rsidP="00FA663F">
            <w:pPr>
              <w:spacing w:line="360" w:lineRule="auto"/>
              <w:jc w:val="both"/>
              <w:rPr>
                <w:iCs/>
              </w:rPr>
            </w:pPr>
            <w:r>
              <w:rPr>
                <w:iCs/>
              </w:rPr>
              <w:t>Responder 1</w:t>
            </w:r>
          </w:p>
        </w:tc>
        <w:tc>
          <w:tcPr>
            <w:tcW w:w="1312" w:type="dxa"/>
          </w:tcPr>
          <w:p w14:paraId="167111E8" w14:textId="77777777" w:rsidR="00445B29" w:rsidRDefault="00445B29" w:rsidP="00FA663F">
            <w:pPr>
              <w:spacing w:line="360" w:lineRule="auto"/>
              <w:jc w:val="both"/>
              <w:rPr>
                <w:iCs/>
              </w:rPr>
            </w:pPr>
          </w:p>
        </w:tc>
        <w:tc>
          <w:tcPr>
            <w:tcW w:w="1312" w:type="dxa"/>
          </w:tcPr>
          <w:p w14:paraId="0AC8B312" w14:textId="77777777" w:rsidR="00445B29" w:rsidRDefault="00445B29" w:rsidP="00FA663F">
            <w:pPr>
              <w:spacing w:line="360" w:lineRule="auto"/>
              <w:jc w:val="both"/>
              <w:rPr>
                <w:iCs/>
              </w:rPr>
            </w:pPr>
          </w:p>
        </w:tc>
        <w:tc>
          <w:tcPr>
            <w:tcW w:w="1312" w:type="dxa"/>
          </w:tcPr>
          <w:p w14:paraId="508A7F72" w14:textId="77777777" w:rsidR="00445B29" w:rsidRDefault="00445B29" w:rsidP="00FA663F">
            <w:pPr>
              <w:spacing w:line="360" w:lineRule="auto"/>
              <w:jc w:val="both"/>
              <w:rPr>
                <w:iCs/>
              </w:rPr>
            </w:pPr>
          </w:p>
        </w:tc>
        <w:tc>
          <w:tcPr>
            <w:tcW w:w="1312" w:type="dxa"/>
          </w:tcPr>
          <w:p w14:paraId="6C48244F" w14:textId="77777777" w:rsidR="00445B29" w:rsidRDefault="00445B29" w:rsidP="00FA663F">
            <w:pPr>
              <w:spacing w:line="360" w:lineRule="auto"/>
              <w:jc w:val="both"/>
              <w:rPr>
                <w:iCs/>
              </w:rPr>
            </w:pPr>
          </w:p>
        </w:tc>
        <w:tc>
          <w:tcPr>
            <w:tcW w:w="1312" w:type="dxa"/>
          </w:tcPr>
          <w:p w14:paraId="26A5DA1F" w14:textId="77777777" w:rsidR="00445B29" w:rsidRDefault="00445B29" w:rsidP="00FA663F">
            <w:pPr>
              <w:spacing w:line="360" w:lineRule="auto"/>
              <w:jc w:val="both"/>
              <w:rPr>
                <w:iCs/>
              </w:rPr>
            </w:pPr>
          </w:p>
        </w:tc>
        <w:tc>
          <w:tcPr>
            <w:tcW w:w="1290" w:type="dxa"/>
          </w:tcPr>
          <w:p w14:paraId="43AD8EA2" w14:textId="77777777" w:rsidR="00445B29" w:rsidRDefault="00445B29" w:rsidP="00FA663F">
            <w:pPr>
              <w:spacing w:line="360" w:lineRule="auto"/>
              <w:jc w:val="both"/>
              <w:rPr>
                <w:iCs/>
              </w:rPr>
            </w:pPr>
            <w:r>
              <w:rPr>
                <w:iCs/>
              </w:rPr>
              <w:t>Neutral</w:t>
            </w:r>
          </w:p>
        </w:tc>
      </w:tr>
      <w:tr w:rsidR="00445B29" w14:paraId="2426A3C8" w14:textId="77777777" w:rsidTr="00FA663F">
        <w:tc>
          <w:tcPr>
            <w:tcW w:w="1496" w:type="dxa"/>
          </w:tcPr>
          <w:p w14:paraId="32D48695" w14:textId="77777777" w:rsidR="00445B29" w:rsidRDefault="00445B29" w:rsidP="00FA663F">
            <w:pPr>
              <w:spacing w:line="360" w:lineRule="auto"/>
              <w:jc w:val="both"/>
              <w:rPr>
                <w:iCs/>
              </w:rPr>
            </w:pPr>
            <w:r>
              <w:rPr>
                <w:iCs/>
              </w:rPr>
              <w:t>Responder 2</w:t>
            </w:r>
          </w:p>
        </w:tc>
        <w:tc>
          <w:tcPr>
            <w:tcW w:w="1312" w:type="dxa"/>
          </w:tcPr>
          <w:p w14:paraId="1E3BE3EA" w14:textId="77777777" w:rsidR="00445B29" w:rsidRDefault="00445B29" w:rsidP="00FA663F">
            <w:pPr>
              <w:spacing w:line="360" w:lineRule="auto"/>
              <w:jc w:val="both"/>
              <w:rPr>
                <w:iCs/>
              </w:rPr>
            </w:pPr>
          </w:p>
        </w:tc>
        <w:tc>
          <w:tcPr>
            <w:tcW w:w="1312" w:type="dxa"/>
          </w:tcPr>
          <w:p w14:paraId="7AA33D0E" w14:textId="77777777" w:rsidR="00445B29" w:rsidRDefault="00445B29" w:rsidP="00FA663F">
            <w:pPr>
              <w:spacing w:line="360" w:lineRule="auto"/>
              <w:jc w:val="both"/>
              <w:rPr>
                <w:iCs/>
              </w:rPr>
            </w:pPr>
          </w:p>
        </w:tc>
        <w:tc>
          <w:tcPr>
            <w:tcW w:w="1312" w:type="dxa"/>
          </w:tcPr>
          <w:p w14:paraId="636A3300" w14:textId="77777777" w:rsidR="00445B29" w:rsidRDefault="00445B29" w:rsidP="00FA663F">
            <w:pPr>
              <w:spacing w:line="360" w:lineRule="auto"/>
              <w:jc w:val="both"/>
              <w:rPr>
                <w:iCs/>
              </w:rPr>
            </w:pPr>
          </w:p>
        </w:tc>
        <w:tc>
          <w:tcPr>
            <w:tcW w:w="1312" w:type="dxa"/>
          </w:tcPr>
          <w:p w14:paraId="7C337D02" w14:textId="77777777" w:rsidR="00445B29" w:rsidRDefault="00445B29" w:rsidP="00FA663F">
            <w:pPr>
              <w:spacing w:line="360" w:lineRule="auto"/>
              <w:jc w:val="both"/>
              <w:rPr>
                <w:iCs/>
              </w:rPr>
            </w:pPr>
          </w:p>
        </w:tc>
        <w:tc>
          <w:tcPr>
            <w:tcW w:w="1312" w:type="dxa"/>
          </w:tcPr>
          <w:p w14:paraId="5E4FB926" w14:textId="77777777" w:rsidR="00445B29" w:rsidRDefault="00445B29" w:rsidP="00FA663F">
            <w:pPr>
              <w:spacing w:line="360" w:lineRule="auto"/>
              <w:jc w:val="both"/>
              <w:rPr>
                <w:iCs/>
              </w:rPr>
            </w:pPr>
          </w:p>
        </w:tc>
        <w:tc>
          <w:tcPr>
            <w:tcW w:w="1290" w:type="dxa"/>
          </w:tcPr>
          <w:p w14:paraId="337ED7B9" w14:textId="2C8F3EB0" w:rsidR="00445B29" w:rsidRDefault="00156CFA" w:rsidP="00FA663F">
            <w:pPr>
              <w:spacing w:line="360" w:lineRule="auto"/>
              <w:jc w:val="both"/>
              <w:rPr>
                <w:iCs/>
              </w:rPr>
            </w:pPr>
            <w:r>
              <w:rPr>
                <w:iCs/>
              </w:rPr>
              <w:t>Neutral</w:t>
            </w:r>
          </w:p>
        </w:tc>
      </w:tr>
      <w:tr w:rsidR="00445B29" w14:paraId="781E5C19" w14:textId="77777777" w:rsidTr="00FA663F">
        <w:tc>
          <w:tcPr>
            <w:tcW w:w="1496" w:type="dxa"/>
          </w:tcPr>
          <w:p w14:paraId="796605BF" w14:textId="77777777" w:rsidR="00445B29" w:rsidRDefault="00445B29" w:rsidP="00FA663F">
            <w:pPr>
              <w:spacing w:line="360" w:lineRule="auto"/>
              <w:jc w:val="both"/>
              <w:rPr>
                <w:iCs/>
              </w:rPr>
            </w:pPr>
            <w:r>
              <w:rPr>
                <w:iCs/>
              </w:rPr>
              <w:t>Responder 3</w:t>
            </w:r>
          </w:p>
        </w:tc>
        <w:tc>
          <w:tcPr>
            <w:tcW w:w="1312" w:type="dxa"/>
          </w:tcPr>
          <w:p w14:paraId="59F76546" w14:textId="77777777" w:rsidR="00445B29" w:rsidRDefault="00445B29" w:rsidP="00FA663F">
            <w:pPr>
              <w:spacing w:line="360" w:lineRule="auto"/>
              <w:jc w:val="both"/>
              <w:rPr>
                <w:iCs/>
              </w:rPr>
            </w:pPr>
          </w:p>
        </w:tc>
        <w:tc>
          <w:tcPr>
            <w:tcW w:w="1312" w:type="dxa"/>
          </w:tcPr>
          <w:p w14:paraId="02F5160F"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0F5BF8F2"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566A17EF" w14:textId="77777777" w:rsidR="00445B29" w:rsidRPr="00156CFA" w:rsidRDefault="00445B29" w:rsidP="00FA663F">
            <w:pPr>
              <w:spacing w:line="360" w:lineRule="auto"/>
              <w:jc w:val="both"/>
              <w:rPr>
                <w:iCs/>
                <w:color w:val="008576"/>
              </w:rPr>
            </w:pPr>
          </w:p>
        </w:tc>
        <w:tc>
          <w:tcPr>
            <w:tcW w:w="1312" w:type="dxa"/>
          </w:tcPr>
          <w:p w14:paraId="3F250943" w14:textId="77777777" w:rsidR="00445B29" w:rsidRPr="00156CFA" w:rsidRDefault="00445B29" w:rsidP="00FA663F">
            <w:pPr>
              <w:spacing w:line="360" w:lineRule="auto"/>
              <w:jc w:val="both"/>
              <w:rPr>
                <w:iCs/>
                <w:color w:val="008576"/>
              </w:rPr>
            </w:pPr>
          </w:p>
        </w:tc>
        <w:tc>
          <w:tcPr>
            <w:tcW w:w="1290" w:type="dxa"/>
          </w:tcPr>
          <w:p w14:paraId="0AE1163A" w14:textId="77777777" w:rsidR="00445B29" w:rsidRPr="00156CFA" w:rsidRDefault="00445B29" w:rsidP="00FA663F">
            <w:pPr>
              <w:spacing w:line="360" w:lineRule="auto"/>
              <w:jc w:val="both"/>
              <w:rPr>
                <w:iCs/>
                <w:color w:val="008576"/>
              </w:rPr>
            </w:pPr>
            <w:r w:rsidRPr="00156CFA">
              <w:rPr>
                <w:iCs/>
                <w:color w:val="008576"/>
              </w:rPr>
              <w:t>Positive</w:t>
            </w:r>
          </w:p>
        </w:tc>
      </w:tr>
      <w:tr w:rsidR="00445B29" w14:paraId="23C3ABDC" w14:textId="77777777" w:rsidTr="00FA663F">
        <w:tc>
          <w:tcPr>
            <w:tcW w:w="1496" w:type="dxa"/>
          </w:tcPr>
          <w:p w14:paraId="3FC031A7" w14:textId="77777777" w:rsidR="00445B29" w:rsidRDefault="00445B29" w:rsidP="00FA663F">
            <w:pPr>
              <w:spacing w:line="360" w:lineRule="auto"/>
              <w:jc w:val="both"/>
              <w:rPr>
                <w:iCs/>
              </w:rPr>
            </w:pPr>
            <w:r>
              <w:rPr>
                <w:iCs/>
              </w:rPr>
              <w:t>Responder 4</w:t>
            </w:r>
          </w:p>
        </w:tc>
        <w:tc>
          <w:tcPr>
            <w:tcW w:w="1312" w:type="dxa"/>
          </w:tcPr>
          <w:p w14:paraId="4B3DB633" w14:textId="77777777" w:rsidR="00445B29" w:rsidRDefault="00445B29" w:rsidP="00FA663F">
            <w:pPr>
              <w:spacing w:line="360" w:lineRule="auto"/>
              <w:jc w:val="both"/>
              <w:rPr>
                <w:iCs/>
              </w:rPr>
            </w:pPr>
          </w:p>
        </w:tc>
        <w:tc>
          <w:tcPr>
            <w:tcW w:w="1312" w:type="dxa"/>
          </w:tcPr>
          <w:p w14:paraId="198396E6" w14:textId="77777777" w:rsidR="00445B29" w:rsidRPr="00156CFA" w:rsidRDefault="00445B29" w:rsidP="00FA663F">
            <w:pPr>
              <w:spacing w:line="360" w:lineRule="auto"/>
              <w:jc w:val="both"/>
              <w:rPr>
                <w:iCs/>
                <w:color w:val="008576"/>
              </w:rPr>
            </w:pPr>
          </w:p>
        </w:tc>
        <w:tc>
          <w:tcPr>
            <w:tcW w:w="1312" w:type="dxa"/>
          </w:tcPr>
          <w:p w14:paraId="6840BD42"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16A986AA" w14:textId="77777777" w:rsidR="00445B29" w:rsidRPr="00156CFA" w:rsidRDefault="00445B29" w:rsidP="00FA663F">
            <w:pPr>
              <w:spacing w:line="360" w:lineRule="auto"/>
              <w:jc w:val="both"/>
              <w:rPr>
                <w:iCs/>
                <w:color w:val="008576"/>
              </w:rPr>
            </w:pPr>
          </w:p>
        </w:tc>
        <w:tc>
          <w:tcPr>
            <w:tcW w:w="1312" w:type="dxa"/>
          </w:tcPr>
          <w:p w14:paraId="009FDAA3" w14:textId="77777777" w:rsidR="00445B29" w:rsidRPr="00156CFA" w:rsidRDefault="00445B29" w:rsidP="00FA663F">
            <w:pPr>
              <w:spacing w:line="360" w:lineRule="auto"/>
              <w:jc w:val="both"/>
              <w:rPr>
                <w:iCs/>
                <w:color w:val="008576"/>
              </w:rPr>
            </w:pPr>
          </w:p>
        </w:tc>
        <w:tc>
          <w:tcPr>
            <w:tcW w:w="1290" w:type="dxa"/>
          </w:tcPr>
          <w:p w14:paraId="0F935F82" w14:textId="77777777" w:rsidR="00445B29" w:rsidRPr="00156CFA" w:rsidRDefault="00445B29" w:rsidP="00FA663F">
            <w:pPr>
              <w:spacing w:line="360" w:lineRule="auto"/>
              <w:jc w:val="both"/>
              <w:rPr>
                <w:iCs/>
                <w:color w:val="008576"/>
              </w:rPr>
            </w:pPr>
            <w:r w:rsidRPr="00156CFA">
              <w:rPr>
                <w:iCs/>
                <w:color w:val="008576"/>
              </w:rPr>
              <w:t>Positive</w:t>
            </w:r>
          </w:p>
        </w:tc>
      </w:tr>
      <w:tr w:rsidR="00445B29" w14:paraId="6FE92668" w14:textId="77777777" w:rsidTr="00FA663F">
        <w:tc>
          <w:tcPr>
            <w:tcW w:w="1496" w:type="dxa"/>
          </w:tcPr>
          <w:p w14:paraId="24A4EDA7" w14:textId="77777777" w:rsidR="00445B29" w:rsidRDefault="00445B29" w:rsidP="00FA663F">
            <w:pPr>
              <w:spacing w:line="360" w:lineRule="auto"/>
              <w:jc w:val="both"/>
              <w:rPr>
                <w:iCs/>
              </w:rPr>
            </w:pPr>
            <w:r>
              <w:rPr>
                <w:iCs/>
              </w:rPr>
              <w:t>Responder 5</w:t>
            </w:r>
          </w:p>
        </w:tc>
        <w:tc>
          <w:tcPr>
            <w:tcW w:w="1312" w:type="dxa"/>
          </w:tcPr>
          <w:p w14:paraId="663DEFE0" w14:textId="77777777" w:rsidR="00445B29" w:rsidRDefault="00445B29" w:rsidP="00FA663F">
            <w:pPr>
              <w:spacing w:line="360" w:lineRule="auto"/>
              <w:jc w:val="both"/>
              <w:rPr>
                <w:iCs/>
              </w:rPr>
            </w:pPr>
          </w:p>
        </w:tc>
        <w:tc>
          <w:tcPr>
            <w:tcW w:w="1312" w:type="dxa"/>
          </w:tcPr>
          <w:p w14:paraId="71286284"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355846F5"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16A6F927" w14:textId="77777777" w:rsidR="00445B29" w:rsidRPr="00156CFA" w:rsidRDefault="00445B29" w:rsidP="00FA663F">
            <w:pPr>
              <w:spacing w:line="360" w:lineRule="auto"/>
              <w:jc w:val="both"/>
              <w:rPr>
                <w:iCs/>
                <w:color w:val="008576"/>
              </w:rPr>
            </w:pPr>
          </w:p>
        </w:tc>
        <w:tc>
          <w:tcPr>
            <w:tcW w:w="1312" w:type="dxa"/>
          </w:tcPr>
          <w:p w14:paraId="1EB0FFF9" w14:textId="77777777" w:rsidR="00445B29" w:rsidRPr="00156CFA" w:rsidRDefault="00445B29" w:rsidP="00FA663F">
            <w:pPr>
              <w:spacing w:line="360" w:lineRule="auto"/>
              <w:jc w:val="both"/>
              <w:rPr>
                <w:iCs/>
                <w:color w:val="008576"/>
              </w:rPr>
            </w:pPr>
          </w:p>
        </w:tc>
        <w:tc>
          <w:tcPr>
            <w:tcW w:w="1290" w:type="dxa"/>
          </w:tcPr>
          <w:p w14:paraId="0758ACC8" w14:textId="77777777" w:rsidR="00445B29" w:rsidRPr="00156CFA" w:rsidRDefault="00445B29" w:rsidP="00FA663F">
            <w:pPr>
              <w:spacing w:line="360" w:lineRule="auto"/>
              <w:jc w:val="both"/>
              <w:rPr>
                <w:iCs/>
                <w:color w:val="008576"/>
              </w:rPr>
            </w:pPr>
            <w:r w:rsidRPr="00156CFA">
              <w:rPr>
                <w:iCs/>
                <w:color w:val="008576"/>
              </w:rPr>
              <w:t>Positive</w:t>
            </w:r>
          </w:p>
        </w:tc>
      </w:tr>
      <w:tr w:rsidR="00445B29" w14:paraId="6617CCC2" w14:textId="77777777" w:rsidTr="00FA663F">
        <w:tc>
          <w:tcPr>
            <w:tcW w:w="1496" w:type="dxa"/>
          </w:tcPr>
          <w:p w14:paraId="5E7354FF" w14:textId="77777777" w:rsidR="00445B29" w:rsidRDefault="00445B29" w:rsidP="00FA663F">
            <w:pPr>
              <w:spacing w:line="360" w:lineRule="auto"/>
              <w:jc w:val="both"/>
              <w:rPr>
                <w:iCs/>
              </w:rPr>
            </w:pPr>
            <w:r>
              <w:rPr>
                <w:iCs/>
              </w:rPr>
              <w:t>Responder 6</w:t>
            </w:r>
          </w:p>
        </w:tc>
        <w:tc>
          <w:tcPr>
            <w:tcW w:w="1312" w:type="dxa"/>
          </w:tcPr>
          <w:p w14:paraId="0990A62A" w14:textId="77777777" w:rsidR="00445B29" w:rsidRDefault="00445B29" w:rsidP="00FA663F">
            <w:pPr>
              <w:spacing w:line="360" w:lineRule="auto"/>
              <w:jc w:val="both"/>
              <w:rPr>
                <w:iCs/>
              </w:rPr>
            </w:pPr>
          </w:p>
        </w:tc>
        <w:tc>
          <w:tcPr>
            <w:tcW w:w="1312" w:type="dxa"/>
          </w:tcPr>
          <w:p w14:paraId="0D433F7A"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67E6D0DB"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1CE761D7" w14:textId="77777777" w:rsidR="00445B29" w:rsidRPr="00156CFA" w:rsidRDefault="00445B29" w:rsidP="00FA663F">
            <w:pPr>
              <w:spacing w:line="360" w:lineRule="auto"/>
              <w:jc w:val="both"/>
              <w:rPr>
                <w:iCs/>
                <w:color w:val="008576"/>
              </w:rPr>
            </w:pPr>
          </w:p>
        </w:tc>
        <w:tc>
          <w:tcPr>
            <w:tcW w:w="1312" w:type="dxa"/>
          </w:tcPr>
          <w:p w14:paraId="73A12761" w14:textId="77777777" w:rsidR="00445B29" w:rsidRPr="00156CFA" w:rsidRDefault="00445B29" w:rsidP="00FA663F">
            <w:pPr>
              <w:spacing w:line="360" w:lineRule="auto"/>
              <w:jc w:val="both"/>
              <w:rPr>
                <w:iCs/>
                <w:color w:val="008576"/>
              </w:rPr>
            </w:pPr>
          </w:p>
        </w:tc>
        <w:tc>
          <w:tcPr>
            <w:tcW w:w="1290" w:type="dxa"/>
          </w:tcPr>
          <w:p w14:paraId="0870AFE0" w14:textId="77777777" w:rsidR="00445B29" w:rsidRPr="00156CFA" w:rsidRDefault="00445B29" w:rsidP="00FA663F">
            <w:pPr>
              <w:spacing w:line="360" w:lineRule="auto"/>
              <w:jc w:val="both"/>
              <w:rPr>
                <w:iCs/>
                <w:color w:val="008576"/>
              </w:rPr>
            </w:pPr>
            <w:r w:rsidRPr="00156CFA">
              <w:rPr>
                <w:iCs/>
                <w:color w:val="008576"/>
              </w:rPr>
              <w:t>Positive</w:t>
            </w:r>
          </w:p>
        </w:tc>
      </w:tr>
      <w:tr w:rsidR="00445B29" w14:paraId="1C3E9A73" w14:textId="77777777" w:rsidTr="00FA663F">
        <w:tc>
          <w:tcPr>
            <w:tcW w:w="1496" w:type="dxa"/>
          </w:tcPr>
          <w:p w14:paraId="3A172B02" w14:textId="77777777" w:rsidR="00445B29" w:rsidRDefault="00445B29" w:rsidP="00FA663F">
            <w:pPr>
              <w:spacing w:line="360" w:lineRule="auto"/>
              <w:jc w:val="both"/>
              <w:rPr>
                <w:iCs/>
              </w:rPr>
            </w:pPr>
            <w:r>
              <w:rPr>
                <w:iCs/>
              </w:rPr>
              <w:t>Responder 7</w:t>
            </w:r>
          </w:p>
        </w:tc>
        <w:tc>
          <w:tcPr>
            <w:tcW w:w="1312" w:type="dxa"/>
          </w:tcPr>
          <w:p w14:paraId="25D9C139" w14:textId="77777777" w:rsidR="00445B29" w:rsidRDefault="00445B29" w:rsidP="00FA663F">
            <w:pPr>
              <w:spacing w:line="360" w:lineRule="auto"/>
              <w:jc w:val="both"/>
              <w:rPr>
                <w:iCs/>
              </w:rPr>
            </w:pPr>
          </w:p>
        </w:tc>
        <w:tc>
          <w:tcPr>
            <w:tcW w:w="1312" w:type="dxa"/>
          </w:tcPr>
          <w:p w14:paraId="2DD664DA"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14E7BB11" w14:textId="77777777" w:rsidR="00445B29" w:rsidRPr="00156CFA" w:rsidRDefault="00445B29" w:rsidP="00FA663F">
            <w:pPr>
              <w:spacing w:line="360" w:lineRule="auto"/>
              <w:jc w:val="both"/>
              <w:rPr>
                <w:iCs/>
                <w:color w:val="008576"/>
              </w:rPr>
            </w:pPr>
            <w:r w:rsidRPr="00156CFA">
              <w:rPr>
                <w:iCs/>
                <w:color w:val="008576"/>
              </w:rPr>
              <w:t>Positive</w:t>
            </w:r>
          </w:p>
        </w:tc>
        <w:tc>
          <w:tcPr>
            <w:tcW w:w="1312" w:type="dxa"/>
          </w:tcPr>
          <w:p w14:paraId="190033AD" w14:textId="77777777" w:rsidR="00445B29" w:rsidRPr="00156CFA" w:rsidRDefault="00445B29" w:rsidP="00FA663F">
            <w:pPr>
              <w:spacing w:line="360" w:lineRule="auto"/>
              <w:jc w:val="both"/>
              <w:rPr>
                <w:iCs/>
                <w:color w:val="008576"/>
              </w:rPr>
            </w:pPr>
          </w:p>
        </w:tc>
        <w:tc>
          <w:tcPr>
            <w:tcW w:w="1312" w:type="dxa"/>
          </w:tcPr>
          <w:p w14:paraId="37CB25AD" w14:textId="77777777" w:rsidR="00445B29" w:rsidRPr="00156CFA" w:rsidRDefault="00445B29" w:rsidP="00FA663F">
            <w:pPr>
              <w:spacing w:line="360" w:lineRule="auto"/>
              <w:jc w:val="both"/>
              <w:rPr>
                <w:iCs/>
                <w:color w:val="008576"/>
              </w:rPr>
            </w:pPr>
          </w:p>
        </w:tc>
        <w:tc>
          <w:tcPr>
            <w:tcW w:w="1290" w:type="dxa"/>
          </w:tcPr>
          <w:p w14:paraId="07712FAC" w14:textId="77777777" w:rsidR="00445B29" w:rsidRPr="00156CFA" w:rsidRDefault="00445B29" w:rsidP="00FA663F">
            <w:pPr>
              <w:spacing w:line="360" w:lineRule="auto"/>
              <w:jc w:val="both"/>
              <w:rPr>
                <w:iCs/>
                <w:color w:val="008576"/>
              </w:rPr>
            </w:pPr>
            <w:r w:rsidRPr="00156CFA">
              <w:rPr>
                <w:iCs/>
                <w:color w:val="008576"/>
              </w:rPr>
              <w:t>Positive</w:t>
            </w:r>
          </w:p>
        </w:tc>
      </w:tr>
    </w:tbl>
    <w:p w14:paraId="0455D259" w14:textId="12B7319E" w:rsidR="003D1B28" w:rsidRDefault="00D564B6" w:rsidP="003D1B28">
      <w:pPr>
        <w:pStyle w:val="ListParagraph"/>
        <w:keepNext/>
        <w:numPr>
          <w:ilvl w:val="1"/>
          <w:numId w:val="22"/>
        </w:numPr>
        <w:tabs>
          <w:tab w:val="left" w:pos="851"/>
        </w:tabs>
        <w:spacing w:line="360" w:lineRule="auto"/>
        <w:jc w:val="both"/>
        <w:outlineLvl w:val="1"/>
        <w:rPr>
          <w:rFonts w:cs="Arial"/>
          <w:iCs/>
          <w:szCs w:val="20"/>
        </w:rPr>
      </w:pPr>
      <w:r w:rsidRPr="006B2512">
        <w:rPr>
          <w:rFonts w:cs="Arial"/>
          <w:iCs/>
          <w:szCs w:val="20"/>
        </w:rPr>
        <w:lastRenderedPageBreak/>
        <w:t xml:space="preserve">For the charging objectives </w:t>
      </w:r>
      <w:r>
        <w:rPr>
          <w:rFonts w:cs="Arial"/>
          <w:iCs/>
          <w:szCs w:val="20"/>
        </w:rPr>
        <w:t>Six</w:t>
      </w:r>
      <w:r w:rsidRPr="006B2512">
        <w:rPr>
          <w:rFonts w:cs="Arial"/>
          <w:iCs/>
          <w:szCs w:val="20"/>
        </w:rPr>
        <w:t xml:space="preserve"> respondents believed the change better facilitates objective 4 and</w:t>
      </w:r>
      <w:r w:rsidR="003D1B28">
        <w:rPr>
          <w:rFonts w:cs="Arial"/>
          <w:iCs/>
          <w:szCs w:val="20"/>
        </w:rPr>
        <w:t xml:space="preserve"> </w:t>
      </w:r>
      <w:r>
        <w:rPr>
          <w:rFonts w:cs="Arial"/>
          <w:iCs/>
          <w:szCs w:val="20"/>
        </w:rPr>
        <w:t>Five</w:t>
      </w:r>
      <w:r w:rsidRPr="006B2512">
        <w:rPr>
          <w:rFonts w:cs="Arial"/>
          <w:iCs/>
          <w:szCs w:val="20"/>
        </w:rPr>
        <w:t xml:space="preserve"> respondents believed objectives 1 and 2 were better facilitated</w:t>
      </w:r>
      <w:r w:rsidR="00156CFA">
        <w:rPr>
          <w:rFonts w:cs="Arial"/>
          <w:iCs/>
          <w:szCs w:val="20"/>
        </w:rPr>
        <w:t>.</w:t>
      </w:r>
    </w:p>
    <w:p w14:paraId="47CB6C74" w14:textId="77777777" w:rsidR="003D1B28" w:rsidRPr="003D1B28" w:rsidRDefault="003D1B28" w:rsidP="003D1B28">
      <w:pPr>
        <w:keepNext/>
        <w:tabs>
          <w:tab w:val="left" w:pos="851"/>
        </w:tabs>
        <w:spacing w:line="360" w:lineRule="auto"/>
        <w:ind w:left="142"/>
        <w:jc w:val="both"/>
        <w:outlineLvl w:val="1"/>
        <w:rPr>
          <w:rFonts w:cs="Arial"/>
          <w:iCs/>
          <w:szCs w:val="20"/>
        </w:rPr>
      </w:pPr>
    </w:p>
    <w:tbl>
      <w:tblPr>
        <w:tblStyle w:val="TableGrid"/>
        <w:tblW w:w="0" w:type="auto"/>
        <w:tblLook w:val="04A0" w:firstRow="1" w:lastRow="0" w:firstColumn="1" w:lastColumn="0" w:noHBand="0" w:noVBand="1"/>
      </w:tblPr>
      <w:tblGrid>
        <w:gridCol w:w="1444"/>
        <w:gridCol w:w="1090"/>
        <w:gridCol w:w="1243"/>
        <w:gridCol w:w="1090"/>
        <w:gridCol w:w="1090"/>
        <w:gridCol w:w="1090"/>
        <w:gridCol w:w="1050"/>
        <w:gridCol w:w="1249"/>
      </w:tblGrid>
      <w:tr w:rsidR="003D1B28" w14:paraId="4F0B9ACB" w14:textId="77777777" w:rsidTr="00FA663F">
        <w:tc>
          <w:tcPr>
            <w:tcW w:w="1444" w:type="dxa"/>
          </w:tcPr>
          <w:p w14:paraId="71635229" w14:textId="77777777" w:rsidR="003D1B28" w:rsidRDefault="003D1B28" w:rsidP="00FA663F">
            <w:pPr>
              <w:spacing w:line="360" w:lineRule="auto"/>
              <w:jc w:val="center"/>
              <w:rPr>
                <w:b/>
                <w:bCs/>
              </w:rPr>
            </w:pPr>
          </w:p>
        </w:tc>
        <w:tc>
          <w:tcPr>
            <w:tcW w:w="7902" w:type="dxa"/>
            <w:gridSpan w:val="7"/>
          </w:tcPr>
          <w:p w14:paraId="0A53E1D7" w14:textId="77777777" w:rsidR="003D1B28" w:rsidRDefault="003D1B28" w:rsidP="00FA663F">
            <w:pPr>
              <w:spacing w:line="360" w:lineRule="auto"/>
              <w:jc w:val="center"/>
              <w:rPr>
                <w:iCs/>
              </w:rPr>
            </w:pPr>
            <w:r>
              <w:rPr>
                <w:b/>
                <w:bCs/>
              </w:rPr>
              <w:t>Charging Objectives</w:t>
            </w:r>
          </w:p>
        </w:tc>
      </w:tr>
      <w:tr w:rsidR="003D1B28" w:rsidRPr="006F1FA0" w14:paraId="3CF33040" w14:textId="77777777" w:rsidTr="00FA663F">
        <w:tc>
          <w:tcPr>
            <w:tcW w:w="1444" w:type="dxa"/>
          </w:tcPr>
          <w:p w14:paraId="0B3E459A" w14:textId="77777777" w:rsidR="003D1B28" w:rsidRPr="006F1FA0" w:rsidRDefault="003D1B28" w:rsidP="00FA663F">
            <w:pPr>
              <w:spacing w:line="360" w:lineRule="auto"/>
              <w:jc w:val="both"/>
              <w:rPr>
                <w:b/>
                <w:bCs/>
                <w:iCs/>
              </w:rPr>
            </w:pPr>
            <w:r w:rsidRPr="006F1FA0">
              <w:rPr>
                <w:b/>
                <w:bCs/>
                <w:iCs/>
              </w:rPr>
              <w:t>Responder</w:t>
            </w:r>
          </w:p>
        </w:tc>
        <w:tc>
          <w:tcPr>
            <w:tcW w:w="1090" w:type="dxa"/>
          </w:tcPr>
          <w:p w14:paraId="6F00CEFA" w14:textId="77777777" w:rsidR="003D1B28" w:rsidRPr="006F1FA0" w:rsidRDefault="003D1B28" w:rsidP="00FA663F">
            <w:pPr>
              <w:spacing w:line="360" w:lineRule="auto"/>
              <w:jc w:val="both"/>
              <w:rPr>
                <w:b/>
                <w:bCs/>
                <w:iCs/>
              </w:rPr>
            </w:pPr>
            <w:r w:rsidRPr="006F1FA0">
              <w:rPr>
                <w:b/>
                <w:bCs/>
                <w:iCs/>
              </w:rPr>
              <w:t>1</w:t>
            </w:r>
          </w:p>
        </w:tc>
        <w:tc>
          <w:tcPr>
            <w:tcW w:w="1243" w:type="dxa"/>
          </w:tcPr>
          <w:p w14:paraId="0D114934" w14:textId="77777777" w:rsidR="003D1B28" w:rsidRPr="006F1FA0" w:rsidRDefault="003D1B28" w:rsidP="00FA663F">
            <w:pPr>
              <w:spacing w:line="360" w:lineRule="auto"/>
              <w:jc w:val="both"/>
              <w:rPr>
                <w:b/>
                <w:bCs/>
                <w:iCs/>
              </w:rPr>
            </w:pPr>
            <w:r w:rsidRPr="006F1FA0">
              <w:rPr>
                <w:b/>
                <w:bCs/>
                <w:iCs/>
              </w:rPr>
              <w:t>2</w:t>
            </w:r>
          </w:p>
        </w:tc>
        <w:tc>
          <w:tcPr>
            <w:tcW w:w="1090" w:type="dxa"/>
          </w:tcPr>
          <w:p w14:paraId="6B321772" w14:textId="77777777" w:rsidR="003D1B28" w:rsidRPr="006F1FA0" w:rsidRDefault="003D1B28" w:rsidP="00FA663F">
            <w:pPr>
              <w:spacing w:line="360" w:lineRule="auto"/>
              <w:jc w:val="both"/>
              <w:rPr>
                <w:b/>
                <w:bCs/>
                <w:iCs/>
              </w:rPr>
            </w:pPr>
            <w:r w:rsidRPr="006F1FA0">
              <w:rPr>
                <w:b/>
                <w:bCs/>
                <w:iCs/>
              </w:rPr>
              <w:t>3</w:t>
            </w:r>
          </w:p>
        </w:tc>
        <w:tc>
          <w:tcPr>
            <w:tcW w:w="1090" w:type="dxa"/>
          </w:tcPr>
          <w:p w14:paraId="7BBA5C28" w14:textId="77777777" w:rsidR="003D1B28" w:rsidRPr="006F1FA0" w:rsidRDefault="003D1B28" w:rsidP="00FA663F">
            <w:pPr>
              <w:spacing w:line="360" w:lineRule="auto"/>
              <w:jc w:val="both"/>
              <w:rPr>
                <w:b/>
                <w:bCs/>
                <w:iCs/>
              </w:rPr>
            </w:pPr>
            <w:r w:rsidRPr="006F1FA0">
              <w:rPr>
                <w:b/>
                <w:bCs/>
                <w:iCs/>
              </w:rPr>
              <w:t>4</w:t>
            </w:r>
          </w:p>
        </w:tc>
        <w:tc>
          <w:tcPr>
            <w:tcW w:w="1090" w:type="dxa"/>
          </w:tcPr>
          <w:p w14:paraId="376E7287" w14:textId="77777777" w:rsidR="003D1B28" w:rsidRPr="006F1FA0" w:rsidRDefault="003D1B28" w:rsidP="00FA663F">
            <w:pPr>
              <w:spacing w:line="360" w:lineRule="auto"/>
              <w:jc w:val="both"/>
              <w:rPr>
                <w:b/>
                <w:bCs/>
                <w:iCs/>
              </w:rPr>
            </w:pPr>
            <w:r w:rsidRPr="006F1FA0">
              <w:rPr>
                <w:b/>
                <w:bCs/>
                <w:iCs/>
              </w:rPr>
              <w:t>5</w:t>
            </w:r>
          </w:p>
        </w:tc>
        <w:tc>
          <w:tcPr>
            <w:tcW w:w="1050" w:type="dxa"/>
          </w:tcPr>
          <w:p w14:paraId="232C7299" w14:textId="77777777" w:rsidR="003D1B28" w:rsidRDefault="003D1B28" w:rsidP="00FA663F">
            <w:pPr>
              <w:spacing w:line="360" w:lineRule="auto"/>
              <w:jc w:val="both"/>
              <w:rPr>
                <w:b/>
                <w:bCs/>
                <w:iCs/>
              </w:rPr>
            </w:pPr>
            <w:r>
              <w:rPr>
                <w:b/>
                <w:bCs/>
                <w:iCs/>
              </w:rPr>
              <w:t>6</w:t>
            </w:r>
          </w:p>
        </w:tc>
        <w:tc>
          <w:tcPr>
            <w:tcW w:w="1249" w:type="dxa"/>
          </w:tcPr>
          <w:p w14:paraId="7B350AFB" w14:textId="77777777" w:rsidR="003D1B28" w:rsidRPr="006F1FA0" w:rsidRDefault="003D1B28" w:rsidP="00FA663F">
            <w:pPr>
              <w:spacing w:line="360" w:lineRule="auto"/>
              <w:jc w:val="both"/>
              <w:rPr>
                <w:b/>
                <w:bCs/>
                <w:iCs/>
              </w:rPr>
            </w:pPr>
            <w:r>
              <w:rPr>
                <w:b/>
                <w:bCs/>
                <w:iCs/>
              </w:rPr>
              <w:t>Overall response</w:t>
            </w:r>
          </w:p>
        </w:tc>
      </w:tr>
      <w:tr w:rsidR="003D1B28" w14:paraId="48F48118" w14:textId="77777777" w:rsidTr="00FA663F">
        <w:tc>
          <w:tcPr>
            <w:tcW w:w="1444" w:type="dxa"/>
          </w:tcPr>
          <w:p w14:paraId="588EE4D6" w14:textId="77777777" w:rsidR="003D1B28" w:rsidRDefault="003D1B28" w:rsidP="00FA663F">
            <w:pPr>
              <w:spacing w:line="360" w:lineRule="auto"/>
              <w:jc w:val="both"/>
              <w:rPr>
                <w:iCs/>
              </w:rPr>
            </w:pPr>
            <w:r>
              <w:rPr>
                <w:iCs/>
              </w:rPr>
              <w:t>Responder 1</w:t>
            </w:r>
          </w:p>
        </w:tc>
        <w:tc>
          <w:tcPr>
            <w:tcW w:w="1090" w:type="dxa"/>
          </w:tcPr>
          <w:p w14:paraId="7CEDBA8F" w14:textId="77777777" w:rsidR="003D1B28" w:rsidRPr="003D1B28" w:rsidRDefault="003D1B28" w:rsidP="00FA663F">
            <w:pPr>
              <w:spacing w:line="360" w:lineRule="auto"/>
              <w:jc w:val="both"/>
              <w:rPr>
                <w:iCs/>
                <w:color w:val="008576"/>
              </w:rPr>
            </w:pPr>
          </w:p>
        </w:tc>
        <w:tc>
          <w:tcPr>
            <w:tcW w:w="1243" w:type="dxa"/>
          </w:tcPr>
          <w:p w14:paraId="471AF177"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6FAE4343" w14:textId="77777777" w:rsidR="003D1B28" w:rsidRPr="003D1B28" w:rsidRDefault="003D1B28" w:rsidP="00FA663F">
            <w:pPr>
              <w:spacing w:line="360" w:lineRule="auto"/>
              <w:jc w:val="both"/>
              <w:rPr>
                <w:iCs/>
                <w:color w:val="008576"/>
              </w:rPr>
            </w:pPr>
          </w:p>
        </w:tc>
        <w:tc>
          <w:tcPr>
            <w:tcW w:w="1090" w:type="dxa"/>
          </w:tcPr>
          <w:p w14:paraId="0B5743CD"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2DD0B6A9" w14:textId="77777777" w:rsidR="003D1B28" w:rsidRPr="003D1B28" w:rsidRDefault="003D1B28" w:rsidP="00FA663F">
            <w:pPr>
              <w:spacing w:line="360" w:lineRule="auto"/>
              <w:jc w:val="both"/>
              <w:rPr>
                <w:iCs/>
                <w:color w:val="008576"/>
              </w:rPr>
            </w:pPr>
          </w:p>
        </w:tc>
        <w:tc>
          <w:tcPr>
            <w:tcW w:w="1050" w:type="dxa"/>
          </w:tcPr>
          <w:p w14:paraId="3AFC4B29" w14:textId="77777777" w:rsidR="003D1B28" w:rsidRPr="003D1B28" w:rsidRDefault="003D1B28" w:rsidP="00FA663F">
            <w:pPr>
              <w:spacing w:line="360" w:lineRule="auto"/>
              <w:jc w:val="both"/>
              <w:rPr>
                <w:iCs/>
                <w:color w:val="008576"/>
              </w:rPr>
            </w:pPr>
          </w:p>
        </w:tc>
        <w:tc>
          <w:tcPr>
            <w:tcW w:w="1249" w:type="dxa"/>
          </w:tcPr>
          <w:p w14:paraId="7BDC2E98" w14:textId="77777777" w:rsidR="003D1B28" w:rsidRPr="003D1B28" w:rsidRDefault="003D1B28" w:rsidP="00FA663F">
            <w:pPr>
              <w:spacing w:line="360" w:lineRule="auto"/>
              <w:jc w:val="both"/>
              <w:rPr>
                <w:iCs/>
                <w:color w:val="008576"/>
              </w:rPr>
            </w:pPr>
            <w:r w:rsidRPr="003D1B28">
              <w:rPr>
                <w:iCs/>
                <w:color w:val="008576"/>
              </w:rPr>
              <w:t>Positive</w:t>
            </w:r>
          </w:p>
        </w:tc>
      </w:tr>
      <w:tr w:rsidR="003D1B28" w14:paraId="323AA97D" w14:textId="77777777" w:rsidTr="00FA663F">
        <w:tc>
          <w:tcPr>
            <w:tcW w:w="1444" w:type="dxa"/>
          </w:tcPr>
          <w:p w14:paraId="67094391" w14:textId="77777777" w:rsidR="003D1B28" w:rsidRDefault="003D1B28" w:rsidP="00FA663F">
            <w:pPr>
              <w:spacing w:line="360" w:lineRule="auto"/>
              <w:jc w:val="both"/>
              <w:rPr>
                <w:iCs/>
              </w:rPr>
            </w:pPr>
            <w:r>
              <w:rPr>
                <w:iCs/>
              </w:rPr>
              <w:t>Responder 2</w:t>
            </w:r>
          </w:p>
        </w:tc>
        <w:tc>
          <w:tcPr>
            <w:tcW w:w="1090" w:type="dxa"/>
          </w:tcPr>
          <w:p w14:paraId="69720750" w14:textId="77777777" w:rsidR="003D1B28" w:rsidRDefault="003D1B28" w:rsidP="00FA663F">
            <w:pPr>
              <w:spacing w:line="360" w:lineRule="auto"/>
              <w:jc w:val="both"/>
              <w:rPr>
                <w:iCs/>
              </w:rPr>
            </w:pPr>
          </w:p>
        </w:tc>
        <w:tc>
          <w:tcPr>
            <w:tcW w:w="1243" w:type="dxa"/>
          </w:tcPr>
          <w:p w14:paraId="568F68A5" w14:textId="77777777" w:rsidR="003D1B28" w:rsidRDefault="003D1B28" w:rsidP="00FA663F">
            <w:pPr>
              <w:spacing w:line="360" w:lineRule="auto"/>
              <w:jc w:val="both"/>
              <w:rPr>
                <w:iCs/>
              </w:rPr>
            </w:pPr>
          </w:p>
        </w:tc>
        <w:tc>
          <w:tcPr>
            <w:tcW w:w="1090" w:type="dxa"/>
          </w:tcPr>
          <w:p w14:paraId="56AE60F3" w14:textId="77777777" w:rsidR="003D1B28" w:rsidRDefault="003D1B28" w:rsidP="00FA663F">
            <w:pPr>
              <w:spacing w:line="360" w:lineRule="auto"/>
              <w:jc w:val="both"/>
              <w:rPr>
                <w:iCs/>
              </w:rPr>
            </w:pPr>
          </w:p>
        </w:tc>
        <w:tc>
          <w:tcPr>
            <w:tcW w:w="1090" w:type="dxa"/>
          </w:tcPr>
          <w:p w14:paraId="7ACA3067" w14:textId="77777777" w:rsidR="003D1B28" w:rsidRDefault="003D1B28" w:rsidP="00FA663F">
            <w:pPr>
              <w:spacing w:line="360" w:lineRule="auto"/>
              <w:jc w:val="both"/>
              <w:rPr>
                <w:iCs/>
              </w:rPr>
            </w:pPr>
          </w:p>
        </w:tc>
        <w:tc>
          <w:tcPr>
            <w:tcW w:w="1090" w:type="dxa"/>
          </w:tcPr>
          <w:p w14:paraId="39AFCF5D" w14:textId="77777777" w:rsidR="003D1B28" w:rsidRDefault="003D1B28" w:rsidP="00FA663F">
            <w:pPr>
              <w:spacing w:line="360" w:lineRule="auto"/>
              <w:jc w:val="both"/>
              <w:rPr>
                <w:iCs/>
              </w:rPr>
            </w:pPr>
          </w:p>
        </w:tc>
        <w:tc>
          <w:tcPr>
            <w:tcW w:w="1050" w:type="dxa"/>
          </w:tcPr>
          <w:p w14:paraId="28B2E4A6" w14:textId="77777777" w:rsidR="003D1B28" w:rsidRDefault="003D1B28" w:rsidP="00FA663F">
            <w:pPr>
              <w:spacing w:line="360" w:lineRule="auto"/>
              <w:jc w:val="both"/>
              <w:rPr>
                <w:iCs/>
              </w:rPr>
            </w:pPr>
          </w:p>
        </w:tc>
        <w:tc>
          <w:tcPr>
            <w:tcW w:w="1249" w:type="dxa"/>
          </w:tcPr>
          <w:p w14:paraId="71FA812E" w14:textId="77777777" w:rsidR="003D1B28" w:rsidRDefault="003D1B28" w:rsidP="00FA663F">
            <w:pPr>
              <w:spacing w:line="360" w:lineRule="auto"/>
              <w:jc w:val="both"/>
              <w:rPr>
                <w:iCs/>
              </w:rPr>
            </w:pPr>
            <w:r>
              <w:rPr>
                <w:iCs/>
              </w:rPr>
              <w:t>No response</w:t>
            </w:r>
          </w:p>
        </w:tc>
      </w:tr>
      <w:tr w:rsidR="003D1B28" w14:paraId="33F57110" w14:textId="77777777" w:rsidTr="00FA663F">
        <w:tc>
          <w:tcPr>
            <w:tcW w:w="1444" w:type="dxa"/>
          </w:tcPr>
          <w:p w14:paraId="0F84E9EB" w14:textId="77777777" w:rsidR="003D1B28" w:rsidRDefault="003D1B28" w:rsidP="00FA663F">
            <w:pPr>
              <w:spacing w:line="360" w:lineRule="auto"/>
              <w:jc w:val="both"/>
              <w:rPr>
                <w:iCs/>
              </w:rPr>
            </w:pPr>
            <w:r>
              <w:rPr>
                <w:iCs/>
              </w:rPr>
              <w:t>Responder 3</w:t>
            </w:r>
          </w:p>
        </w:tc>
        <w:tc>
          <w:tcPr>
            <w:tcW w:w="1090" w:type="dxa"/>
          </w:tcPr>
          <w:p w14:paraId="790E971D" w14:textId="77777777" w:rsidR="003D1B28" w:rsidRPr="003D1B28" w:rsidRDefault="003D1B28" w:rsidP="00FA663F">
            <w:pPr>
              <w:spacing w:line="360" w:lineRule="auto"/>
              <w:jc w:val="both"/>
              <w:rPr>
                <w:iCs/>
                <w:color w:val="008576"/>
              </w:rPr>
            </w:pPr>
            <w:r w:rsidRPr="003D1B28">
              <w:rPr>
                <w:iCs/>
                <w:color w:val="008576"/>
              </w:rPr>
              <w:t>Positive</w:t>
            </w:r>
          </w:p>
        </w:tc>
        <w:tc>
          <w:tcPr>
            <w:tcW w:w="1243" w:type="dxa"/>
          </w:tcPr>
          <w:p w14:paraId="3FC81CF6"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7B0BD2B8" w14:textId="77777777" w:rsidR="003D1B28" w:rsidRPr="003D1B28" w:rsidRDefault="003D1B28" w:rsidP="00FA663F">
            <w:pPr>
              <w:spacing w:line="360" w:lineRule="auto"/>
              <w:jc w:val="both"/>
              <w:rPr>
                <w:iCs/>
                <w:color w:val="008576"/>
              </w:rPr>
            </w:pPr>
          </w:p>
        </w:tc>
        <w:tc>
          <w:tcPr>
            <w:tcW w:w="1090" w:type="dxa"/>
          </w:tcPr>
          <w:p w14:paraId="0F9FD661"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01F012B2" w14:textId="77777777" w:rsidR="003D1B28" w:rsidRPr="003D1B28" w:rsidRDefault="003D1B28" w:rsidP="00FA663F">
            <w:pPr>
              <w:spacing w:line="360" w:lineRule="auto"/>
              <w:jc w:val="both"/>
              <w:rPr>
                <w:iCs/>
                <w:color w:val="008576"/>
              </w:rPr>
            </w:pPr>
          </w:p>
        </w:tc>
        <w:tc>
          <w:tcPr>
            <w:tcW w:w="1050" w:type="dxa"/>
          </w:tcPr>
          <w:p w14:paraId="7209E6C4" w14:textId="77777777" w:rsidR="003D1B28" w:rsidRPr="003D1B28" w:rsidRDefault="003D1B28" w:rsidP="00FA663F">
            <w:pPr>
              <w:spacing w:line="360" w:lineRule="auto"/>
              <w:jc w:val="both"/>
              <w:rPr>
                <w:iCs/>
                <w:color w:val="008576"/>
              </w:rPr>
            </w:pPr>
          </w:p>
        </w:tc>
        <w:tc>
          <w:tcPr>
            <w:tcW w:w="1249" w:type="dxa"/>
          </w:tcPr>
          <w:p w14:paraId="00E6DE93" w14:textId="77777777" w:rsidR="003D1B28" w:rsidRPr="003D1B28" w:rsidRDefault="003D1B28" w:rsidP="00FA663F">
            <w:pPr>
              <w:spacing w:line="360" w:lineRule="auto"/>
              <w:jc w:val="both"/>
              <w:rPr>
                <w:iCs/>
                <w:color w:val="008576"/>
              </w:rPr>
            </w:pPr>
            <w:r w:rsidRPr="003D1B28">
              <w:rPr>
                <w:iCs/>
                <w:color w:val="008576"/>
              </w:rPr>
              <w:t>Positive</w:t>
            </w:r>
          </w:p>
        </w:tc>
      </w:tr>
      <w:tr w:rsidR="003D1B28" w14:paraId="5DA69748" w14:textId="77777777" w:rsidTr="00FA663F">
        <w:tc>
          <w:tcPr>
            <w:tcW w:w="1444" w:type="dxa"/>
          </w:tcPr>
          <w:p w14:paraId="69FF4D7A" w14:textId="77777777" w:rsidR="003D1B28" w:rsidRDefault="003D1B28" w:rsidP="00FA663F">
            <w:pPr>
              <w:spacing w:line="360" w:lineRule="auto"/>
              <w:jc w:val="both"/>
              <w:rPr>
                <w:iCs/>
              </w:rPr>
            </w:pPr>
            <w:r>
              <w:rPr>
                <w:iCs/>
              </w:rPr>
              <w:t>Responder 4</w:t>
            </w:r>
          </w:p>
        </w:tc>
        <w:tc>
          <w:tcPr>
            <w:tcW w:w="1090" w:type="dxa"/>
          </w:tcPr>
          <w:p w14:paraId="024C1E6C" w14:textId="77777777" w:rsidR="003D1B28" w:rsidRPr="003D1B28" w:rsidRDefault="003D1B28" w:rsidP="00FA663F">
            <w:pPr>
              <w:spacing w:line="360" w:lineRule="auto"/>
              <w:jc w:val="both"/>
              <w:rPr>
                <w:iCs/>
                <w:color w:val="008576"/>
              </w:rPr>
            </w:pPr>
            <w:r w:rsidRPr="003D1B28">
              <w:rPr>
                <w:iCs/>
                <w:color w:val="008576"/>
              </w:rPr>
              <w:t>Positive</w:t>
            </w:r>
          </w:p>
        </w:tc>
        <w:tc>
          <w:tcPr>
            <w:tcW w:w="1243" w:type="dxa"/>
          </w:tcPr>
          <w:p w14:paraId="3D37CFFB" w14:textId="77777777" w:rsidR="003D1B28" w:rsidRPr="003D1B28" w:rsidRDefault="003D1B28" w:rsidP="00FA663F">
            <w:pPr>
              <w:spacing w:line="360" w:lineRule="auto"/>
              <w:jc w:val="both"/>
              <w:rPr>
                <w:iCs/>
                <w:color w:val="008576"/>
              </w:rPr>
            </w:pPr>
          </w:p>
        </w:tc>
        <w:tc>
          <w:tcPr>
            <w:tcW w:w="1090" w:type="dxa"/>
          </w:tcPr>
          <w:p w14:paraId="21329340" w14:textId="77777777" w:rsidR="003D1B28" w:rsidRPr="003D1B28" w:rsidRDefault="003D1B28" w:rsidP="00FA663F">
            <w:pPr>
              <w:spacing w:line="360" w:lineRule="auto"/>
              <w:jc w:val="both"/>
              <w:rPr>
                <w:iCs/>
                <w:color w:val="008576"/>
              </w:rPr>
            </w:pPr>
          </w:p>
        </w:tc>
        <w:tc>
          <w:tcPr>
            <w:tcW w:w="1090" w:type="dxa"/>
          </w:tcPr>
          <w:p w14:paraId="2C47B82C"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5671331E" w14:textId="77777777" w:rsidR="003D1B28" w:rsidRPr="003D1B28" w:rsidRDefault="003D1B28" w:rsidP="00FA663F">
            <w:pPr>
              <w:spacing w:line="360" w:lineRule="auto"/>
              <w:jc w:val="both"/>
              <w:rPr>
                <w:iCs/>
                <w:color w:val="008576"/>
              </w:rPr>
            </w:pPr>
          </w:p>
        </w:tc>
        <w:tc>
          <w:tcPr>
            <w:tcW w:w="1050" w:type="dxa"/>
          </w:tcPr>
          <w:p w14:paraId="4FC2FC82" w14:textId="77777777" w:rsidR="003D1B28" w:rsidRPr="003D1B28" w:rsidRDefault="003D1B28" w:rsidP="00FA663F">
            <w:pPr>
              <w:spacing w:line="360" w:lineRule="auto"/>
              <w:jc w:val="both"/>
              <w:rPr>
                <w:iCs/>
                <w:color w:val="008576"/>
              </w:rPr>
            </w:pPr>
          </w:p>
        </w:tc>
        <w:tc>
          <w:tcPr>
            <w:tcW w:w="1249" w:type="dxa"/>
          </w:tcPr>
          <w:p w14:paraId="065DF5AD" w14:textId="77777777" w:rsidR="003D1B28" w:rsidRPr="003D1B28" w:rsidRDefault="003D1B28" w:rsidP="00FA663F">
            <w:pPr>
              <w:spacing w:line="360" w:lineRule="auto"/>
              <w:jc w:val="both"/>
              <w:rPr>
                <w:iCs/>
                <w:color w:val="008576"/>
              </w:rPr>
            </w:pPr>
            <w:r w:rsidRPr="003D1B28">
              <w:rPr>
                <w:iCs/>
                <w:color w:val="008576"/>
              </w:rPr>
              <w:t>Positive</w:t>
            </w:r>
          </w:p>
        </w:tc>
      </w:tr>
      <w:tr w:rsidR="003D1B28" w14:paraId="01A931DF" w14:textId="77777777" w:rsidTr="00FA663F">
        <w:tc>
          <w:tcPr>
            <w:tcW w:w="1444" w:type="dxa"/>
          </w:tcPr>
          <w:p w14:paraId="5B069027" w14:textId="77777777" w:rsidR="003D1B28" w:rsidRDefault="003D1B28" w:rsidP="00FA663F">
            <w:pPr>
              <w:spacing w:line="360" w:lineRule="auto"/>
              <w:jc w:val="both"/>
              <w:rPr>
                <w:iCs/>
              </w:rPr>
            </w:pPr>
            <w:r>
              <w:rPr>
                <w:iCs/>
              </w:rPr>
              <w:t>Responder 5</w:t>
            </w:r>
          </w:p>
        </w:tc>
        <w:tc>
          <w:tcPr>
            <w:tcW w:w="1090" w:type="dxa"/>
          </w:tcPr>
          <w:p w14:paraId="25D510B2" w14:textId="77777777" w:rsidR="003D1B28" w:rsidRPr="003D1B28" w:rsidRDefault="003D1B28" w:rsidP="00FA663F">
            <w:pPr>
              <w:spacing w:line="360" w:lineRule="auto"/>
              <w:jc w:val="both"/>
              <w:rPr>
                <w:iCs/>
                <w:color w:val="008576"/>
              </w:rPr>
            </w:pPr>
            <w:r w:rsidRPr="003D1B28">
              <w:rPr>
                <w:iCs/>
                <w:color w:val="008576"/>
              </w:rPr>
              <w:t>Positive</w:t>
            </w:r>
          </w:p>
        </w:tc>
        <w:tc>
          <w:tcPr>
            <w:tcW w:w="1243" w:type="dxa"/>
          </w:tcPr>
          <w:p w14:paraId="79EE3F0C"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43F5AD04" w14:textId="77777777" w:rsidR="003D1B28" w:rsidRPr="003D1B28" w:rsidRDefault="003D1B28" w:rsidP="00FA663F">
            <w:pPr>
              <w:spacing w:line="360" w:lineRule="auto"/>
              <w:jc w:val="both"/>
              <w:rPr>
                <w:iCs/>
                <w:color w:val="008576"/>
              </w:rPr>
            </w:pPr>
          </w:p>
        </w:tc>
        <w:tc>
          <w:tcPr>
            <w:tcW w:w="1090" w:type="dxa"/>
          </w:tcPr>
          <w:p w14:paraId="42FB3D75"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3B718486" w14:textId="77777777" w:rsidR="003D1B28" w:rsidRPr="003D1B28" w:rsidRDefault="003D1B28" w:rsidP="00FA663F">
            <w:pPr>
              <w:spacing w:line="360" w:lineRule="auto"/>
              <w:jc w:val="both"/>
              <w:rPr>
                <w:iCs/>
                <w:color w:val="008576"/>
              </w:rPr>
            </w:pPr>
          </w:p>
        </w:tc>
        <w:tc>
          <w:tcPr>
            <w:tcW w:w="1050" w:type="dxa"/>
          </w:tcPr>
          <w:p w14:paraId="0CF5EC6A" w14:textId="77777777" w:rsidR="003D1B28" w:rsidRPr="003D1B28" w:rsidRDefault="003D1B28" w:rsidP="00FA663F">
            <w:pPr>
              <w:spacing w:line="360" w:lineRule="auto"/>
              <w:jc w:val="both"/>
              <w:rPr>
                <w:iCs/>
                <w:color w:val="008576"/>
              </w:rPr>
            </w:pPr>
          </w:p>
        </w:tc>
        <w:tc>
          <w:tcPr>
            <w:tcW w:w="1249" w:type="dxa"/>
          </w:tcPr>
          <w:p w14:paraId="517B48EB" w14:textId="77777777" w:rsidR="003D1B28" w:rsidRPr="003D1B28" w:rsidRDefault="003D1B28" w:rsidP="00FA663F">
            <w:pPr>
              <w:spacing w:line="360" w:lineRule="auto"/>
              <w:jc w:val="both"/>
              <w:rPr>
                <w:iCs/>
                <w:color w:val="008576"/>
              </w:rPr>
            </w:pPr>
            <w:r w:rsidRPr="003D1B28">
              <w:rPr>
                <w:iCs/>
                <w:color w:val="008576"/>
              </w:rPr>
              <w:t>Positive</w:t>
            </w:r>
          </w:p>
        </w:tc>
      </w:tr>
      <w:tr w:rsidR="003D1B28" w14:paraId="1A9D477A" w14:textId="77777777" w:rsidTr="00FA663F">
        <w:tc>
          <w:tcPr>
            <w:tcW w:w="1444" w:type="dxa"/>
          </w:tcPr>
          <w:p w14:paraId="52EAEAF6" w14:textId="77777777" w:rsidR="003D1B28" w:rsidRDefault="003D1B28" w:rsidP="00FA663F">
            <w:pPr>
              <w:spacing w:line="360" w:lineRule="auto"/>
              <w:jc w:val="both"/>
              <w:rPr>
                <w:iCs/>
              </w:rPr>
            </w:pPr>
            <w:r>
              <w:rPr>
                <w:iCs/>
              </w:rPr>
              <w:t>Responder 6</w:t>
            </w:r>
          </w:p>
        </w:tc>
        <w:tc>
          <w:tcPr>
            <w:tcW w:w="1090" w:type="dxa"/>
          </w:tcPr>
          <w:p w14:paraId="1944CCFE" w14:textId="77777777" w:rsidR="003D1B28" w:rsidRPr="003D1B28" w:rsidRDefault="003D1B28" w:rsidP="00FA663F">
            <w:pPr>
              <w:spacing w:line="360" w:lineRule="auto"/>
              <w:jc w:val="both"/>
              <w:rPr>
                <w:iCs/>
                <w:color w:val="008576"/>
              </w:rPr>
            </w:pPr>
            <w:r w:rsidRPr="003D1B28">
              <w:rPr>
                <w:iCs/>
                <w:color w:val="008576"/>
              </w:rPr>
              <w:t>Positive</w:t>
            </w:r>
          </w:p>
        </w:tc>
        <w:tc>
          <w:tcPr>
            <w:tcW w:w="1243" w:type="dxa"/>
          </w:tcPr>
          <w:p w14:paraId="7F78E13F"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5B6617D6" w14:textId="77777777" w:rsidR="003D1B28" w:rsidRPr="003D1B28" w:rsidRDefault="003D1B28" w:rsidP="00FA663F">
            <w:pPr>
              <w:spacing w:line="360" w:lineRule="auto"/>
              <w:jc w:val="both"/>
              <w:rPr>
                <w:iCs/>
                <w:color w:val="008576"/>
              </w:rPr>
            </w:pPr>
          </w:p>
        </w:tc>
        <w:tc>
          <w:tcPr>
            <w:tcW w:w="1090" w:type="dxa"/>
          </w:tcPr>
          <w:p w14:paraId="76AD4095"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6F939E25" w14:textId="77777777" w:rsidR="003D1B28" w:rsidRPr="003D1B28" w:rsidRDefault="003D1B28" w:rsidP="00FA663F">
            <w:pPr>
              <w:spacing w:line="360" w:lineRule="auto"/>
              <w:jc w:val="both"/>
              <w:rPr>
                <w:iCs/>
                <w:color w:val="008576"/>
              </w:rPr>
            </w:pPr>
          </w:p>
        </w:tc>
        <w:tc>
          <w:tcPr>
            <w:tcW w:w="1050" w:type="dxa"/>
          </w:tcPr>
          <w:p w14:paraId="0D26E1C3" w14:textId="77777777" w:rsidR="003D1B28" w:rsidRPr="003D1B28" w:rsidRDefault="003D1B28" w:rsidP="00FA663F">
            <w:pPr>
              <w:spacing w:line="360" w:lineRule="auto"/>
              <w:jc w:val="both"/>
              <w:rPr>
                <w:iCs/>
                <w:color w:val="008576"/>
              </w:rPr>
            </w:pPr>
          </w:p>
        </w:tc>
        <w:tc>
          <w:tcPr>
            <w:tcW w:w="1249" w:type="dxa"/>
          </w:tcPr>
          <w:p w14:paraId="27AFB41B" w14:textId="77777777" w:rsidR="003D1B28" w:rsidRPr="003D1B28" w:rsidRDefault="003D1B28" w:rsidP="00FA663F">
            <w:pPr>
              <w:spacing w:line="360" w:lineRule="auto"/>
              <w:jc w:val="both"/>
              <w:rPr>
                <w:iCs/>
                <w:color w:val="008576"/>
              </w:rPr>
            </w:pPr>
            <w:r w:rsidRPr="003D1B28">
              <w:rPr>
                <w:iCs/>
                <w:color w:val="008576"/>
              </w:rPr>
              <w:t>Positive</w:t>
            </w:r>
          </w:p>
        </w:tc>
      </w:tr>
      <w:tr w:rsidR="003D1B28" w14:paraId="60AE0138" w14:textId="77777777" w:rsidTr="00FA663F">
        <w:tc>
          <w:tcPr>
            <w:tcW w:w="1444" w:type="dxa"/>
          </w:tcPr>
          <w:p w14:paraId="1ECBDABB" w14:textId="77777777" w:rsidR="003D1B28" w:rsidRDefault="003D1B28" w:rsidP="00FA663F">
            <w:pPr>
              <w:spacing w:line="360" w:lineRule="auto"/>
              <w:jc w:val="both"/>
              <w:rPr>
                <w:iCs/>
              </w:rPr>
            </w:pPr>
            <w:r>
              <w:rPr>
                <w:iCs/>
              </w:rPr>
              <w:t>Responder 7</w:t>
            </w:r>
          </w:p>
        </w:tc>
        <w:tc>
          <w:tcPr>
            <w:tcW w:w="1090" w:type="dxa"/>
          </w:tcPr>
          <w:p w14:paraId="0D92EF62" w14:textId="77777777" w:rsidR="003D1B28" w:rsidRPr="003D1B28" w:rsidRDefault="003D1B28" w:rsidP="00FA663F">
            <w:pPr>
              <w:spacing w:line="360" w:lineRule="auto"/>
              <w:jc w:val="both"/>
              <w:rPr>
                <w:iCs/>
                <w:color w:val="008576"/>
              </w:rPr>
            </w:pPr>
            <w:r w:rsidRPr="003D1B28">
              <w:rPr>
                <w:iCs/>
                <w:color w:val="008576"/>
              </w:rPr>
              <w:t>Positive</w:t>
            </w:r>
          </w:p>
        </w:tc>
        <w:tc>
          <w:tcPr>
            <w:tcW w:w="1243" w:type="dxa"/>
          </w:tcPr>
          <w:p w14:paraId="58F645F6"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7AE6D384" w14:textId="77777777" w:rsidR="003D1B28" w:rsidRPr="003D1B28" w:rsidRDefault="003D1B28" w:rsidP="00FA663F">
            <w:pPr>
              <w:spacing w:line="360" w:lineRule="auto"/>
              <w:jc w:val="both"/>
              <w:rPr>
                <w:iCs/>
                <w:color w:val="008576"/>
              </w:rPr>
            </w:pPr>
          </w:p>
        </w:tc>
        <w:tc>
          <w:tcPr>
            <w:tcW w:w="1090" w:type="dxa"/>
          </w:tcPr>
          <w:p w14:paraId="044D7767" w14:textId="77777777" w:rsidR="003D1B28" w:rsidRPr="003D1B28" w:rsidRDefault="003D1B28" w:rsidP="00FA663F">
            <w:pPr>
              <w:spacing w:line="360" w:lineRule="auto"/>
              <w:jc w:val="both"/>
              <w:rPr>
                <w:iCs/>
                <w:color w:val="008576"/>
              </w:rPr>
            </w:pPr>
            <w:r w:rsidRPr="003D1B28">
              <w:rPr>
                <w:iCs/>
                <w:color w:val="008576"/>
              </w:rPr>
              <w:t>Positive</w:t>
            </w:r>
          </w:p>
        </w:tc>
        <w:tc>
          <w:tcPr>
            <w:tcW w:w="1090" w:type="dxa"/>
          </w:tcPr>
          <w:p w14:paraId="2AEA550E" w14:textId="77777777" w:rsidR="003D1B28" w:rsidRPr="003D1B28" w:rsidRDefault="003D1B28" w:rsidP="00FA663F">
            <w:pPr>
              <w:spacing w:line="360" w:lineRule="auto"/>
              <w:jc w:val="both"/>
              <w:rPr>
                <w:iCs/>
                <w:color w:val="008576"/>
              </w:rPr>
            </w:pPr>
          </w:p>
        </w:tc>
        <w:tc>
          <w:tcPr>
            <w:tcW w:w="1050" w:type="dxa"/>
          </w:tcPr>
          <w:p w14:paraId="7ACDBB1F" w14:textId="77777777" w:rsidR="003D1B28" w:rsidRPr="003D1B28" w:rsidRDefault="003D1B28" w:rsidP="00FA663F">
            <w:pPr>
              <w:spacing w:line="360" w:lineRule="auto"/>
              <w:jc w:val="both"/>
              <w:rPr>
                <w:iCs/>
                <w:color w:val="008576"/>
              </w:rPr>
            </w:pPr>
          </w:p>
        </w:tc>
        <w:tc>
          <w:tcPr>
            <w:tcW w:w="1249" w:type="dxa"/>
          </w:tcPr>
          <w:p w14:paraId="41908794" w14:textId="77777777" w:rsidR="003D1B28" w:rsidRPr="003D1B28" w:rsidRDefault="003D1B28" w:rsidP="00FA663F">
            <w:pPr>
              <w:spacing w:line="360" w:lineRule="auto"/>
              <w:jc w:val="both"/>
              <w:rPr>
                <w:iCs/>
                <w:color w:val="008576"/>
              </w:rPr>
            </w:pPr>
            <w:r w:rsidRPr="003D1B28">
              <w:rPr>
                <w:iCs/>
                <w:color w:val="008576"/>
              </w:rPr>
              <w:t>Positive</w:t>
            </w:r>
          </w:p>
        </w:tc>
      </w:tr>
    </w:tbl>
    <w:p w14:paraId="1A83D911" w14:textId="77777777" w:rsidR="00060706" w:rsidRDefault="00060706" w:rsidP="00CC3F3C">
      <w:pPr>
        <w:keepNext/>
        <w:tabs>
          <w:tab w:val="left" w:pos="851"/>
        </w:tabs>
        <w:spacing w:line="360" w:lineRule="auto"/>
        <w:jc w:val="both"/>
        <w:outlineLvl w:val="1"/>
        <w:rPr>
          <w:rFonts w:cs="Arial"/>
          <w:b/>
          <w:bCs/>
          <w:iCs/>
          <w:szCs w:val="20"/>
        </w:rPr>
      </w:pPr>
    </w:p>
    <w:p w14:paraId="4C338289" w14:textId="73501038" w:rsidR="00156DA4" w:rsidRPr="00156DA4" w:rsidRDefault="00156DA4" w:rsidP="00156DA4">
      <w:pPr>
        <w:pStyle w:val="Question"/>
        <w:keepNext w:val="0"/>
        <w:keepLines/>
        <w:rPr>
          <w:b w:val="0"/>
          <w:bCs w:val="0"/>
        </w:rPr>
      </w:pPr>
      <w:r w:rsidRPr="002A3F8F">
        <w:t>Question</w:t>
      </w:r>
      <w:r>
        <w:t xml:space="preserve"> 15:</w:t>
      </w:r>
      <w:r w:rsidRPr="00D2628A">
        <w:t xml:space="preserve"> Are you aware of any wider industry developments that may impact upon or be</w:t>
      </w:r>
      <w:r>
        <w:t xml:space="preserve"> </w:t>
      </w:r>
      <w:r w:rsidRPr="00D2628A">
        <w:t>impacted by this CP</w:t>
      </w:r>
      <w:r>
        <w:t>?</w:t>
      </w:r>
    </w:p>
    <w:p w14:paraId="5B5E707B" w14:textId="330557CB" w:rsidR="00F73690" w:rsidRPr="00F73690" w:rsidRDefault="00F73690" w:rsidP="00F73690">
      <w:pPr>
        <w:pStyle w:val="ListParagraph"/>
        <w:keepNext/>
        <w:numPr>
          <w:ilvl w:val="1"/>
          <w:numId w:val="22"/>
        </w:numPr>
        <w:tabs>
          <w:tab w:val="left" w:pos="851"/>
        </w:tabs>
        <w:spacing w:line="360" w:lineRule="auto"/>
        <w:jc w:val="both"/>
        <w:outlineLvl w:val="1"/>
        <w:rPr>
          <w:rFonts w:asciiTheme="minorHAnsi" w:hAnsiTheme="minorHAnsi" w:cstheme="minorHAnsi"/>
          <w:iCs/>
          <w:sz w:val="22"/>
          <w:szCs w:val="22"/>
        </w:rPr>
      </w:pPr>
      <w:r>
        <w:t>Three responders highlighted that DCP 325 was also reviewing some elements of schedule 15 (cost information tables) but that CP had no direct impact DCP 421 and vice versa.</w:t>
      </w:r>
    </w:p>
    <w:p w14:paraId="4B63DBC1" w14:textId="28D2D917" w:rsidR="00F73690" w:rsidRPr="00BC6107" w:rsidRDefault="00BC6107" w:rsidP="00BC6107">
      <w:pPr>
        <w:pStyle w:val="Question"/>
        <w:keepNext w:val="0"/>
        <w:keepLines/>
      </w:pPr>
      <w:r w:rsidRPr="002A3F8F">
        <w:t>Question</w:t>
      </w:r>
      <w:r>
        <w:t xml:space="preserve"> 16:</w:t>
      </w:r>
      <w:r w:rsidRPr="00F05AE8">
        <w:t xml:space="preserve"> </w:t>
      </w:r>
      <w:r>
        <w:t>What date do you believe this change proposal should be implemented? Please provide rationale.</w:t>
      </w:r>
    </w:p>
    <w:p w14:paraId="33E5A456" w14:textId="4B3211E8" w:rsidR="00DE38AF" w:rsidRDefault="009A30F1" w:rsidP="008B5841">
      <w:pPr>
        <w:pStyle w:val="ListParagraph"/>
        <w:numPr>
          <w:ilvl w:val="1"/>
          <w:numId w:val="22"/>
        </w:numPr>
        <w:spacing w:line="360" w:lineRule="auto"/>
      </w:pPr>
      <w:r w:rsidRPr="00844A0F">
        <w:t>Five responders stated that the implementation date should not be before 01 January 2024.</w:t>
      </w:r>
      <w:r>
        <w:t xml:space="preserve"> </w:t>
      </w:r>
      <w:r w:rsidRPr="00844A0F">
        <w:t xml:space="preserve">One responder stated </w:t>
      </w:r>
      <w:r w:rsidR="00C96043">
        <w:t xml:space="preserve">that implementation should be </w:t>
      </w:r>
      <w:r w:rsidRPr="00844A0F">
        <w:t>for the next quarterly return and one responder offered no view</w:t>
      </w:r>
      <w:r>
        <w:t>.</w:t>
      </w:r>
    </w:p>
    <w:p w14:paraId="0748E9BD" w14:textId="77777777" w:rsidR="00C57F0B" w:rsidRDefault="00C57F0B" w:rsidP="00C57F0B">
      <w:pPr>
        <w:pStyle w:val="ListParagraph"/>
        <w:spacing w:line="360" w:lineRule="auto"/>
        <w:ind w:left="718"/>
      </w:pPr>
    </w:p>
    <w:p w14:paraId="177837B9" w14:textId="77777777" w:rsidR="00C57F0B" w:rsidRDefault="00C57F0B" w:rsidP="00C57F0B">
      <w:pPr>
        <w:pStyle w:val="ListParagraph"/>
        <w:spacing w:line="360" w:lineRule="auto"/>
        <w:ind w:left="718"/>
      </w:pPr>
    </w:p>
    <w:p w14:paraId="321E3C41" w14:textId="77777777" w:rsidR="00C57F0B" w:rsidRDefault="00C57F0B" w:rsidP="00C57F0B">
      <w:pPr>
        <w:pStyle w:val="ListParagraph"/>
        <w:spacing w:line="360" w:lineRule="auto"/>
        <w:ind w:left="718"/>
      </w:pPr>
    </w:p>
    <w:p w14:paraId="3950D2A5" w14:textId="77777777" w:rsidR="00C57F0B" w:rsidRDefault="00C57F0B" w:rsidP="00C57F0B">
      <w:pPr>
        <w:pStyle w:val="ListParagraph"/>
        <w:spacing w:line="360" w:lineRule="auto"/>
        <w:ind w:left="718"/>
      </w:pPr>
    </w:p>
    <w:p w14:paraId="658F4E69" w14:textId="77777777" w:rsidR="00C57F0B" w:rsidRDefault="00C57F0B" w:rsidP="00C57F0B">
      <w:pPr>
        <w:pStyle w:val="ListParagraph"/>
        <w:spacing w:line="360" w:lineRule="auto"/>
        <w:ind w:left="718"/>
      </w:pPr>
    </w:p>
    <w:p w14:paraId="7402B835" w14:textId="77777777" w:rsidR="00C57F0B" w:rsidRDefault="00C57F0B" w:rsidP="00C57F0B">
      <w:pPr>
        <w:pStyle w:val="ListParagraph"/>
        <w:spacing w:line="360" w:lineRule="auto"/>
        <w:ind w:left="718"/>
      </w:pPr>
    </w:p>
    <w:p w14:paraId="361355AD" w14:textId="0E2D971E" w:rsidR="009A30F1" w:rsidRDefault="00A825CC" w:rsidP="00A825CC">
      <w:pPr>
        <w:pStyle w:val="Question"/>
        <w:keepNext w:val="0"/>
        <w:keepLines/>
      </w:pPr>
      <w:r>
        <w:lastRenderedPageBreak/>
        <w:t>Question 17: Do you have any other comments?</w:t>
      </w:r>
    </w:p>
    <w:p w14:paraId="36E44E3C" w14:textId="523394F8" w:rsidR="00C57F0B" w:rsidRDefault="002B5588" w:rsidP="00C57F0B">
      <w:pPr>
        <w:pStyle w:val="ListParagraph"/>
        <w:keepNext/>
        <w:numPr>
          <w:ilvl w:val="1"/>
          <w:numId w:val="22"/>
        </w:numPr>
        <w:tabs>
          <w:tab w:val="left" w:pos="851"/>
        </w:tabs>
        <w:spacing w:line="360" w:lineRule="auto"/>
        <w:jc w:val="both"/>
        <w:outlineLvl w:val="1"/>
      </w:pPr>
      <w:r>
        <w:t>There were no comments raised to this question that hadn’t been previously brought up within the earlier consultation responses.</w:t>
      </w:r>
    </w:p>
    <w:p w14:paraId="5E93D60A" w14:textId="77777777" w:rsidR="00A7500A" w:rsidRPr="00EB32BB" w:rsidRDefault="00A7500A" w:rsidP="00A7500A">
      <w:pPr>
        <w:pStyle w:val="Heading03"/>
        <w:numPr>
          <w:ilvl w:val="0"/>
          <w:numId w:val="22"/>
        </w:numPr>
      </w:pPr>
      <w:bookmarkStart w:id="17" w:name="_Toc125191625"/>
      <w:r w:rsidRPr="00443D57">
        <w:t>Working Group Conclusions &amp; Final Solutio</w:t>
      </w:r>
      <w:r>
        <w:t>n</w:t>
      </w:r>
      <w:bookmarkEnd w:id="17"/>
    </w:p>
    <w:p w14:paraId="5B23A737" w14:textId="77777777" w:rsidR="009C0855" w:rsidRDefault="009C0855" w:rsidP="009C0855">
      <w:pPr>
        <w:pStyle w:val="ListParagraph"/>
        <w:numPr>
          <w:ilvl w:val="1"/>
          <w:numId w:val="22"/>
        </w:numPr>
        <w:spacing w:line="360" w:lineRule="auto"/>
      </w:pPr>
      <w:r w:rsidRPr="003B2B57">
        <w:t xml:space="preserve">After </w:t>
      </w:r>
      <w:r>
        <w:t>reviewing the Consultation responses, the Working Group agreed that the below areas required further consideration:</w:t>
      </w:r>
    </w:p>
    <w:p w14:paraId="009F44A5" w14:textId="77777777" w:rsidR="00825635" w:rsidRDefault="00825635" w:rsidP="00F03FD2">
      <w:pPr>
        <w:rPr>
          <w:b/>
          <w:bCs/>
          <w:color w:val="008576"/>
        </w:rPr>
      </w:pPr>
      <w:r w:rsidRPr="0038437A">
        <w:rPr>
          <w:b/>
          <w:bCs/>
          <w:color w:val="008576"/>
        </w:rPr>
        <w:t xml:space="preserve">Should the years in Table 1 remain the same as in the current Table </w:t>
      </w:r>
      <w:proofErr w:type="gramStart"/>
      <w:r w:rsidRPr="0038437A">
        <w:rPr>
          <w:b/>
          <w:bCs/>
          <w:color w:val="008576"/>
        </w:rPr>
        <w:t>1</w:t>
      </w:r>
      <w:proofErr w:type="gramEnd"/>
    </w:p>
    <w:p w14:paraId="6770F698" w14:textId="0B85B324" w:rsidR="00825635" w:rsidRPr="00825635" w:rsidRDefault="00825635" w:rsidP="00825635">
      <w:pPr>
        <w:pStyle w:val="ListParagraph"/>
        <w:numPr>
          <w:ilvl w:val="1"/>
          <w:numId w:val="22"/>
        </w:numPr>
      </w:pPr>
      <w:r w:rsidRPr="0038437A">
        <w:rPr>
          <w:iCs/>
        </w:rPr>
        <w:t xml:space="preserve">The Working Group </w:t>
      </w:r>
      <w:r>
        <w:rPr>
          <w:iCs/>
        </w:rPr>
        <w:t xml:space="preserve">agreed that the </w:t>
      </w:r>
      <w:r w:rsidRPr="00F2398F">
        <w:t xml:space="preserve">years in Table 1 </w:t>
      </w:r>
      <w:r>
        <w:t xml:space="preserve">should </w:t>
      </w:r>
      <w:r w:rsidRPr="00F2398F">
        <w:t>remain the same as in the current Table 1</w:t>
      </w:r>
      <w:r>
        <w:t>,</w:t>
      </w:r>
      <w:r w:rsidR="00C96043">
        <w:rPr>
          <w:rFonts w:cs="Arial"/>
          <w:iCs/>
          <w:szCs w:val="20"/>
        </w:rPr>
        <w:t xml:space="preserve"> with forecasts for any years in a future price control period calculated on the same basis as the latest known price control period,</w:t>
      </w:r>
      <w:r w:rsidR="00C96043">
        <w:t xml:space="preserve"> </w:t>
      </w:r>
      <w:r>
        <w:t>accompanied by a caveat stating that</w:t>
      </w:r>
      <w:r w:rsidR="00C96043">
        <w:t xml:space="preserve"> the allowed revenue in </w:t>
      </w:r>
      <w:r>
        <w:t>years</w:t>
      </w:r>
      <w:r w:rsidR="00C96043">
        <w:t xml:space="preserve"> beyond the current price control period</w:t>
      </w:r>
      <w:r>
        <w:t xml:space="preserve"> were subject to change</w:t>
      </w:r>
      <w:r w:rsidR="00C96043">
        <w:t xml:space="preserve"> once the licence conditions are known</w:t>
      </w:r>
      <w:r>
        <w:t>.</w:t>
      </w:r>
      <w:r w:rsidR="00C96043" w:rsidRPr="00C96043">
        <w:rPr>
          <w:rFonts w:cs="Arial"/>
          <w:iCs/>
          <w:szCs w:val="20"/>
        </w:rPr>
        <w:t xml:space="preserve"> </w:t>
      </w:r>
      <w:r w:rsidR="00C96043">
        <w:rPr>
          <w:rFonts w:cs="Arial"/>
          <w:iCs/>
          <w:szCs w:val="20"/>
        </w:rPr>
        <w:t>It was highlighted that forecasting years in future price control periods is necessary because of the requirement to give 15 months’ notice for charges, whilst the licence conditions are not finalised until shortly before the price control period begins.</w:t>
      </w:r>
    </w:p>
    <w:p w14:paraId="517D7610" w14:textId="77777777" w:rsidR="00825635" w:rsidRPr="00F03FD2" w:rsidRDefault="00825635" w:rsidP="00F03FD2">
      <w:pPr>
        <w:rPr>
          <w:b/>
          <w:bCs/>
          <w:iCs/>
          <w:color w:val="008576"/>
        </w:rPr>
      </w:pPr>
      <w:bookmarkStart w:id="18" w:name="_Hlk159588003"/>
      <w:r w:rsidRPr="00F03FD2">
        <w:rPr>
          <w:b/>
          <w:bCs/>
          <w:color w:val="008576"/>
        </w:rPr>
        <w:t>The level of granularity within the template</w:t>
      </w:r>
    </w:p>
    <w:bookmarkEnd w:id="18"/>
    <w:p w14:paraId="5527363A" w14:textId="56B44603" w:rsidR="00825635" w:rsidRDefault="00825635" w:rsidP="00825635">
      <w:pPr>
        <w:pStyle w:val="ListParagraph"/>
        <w:numPr>
          <w:ilvl w:val="1"/>
          <w:numId w:val="22"/>
        </w:numPr>
        <w:rPr>
          <w:iCs/>
        </w:rPr>
      </w:pPr>
      <w:r>
        <w:rPr>
          <w:iCs/>
        </w:rPr>
        <w:t>After reviewing the feedback to the consultation, the Working Group agreed to make minor changes to the template as detailed below.</w:t>
      </w:r>
    </w:p>
    <w:p w14:paraId="7167B0FA" w14:textId="3FA2BA7B" w:rsidR="00A7500A" w:rsidRPr="00892CAC" w:rsidRDefault="00892CAC" w:rsidP="00892CAC">
      <w:pPr>
        <w:pStyle w:val="ListParagraph"/>
        <w:numPr>
          <w:ilvl w:val="0"/>
          <w:numId w:val="35"/>
        </w:numPr>
        <w:rPr>
          <w:iCs/>
        </w:rPr>
      </w:pPr>
      <w:r>
        <w:rPr>
          <w:iCs/>
        </w:rPr>
        <w:t>I</w:t>
      </w:r>
      <w:r w:rsidRPr="00B90431">
        <w:rPr>
          <w:iCs/>
        </w:rPr>
        <w:t>nclude two extra line</w:t>
      </w:r>
      <w:r>
        <w:rPr>
          <w:iCs/>
        </w:rPr>
        <w:t>s</w:t>
      </w:r>
      <w:r w:rsidRPr="00B90431">
        <w:rPr>
          <w:iCs/>
        </w:rPr>
        <w:t xml:space="preserve"> in</w:t>
      </w:r>
      <w:r w:rsidR="00C96043">
        <w:rPr>
          <w:iCs/>
        </w:rPr>
        <w:t xml:space="preserve"> the</w:t>
      </w:r>
      <w:r w:rsidRPr="00B90431">
        <w:rPr>
          <w:iCs/>
        </w:rPr>
        <w:t xml:space="preserve"> </w:t>
      </w:r>
      <w:r w:rsidR="00C96043">
        <w:rPr>
          <w:iCs/>
        </w:rPr>
        <w:t>“R</w:t>
      </w:r>
      <w:r w:rsidRPr="00B90431">
        <w:rPr>
          <w:iCs/>
        </w:rPr>
        <w:t>evenue raised out</w:t>
      </w:r>
      <w:r w:rsidR="00C96043">
        <w:rPr>
          <w:iCs/>
        </w:rPr>
        <w:t>side of the</w:t>
      </w:r>
      <w:r w:rsidRPr="00B90431">
        <w:rPr>
          <w:iCs/>
        </w:rPr>
        <w:t xml:space="preserve"> CDCM</w:t>
      </w:r>
      <w:r w:rsidR="00C96043">
        <w:rPr>
          <w:iCs/>
        </w:rPr>
        <w:t>”</w:t>
      </w:r>
      <w:r w:rsidRPr="00B90431">
        <w:rPr>
          <w:iCs/>
        </w:rPr>
        <w:t xml:space="preserve"> </w:t>
      </w:r>
      <w:r w:rsidR="00C96043">
        <w:rPr>
          <w:iCs/>
        </w:rPr>
        <w:t>block</w:t>
      </w:r>
      <w:r w:rsidR="007E5EDD">
        <w:rPr>
          <w:iCs/>
        </w:rPr>
        <w:t xml:space="preserve"> in </w:t>
      </w:r>
      <w:r w:rsidR="007E5EDD">
        <w:t>‘Table 1 – CDCM Input Version’</w:t>
      </w:r>
      <w:r w:rsidR="00C96043">
        <w:rPr>
          <w:iCs/>
        </w:rPr>
        <w:t xml:space="preserve"> </w:t>
      </w:r>
      <w:r w:rsidRPr="00B90431">
        <w:rPr>
          <w:iCs/>
        </w:rPr>
        <w:t xml:space="preserve">to capture any </w:t>
      </w:r>
      <w:r w:rsidR="00C96043">
        <w:rPr>
          <w:iCs/>
        </w:rPr>
        <w:t>such revenue</w:t>
      </w:r>
      <w:r w:rsidR="007E5EDD">
        <w:rPr>
          <w:iCs/>
        </w:rPr>
        <w:t xml:space="preserve"> arising in the future which is not currently known about now, such as the rebates in 2013/14 which the additional rows were last used for, but which was not known about in advance.</w:t>
      </w:r>
      <w:r>
        <w:rPr>
          <w:iCs/>
        </w:rPr>
        <w:t xml:space="preserve"> </w:t>
      </w:r>
    </w:p>
    <w:p w14:paraId="08141159" w14:textId="1137DA9F" w:rsidR="00F96131" w:rsidRDefault="00F96131" w:rsidP="00F96131">
      <w:pPr>
        <w:pStyle w:val="ListParagraph"/>
        <w:numPr>
          <w:ilvl w:val="1"/>
          <w:numId w:val="22"/>
        </w:numPr>
        <w:rPr>
          <w:iCs/>
        </w:rPr>
      </w:pPr>
      <w:r w:rsidRPr="007A4402">
        <w:rPr>
          <w:iCs/>
        </w:rPr>
        <w:t xml:space="preserve">In regards to the respondent who stated </w:t>
      </w:r>
      <w:r>
        <w:rPr>
          <w:iCs/>
        </w:rPr>
        <w:t xml:space="preserve"> </w:t>
      </w:r>
      <w:r w:rsidRPr="007A4402">
        <w:rPr>
          <w:i/>
        </w:rPr>
        <w:t>‘The level of detail in the ED2 Detailed table is preferable to the CDCM input version, the extra level of granularity provided in the incentives section and the splits of allowed base revenues between the different funding pots may prove useful for suppliers in understanding the drivers of revenue movements’</w:t>
      </w:r>
      <w:r>
        <w:rPr>
          <w:i/>
        </w:rPr>
        <w:t xml:space="preserve">, </w:t>
      </w:r>
      <w:r>
        <w:rPr>
          <w:iCs/>
        </w:rPr>
        <w:t>the Working Group concluded that both the ED2 detailed table and the CDCD input version tables would be required to be provided meaning that suppliers would be provided with both sets of data.</w:t>
      </w:r>
    </w:p>
    <w:p w14:paraId="04EA2D39" w14:textId="60D8CB76" w:rsidR="00F96131" w:rsidRPr="00F96131" w:rsidRDefault="00F96131" w:rsidP="00F96131">
      <w:pPr>
        <w:pStyle w:val="ListParagraph"/>
        <w:numPr>
          <w:ilvl w:val="1"/>
          <w:numId w:val="22"/>
        </w:numPr>
        <w:rPr>
          <w:iCs/>
        </w:rPr>
      </w:pPr>
      <w:proofErr w:type="gramStart"/>
      <w:r w:rsidRPr="00F96131">
        <w:rPr>
          <w:iCs/>
        </w:rPr>
        <w:t>In regards to</w:t>
      </w:r>
      <w:proofErr w:type="gramEnd"/>
      <w:r w:rsidRPr="00F96131">
        <w:rPr>
          <w:iCs/>
        </w:rPr>
        <w:t xml:space="preserve"> the response that stated that ‘</w:t>
      </w:r>
      <w:r w:rsidRPr="00F96131">
        <w:rPr>
          <w:i/>
        </w:rPr>
        <w:t>Table 1 – CDCM Input</w:t>
      </w:r>
      <w:r w:rsidR="00C96043">
        <w:rPr>
          <w:i/>
        </w:rPr>
        <w:t>’</w:t>
      </w:r>
      <w:r w:rsidRPr="00F96131">
        <w:rPr>
          <w:i/>
        </w:rPr>
        <w:t xml:space="preserve"> worksheet: It might be beneficial to provide the breakdown of Output Delivery Incentive (ODI) and Other Revenue Allowance (ORA) as was done for Pass-Through (PT). Or leave the breakdown for all three in 'Table 1 – ED2 Detailed' worksheet.’</w:t>
      </w:r>
      <w:r w:rsidRPr="00F96131">
        <w:rPr>
          <w:iCs/>
        </w:rPr>
        <w:t xml:space="preserve"> </w:t>
      </w:r>
      <w:r w:rsidR="00C96043" w:rsidRPr="00872ED3">
        <w:rPr>
          <w:rFonts w:cs="Arial"/>
          <w:bCs/>
          <w:szCs w:val="20"/>
        </w:rPr>
        <w:t>It was highlighted by the working group that the breakdown of the passthrough is necessary for input into the CDCM, as e.g. licence fees and supplier of last resort charges are required separately, and that the ODI and ORA do not need to be broken down for input into the CDCM. It was agreed that the level of detail in ‘Table 1 – ED2 Detailed’ was sufficient and necessary.</w:t>
      </w:r>
    </w:p>
    <w:p w14:paraId="26D5856D" w14:textId="459D4C67" w:rsidR="00F96131" w:rsidRDefault="00F96131" w:rsidP="00F96131">
      <w:pPr>
        <w:pStyle w:val="ListParagraph"/>
        <w:numPr>
          <w:ilvl w:val="1"/>
          <w:numId w:val="22"/>
        </w:numPr>
      </w:pPr>
      <w:r>
        <w:rPr>
          <w:iCs/>
        </w:rPr>
        <w:t xml:space="preserve">It was also highlighted that </w:t>
      </w:r>
      <w:r>
        <w:t xml:space="preserve">that everything within </w:t>
      </w:r>
      <w:r w:rsidR="00872ED3">
        <w:t>S</w:t>
      </w:r>
      <w:r w:rsidR="00872ED3" w:rsidRPr="00872ED3">
        <w:t xml:space="preserve">chedule </w:t>
      </w:r>
      <w:proofErr w:type="gramStart"/>
      <w:r w:rsidR="00872ED3" w:rsidRPr="00872ED3">
        <w:t>15</w:t>
      </w:r>
      <w:r w:rsidR="00872ED3">
        <w:t xml:space="preserve"> </w:t>
      </w:r>
      <w:r>
        <w:t xml:space="preserve"> included</w:t>
      </w:r>
      <w:proofErr w:type="gramEnd"/>
      <w:r>
        <w:t xml:space="preserve"> within the sheet.</w:t>
      </w:r>
    </w:p>
    <w:p w14:paraId="686C7665" w14:textId="77777777" w:rsidR="00F96131" w:rsidRPr="00F96131" w:rsidRDefault="00F96131" w:rsidP="00F96131">
      <w:pPr>
        <w:pStyle w:val="ListParagraph"/>
        <w:numPr>
          <w:ilvl w:val="1"/>
          <w:numId w:val="22"/>
        </w:numPr>
        <w:rPr>
          <w:i/>
        </w:rPr>
      </w:pPr>
      <w:proofErr w:type="gramStart"/>
      <w:r w:rsidRPr="00F96131">
        <w:rPr>
          <w:iCs/>
        </w:rPr>
        <w:t>In regards to</w:t>
      </w:r>
      <w:proofErr w:type="gramEnd"/>
      <w:r w:rsidRPr="00F96131">
        <w:rPr>
          <w:iCs/>
        </w:rPr>
        <w:t xml:space="preserve"> the responder who stated within their consultation response that a colour legend may be helpful, this responder commented within the Working Gorup that this was a ‘nice to have requirement’ and that they were happy with the proposed level of detail.</w:t>
      </w:r>
    </w:p>
    <w:p w14:paraId="2406EBB1" w14:textId="7EE62006" w:rsidR="00F96131" w:rsidRDefault="00F96131" w:rsidP="002678A8">
      <w:pPr>
        <w:pStyle w:val="ListParagraph"/>
        <w:numPr>
          <w:ilvl w:val="1"/>
          <w:numId w:val="22"/>
        </w:numPr>
      </w:pPr>
      <w:r>
        <w:rPr>
          <w:iCs/>
        </w:rPr>
        <w:lastRenderedPageBreak/>
        <w:t xml:space="preserve">In response to the supplier who raised the comment on the data within the </w:t>
      </w:r>
      <w:r>
        <w:t>‘Delta from previous’ table ‘as the split of revenue between CDCM and EDCM isn’t included in the ‘</w:t>
      </w:r>
      <w:r w:rsidRPr="00507C5F">
        <w:rPr>
          <w:i/>
          <w:iCs/>
        </w:rPr>
        <w:t>ED2 Detailed’ tab and the ‘Delta from previous’ tab shows movements based on that tab the movement in the split between CDCM and EDCM is omitted.’</w:t>
      </w:r>
      <w:r>
        <w:t xml:space="preserve"> The Working Group concluded that</w:t>
      </w:r>
      <w:r w:rsidR="007E5EDD">
        <w:t xml:space="preserve"> the revenue split between the CDCM and EDCM is calculated as a function of the allowed revenue until such time that charges are formally set for each year, </w:t>
      </w:r>
      <w:r w:rsidRPr="00E7731E">
        <w:t xml:space="preserve">so including this within </w:t>
      </w:r>
      <w:r w:rsidR="007E5EDD">
        <w:t xml:space="preserve">‘Table 1 – Delta </w:t>
      </w:r>
      <w:proofErr w:type="gramStart"/>
      <w:r w:rsidR="007E5EDD">
        <w:t>From</w:t>
      </w:r>
      <w:proofErr w:type="gramEnd"/>
      <w:r w:rsidR="007E5EDD">
        <w:t xml:space="preserve"> Previous’ </w:t>
      </w:r>
      <w:r w:rsidRPr="00E7731E">
        <w:t>would</w:t>
      </w:r>
      <w:r w:rsidR="007E5EDD">
        <w:t xml:space="preserve"> no</w:t>
      </w:r>
      <w:r w:rsidRPr="00E7731E">
        <w:t>t add value at this point.</w:t>
      </w:r>
    </w:p>
    <w:p w14:paraId="1B468B70" w14:textId="77777777" w:rsidR="00C57F0B" w:rsidRDefault="00C57F0B" w:rsidP="00C57F0B">
      <w:pPr>
        <w:pStyle w:val="ListParagraph"/>
        <w:ind w:left="718"/>
      </w:pPr>
    </w:p>
    <w:p w14:paraId="7C7EEC06" w14:textId="429023FF" w:rsidR="00C74172" w:rsidRPr="007A3283" w:rsidRDefault="00C74172" w:rsidP="00872ED3">
      <w:pPr>
        <w:rPr>
          <w:color w:val="008576"/>
        </w:rPr>
      </w:pPr>
      <w:r>
        <w:rPr>
          <w:b/>
          <w:bCs/>
          <w:color w:val="008576"/>
        </w:rPr>
        <w:t>The</w:t>
      </w:r>
      <w:r w:rsidRPr="00C74172">
        <w:rPr>
          <w:b/>
          <w:bCs/>
          <w:color w:val="008576"/>
        </w:rPr>
        <w:t xml:space="preserve"> </w:t>
      </w:r>
      <w:r>
        <w:rPr>
          <w:b/>
          <w:bCs/>
          <w:color w:val="008576"/>
        </w:rPr>
        <w:t xml:space="preserve">stakeholder </w:t>
      </w:r>
      <w:proofErr w:type="gramStart"/>
      <w:r>
        <w:rPr>
          <w:b/>
          <w:bCs/>
          <w:color w:val="008576"/>
        </w:rPr>
        <w:t>teleconference</w:t>
      </w:r>
      <w:proofErr w:type="gramEnd"/>
    </w:p>
    <w:p w14:paraId="65419973" w14:textId="77777777" w:rsidR="00C74172" w:rsidRPr="00C74172" w:rsidRDefault="00C74172" w:rsidP="00872ED3">
      <w:pPr>
        <w:pStyle w:val="ListParagraph"/>
        <w:ind w:left="718"/>
        <w:rPr>
          <w:iCs/>
        </w:rPr>
      </w:pPr>
    </w:p>
    <w:p w14:paraId="388CA777" w14:textId="410DA529" w:rsidR="00F96131" w:rsidRPr="002678A8" w:rsidRDefault="00C74172" w:rsidP="002678A8">
      <w:pPr>
        <w:pStyle w:val="ListParagraph"/>
        <w:numPr>
          <w:ilvl w:val="1"/>
          <w:numId w:val="22"/>
        </w:numPr>
        <w:rPr>
          <w:iCs/>
        </w:rPr>
      </w:pPr>
      <w:proofErr w:type="gramStart"/>
      <w:r>
        <w:t>In regards to</w:t>
      </w:r>
      <w:proofErr w:type="gramEnd"/>
      <w:r>
        <w:t xml:space="preserve"> the presentation material for the stakeholder teleconference, i</w:t>
      </w:r>
      <w:r w:rsidR="00F96131">
        <w:t xml:space="preserve">t was noted </w:t>
      </w:r>
      <w:r w:rsidR="00F96131" w:rsidRPr="00CC1532">
        <w:t xml:space="preserve">by the only supplier in the Working Group that whilst </w:t>
      </w:r>
      <w:r w:rsidR="005B4965">
        <w:t>it may not be necessary for DNOs to prepare</w:t>
      </w:r>
      <w:r w:rsidR="00F96131" w:rsidRPr="00CC1532">
        <w:t xml:space="preserve"> slides </w:t>
      </w:r>
      <w:r w:rsidR="005B4965">
        <w:t>for the teleconference anymore, and instead just use the ‘Table 1 – Delta From Previous’</w:t>
      </w:r>
      <w:r w:rsidR="00F96131" w:rsidRPr="00CC1532">
        <w:t xml:space="preserve">, the stakeholder call </w:t>
      </w:r>
      <w:r w:rsidR="00F96131">
        <w:t xml:space="preserve">would </w:t>
      </w:r>
      <w:r w:rsidR="00F96131" w:rsidRPr="00CC1532">
        <w:t>still added value as it gives suppliers</w:t>
      </w:r>
      <w:r w:rsidR="005B4965">
        <w:t xml:space="preserve"> an</w:t>
      </w:r>
      <w:r w:rsidR="00F96131" w:rsidRPr="00CC1532">
        <w:t xml:space="preserve"> opportunity to ask questions.</w:t>
      </w:r>
    </w:p>
    <w:p w14:paraId="0701429F" w14:textId="4385F893" w:rsidR="00F96131" w:rsidRPr="005B4965" w:rsidRDefault="00F96131" w:rsidP="002678A8">
      <w:pPr>
        <w:pStyle w:val="ListParagraph"/>
        <w:numPr>
          <w:ilvl w:val="1"/>
          <w:numId w:val="22"/>
        </w:numPr>
        <w:rPr>
          <w:iCs/>
        </w:rPr>
      </w:pPr>
      <w:r>
        <w:t xml:space="preserve">It was agreed that as only the call was a mandatory requirement, and not the content of the call or how information is presented back to suppliers, i.e. slides or a spreadsheet, it would be best to allow the stakeholders on this call to informally agree on the approach for the call rather than mandating this as it would mean any future changes to the </w:t>
      </w:r>
      <w:r w:rsidR="005B4965">
        <w:t xml:space="preserve">presentation material </w:t>
      </w:r>
      <w:r>
        <w:t>would have to be passed through the formal DCUSA change proposal.</w:t>
      </w:r>
    </w:p>
    <w:p w14:paraId="491EA21F" w14:textId="34EEF46C" w:rsidR="005B4965" w:rsidRPr="00872ED3" w:rsidRDefault="005B4965" w:rsidP="00872ED3">
      <w:pPr>
        <w:rPr>
          <w:b/>
          <w:bCs/>
          <w:color w:val="008576"/>
        </w:rPr>
      </w:pPr>
      <w:r w:rsidRPr="00872ED3">
        <w:rPr>
          <w:b/>
          <w:bCs/>
          <w:color w:val="008576"/>
        </w:rPr>
        <w:t>Table 2</w:t>
      </w:r>
    </w:p>
    <w:p w14:paraId="56657EB0" w14:textId="059E01B6" w:rsidR="00F96131" w:rsidRPr="002678A8" w:rsidRDefault="00F96131" w:rsidP="002678A8">
      <w:pPr>
        <w:pStyle w:val="ListParagraph"/>
        <w:numPr>
          <w:ilvl w:val="1"/>
          <w:numId w:val="22"/>
        </w:numPr>
        <w:rPr>
          <w:iCs/>
        </w:rPr>
      </w:pPr>
      <w:proofErr w:type="gramStart"/>
      <w:r w:rsidRPr="002678A8">
        <w:rPr>
          <w:iCs/>
        </w:rPr>
        <w:t>In regards to</w:t>
      </w:r>
      <w:proofErr w:type="gramEnd"/>
      <w:r w:rsidRPr="002678A8">
        <w:rPr>
          <w:iCs/>
        </w:rPr>
        <w:t xml:space="preserve"> whether the </w:t>
      </w:r>
      <w:r w:rsidRPr="006A127F">
        <w:t>proposed Table 2</w:t>
      </w:r>
      <w:r w:rsidR="00571550">
        <w:t xml:space="preserve"> is</w:t>
      </w:r>
      <w:r w:rsidRPr="006A127F">
        <w:t xml:space="preserve"> an improvement on the existing Table</w:t>
      </w:r>
      <w:r w:rsidR="00571550">
        <w:t xml:space="preserve"> 2</w:t>
      </w:r>
      <w:r w:rsidRPr="002678A8">
        <w:rPr>
          <w:iCs/>
        </w:rPr>
        <w:t xml:space="preserve"> and the response that stated ‘the existing style is more preferable and the proposed table may be too prescriptive and not allow for any flexibility’, it was explained that this area of the template wasn’t </w:t>
      </w:r>
      <w:r w:rsidR="00571550" w:rsidRPr="002678A8">
        <w:rPr>
          <w:iCs/>
        </w:rPr>
        <w:t>pr</w:t>
      </w:r>
      <w:r w:rsidR="00571550">
        <w:rPr>
          <w:iCs/>
        </w:rPr>
        <w:t>e</w:t>
      </w:r>
      <w:r w:rsidR="00571550" w:rsidRPr="002678A8">
        <w:rPr>
          <w:iCs/>
        </w:rPr>
        <w:t xml:space="preserve">scriptive </w:t>
      </w:r>
      <w:r w:rsidRPr="002678A8">
        <w:rPr>
          <w:iCs/>
        </w:rPr>
        <w:t xml:space="preserve">and that it was purely to allow suppliers and DNOs to forecast what potential changes could look like. </w:t>
      </w:r>
    </w:p>
    <w:p w14:paraId="4444C2E6" w14:textId="19B46296" w:rsidR="00F96131" w:rsidRPr="005255AF" w:rsidRDefault="00F96131" w:rsidP="005255AF">
      <w:pPr>
        <w:pStyle w:val="ListParagraph"/>
        <w:numPr>
          <w:ilvl w:val="1"/>
          <w:numId w:val="22"/>
        </w:numPr>
        <w:rPr>
          <w:iCs/>
        </w:rPr>
      </w:pPr>
      <w:r>
        <w:rPr>
          <w:iCs/>
        </w:rPr>
        <w:t xml:space="preserve">The Working Group member who’d raised this concern stated within the Working Group that now it had been explained that the proposed </w:t>
      </w:r>
      <w:r w:rsidR="00571550">
        <w:rPr>
          <w:iCs/>
        </w:rPr>
        <w:t xml:space="preserve">Table </w:t>
      </w:r>
      <w:r>
        <w:rPr>
          <w:iCs/>
        </w:rPr>
        <w:t>2 data was purely for forecasting purposes, they were comfortable with the approach the Working Group were seeking to take.</w:t>
      </w:r>
    </w:p>
    <w:p w14:paraId="1CF5C1F5" w14:textId="77777777" w:rsidR="00F96131" w:rsidRPr="00F03FD2" w:rsidRDefault="00F96131" w:rsidP="00F03FD2">
      <w:pPr>
        <w:rPr>
          <w:b/>
          <w:bCs/>
          <w:iCs/>
          <w:color w:val="008576"/>
        </w:rPr>
      </w:pPr>
      <w:r w:rsidRPr="00F03FD2">
        <w:rPr>
          <w:b/>
          <w:bCs/>
          <w:iCs/>
          <w:color w:val="008576"/>
        </w:rPr>
        <w:t xml:space="preserve">Inflation </w:t>
      </w:r>
    </w:p>
    <w:p w14:paraId="1B1E83A9" w14:textId="4C2190C1" w:rsidR="00F96131" w:rsidRDefault="00537010" w:rsidP="005255AF">
      <w:pPr>
        <w:pStyle w:val="ListParagraph"/>
        <w:numPr>
          <w:ilvl w:val="1"/>
          <w:numId w:val="22"/>
        </w:numPr>
        <w:spacing w:line="360" w:lineRule="auto"/>
        <w:jc w:val="both"/>
        <w:rPr>
          <w:iCs/>
        </w:rPr>
      </w:pPr>
      <w:r>
        <w:rPr>
          <w:iCs/>
        </w:rPr>
        <w:t>In regards to the forecast of inflation to be used, i</w:t>
      </w:r>
      <w:r w:rsidR="00F96131" w:rsidRPr="00630B7B">
        <w:rPr>
          <w:iCs/>
        </w:rPr>
        <w:t xml:space="preserve">t was concluded that as the OBR </w:t>
      </w:r>
      <w:r>
        <w:rPr>
          <w:iCs/>
        </w:rPr>
        <w:t>forecast</w:t>
      </w:r>
      <w:r w:rsidR="00F96131" w:rsidRPr="00630B7B">
        <w:rPr>
          <w:iCs/>
        </w:rPr>
        <w:t xml:space="preserve"> is </w:t>
      </w:r>
      <w:r>
        <w:rPr>
          <w:iCs/>
        </w:rPr>
        <w:t>only published twice a year</w:t>
      </w:r>
      <w:r w:rsidR="00F96131" w:rsidRPr="00630B7B">
        <w:rPr>
          <w:iCs/>
        </w:rPr>
        <w:t xml:space="preserve">, </w:t>
      </w:r>
      <w:r>
        <w:rPr>
          <w:iCs/>
        </w:rPr>
        <w:t xml:space="preserve">and the licence only specifies that the value from the Autumn publication should be used when setting charges, </w:t>
      </w:r>
      <w:r w:rsidR="00F96131" w:rsidRPr="00630B7B">
        <w:rPr>
          <w:iCs/>
        </w:rPr>
        <w:t>this may not be the most appropriate source to use throughout the year</w:t>
      </w:r>
      <w:r>
        <w:rPr>
          <w:iCs/>
        </w:rPr>
        <w:t xml:space="preserve"> for the quarterly submissions</w:t>
      </w:r>
      <w:r w:rsidR="00F96131" w:rsidRPr="00630B7B">
        <w:rPr>
          <w:iCs/>
        </w:rPr>
        <w:t xml:space="preserve"> as the </w:t>
      </w:r>
      <w:r>
        <w:rPr>
          <w:iCs/>
        </w:rPr>
        <w:t>forecast inflation</w:t>
      </w:r>
      <w:r w:rsidR="00F96131" w:rsidRPr="00630B7B">
        <w:rPr>
          <w:iCs/>
        </w:rPr>
        <w:t xml:space="preserve"> could be very different several months </w:t>
      </w:r>
      <w:r>
        <w:rPr>
          <w:iCs/>
        </w:rPr>
        <w:t>after the Autumn OBR forecast is published</w:t>
      </w:r>
      <w:r w:rsidR="00F96131" w:rsidRPr="00630B7B">
        <w:rPr>
          <w:iCs/>
        </w:rPr>
        <w:t xml:space="preserve">. </w:t>
      </w:r>
    </w:p>
    <w:p w14:paraId="7CADB1F3" w14:textId="2824B851" w:rsidR="00F96131" w:rsidRPr="005255AF" w:rsidRDefault="00F96131" w:rsidP="005255AF">
      <w:pPr>
        <w:pStyle w:val="ListParagraph"/>
        <w:numPr>
          <w:ilvl w:val="1"/>
          <w:numId w:val="22"/>
        </w:numPr>
        <w:spacing w:line="360" w:lineRule="auto"/>
        <w:jc w:val="both"/>
        <w:rPr>
          <w:iCs/>
        </w:rPr>
      </w:pPr>
      <w:r w:rsidRPr="005255AF">
        <w:rPr>
          <w:iCs/>
        </w:rPr>
        <w:t>A vote was taken within the Working Group and those in favour of using the OBR figure for forecasting was zero of seven Working Group members. Those in favour of allowing DNOs to set the figure was five of the</w:t>
      </w:r>
      <w:r w:rsidR="00537010">
        <w:rPr>
          <w:iCs/>
        </w:rPr>
        <w:t xml:space="preserve"> s</w:t>
      </w:r>
      <w:r w:rsidRPr="005255AF">
        <w:rPr>
          <w:iCs/>
        </w:rPr>
        <w:t xml:space="preserve">even </w:t>
      </w:r>
      <w:r w:rsidR="00537010">
        <w:rPr>
          <w:iCs/>
        </w:rPr>
        <w:t>Working Group m</w:t>
      </w:r>
      <w:r w:rsidRPr="005255AF">
        <w:rPr>
          <w:iCs/>
        </w:rPr>
        <w:t>embers</w:t>
      </w:r>
      <w:r w:rsidR="00537010">
        <w:rPr>
          <w:iCs/>
        </w:rPr>
        <w:t>, with the remaining two members abstaining</w:t>
      </w:r>
      <w:r w:rsidRPr="005255AF">
        <w:rPr>
          <w:iCs/>
        </w:rPr>
        <w:t xml:space="preserve">. It was also concluded that </w:t>
      </w:r>
      <w:r w:rsidR="00537010">
        <w:rPr>
          <w:iCs/>
        </w:rPr>
        <w:t>as the</w:t>
      </w:r>
      <w:r w:rsidRPr="005255AF">
        <w:rPr>
          <w:iCs/>
        </w:rPr>
        <w:t xml:space="preserve"> current approach</w:t>
      </w:r>
      <w:r w:rsidR="00537010">
        <w:rPr>
          <w:iCs/>
        </w:rPr>
        <w:t xml:space="preserve"> is to allow DNOs to make their own forecasts</w:t>
      </w:r>
      <w:r w:rsidRPr="005255AF">
        <w:rPr>
          <w:iCs/>
        </w:rPr>
        <w:t xml:space="preserve"> and that being too prescriptive could cause issues in the future if the value become</w:t>
      </w:r>
      <w:r w:rsidR="00537010">
        <w:rPr>
          <w:iCs/>
        </w:rPr>
        <w:t>s</w:t>
      </w:r>
      <w:r w:rsidRPr="005255AF">
        <w:rPr>
          <w:iCs/>
        </w:rPr>
        <w:t xml:space="preserve"> not fit for purpose or if the frequency </w:t>
      </w:r>
      <w:r w:rsidR="00537010">
        <w:rPr>
          <w:iCs/>
        </w:rPr>
        <w:t xml:space="preserve">of publication of forecasts </w:t>
      </w:r>
      <w:r w:rsidRPr="005255AF">
        <w:rPr>
          <w:iCs/>
        </w:rPr>
        <w:t xml:space="preserve">was updated or changed. It was also highlighted that the inflation source could be </w:t>
      </w:r>
      <w:r w:rsidR="00537010">
        <w:rPr>
          <w:iCs/>
        </w:rPr>
        <w:t xml:space="preserve">discussed and </w:t>
      </w:r>
      <w:r w:rsidR="006D304F">
        <w:rPr>
          <w:iCs/>
        </w:rPr>
        <w:t>agreed</w:t>
      </w:r>
      <w:r w:rsidRPr="005255AF">
        <w:rPr>
          <w:iCs/>
        </w:rPr>
        <w:t xml:space="preserve"> on the teleconference call if suppliers wanted a different source to be used</w:t>
      </w:r>
      <w:r w:rsidR="006D304F">
        <w:rPr>
          <w:iCs/>
        </w:rPr>
        <w:t>,</w:t>
      </w:r>
      <w:r w:rsidRPr="005255AF">
        <w:rPr>
          <w:iCs/>
        </w:rPr>
        <w:t xml:space="preserve"> without the need for raising a new DCUSA change.</w:t>
      </w:r>
    </w:p>
    <w:p w14:paraId="2E90A307" w14:textId="77777777" w:rsidR="00F96131" w:rsidRPr="00F03FD2" w:rsidRDefault="00F96131" w:rsidP="00F03FD2">
      <w:pPr>
        <w:spacing w:line="360" w:lineRule="auto"/>
        <w:jc w:val="both"/>
        <w:rPr>
          <w:b/>
          <w:bCs/>
          <w:iCs/>
          <w:color w:val="008576"/>
        </w:rPr>
      </w:pPr>
      <w:r w:rsidRPr="00F03FD2">
        <w:rPr>
          <w:b/>
          <w:bCs/>
          <w:color w:val="008576"/>
        </w:rPr>
        <w:lastRenderedPageBreak/>
        <w:t>How the tables are reflected within the DCUSA legal text</w:t>
      </w:r>
    </w:p>
    <w:p w14:paraId="01AE8090" w14:textId="74DFD5DF" w:rsidR="00DD1D46" w:rsidRDefault="00F96131" w:rsidP="00F03FD2">
      <w:pPr>
        <w:pStyle w:val="ListParagraph"/>
        <w:numPr>
          <w:ilvl w:val="1"/>
          <w:numId w:val="22"/>
        </w:numPr>
        <w:spacing w:line="360" w:lineRule="auto"/>
        <w:jc w:val="both"/>
        <w:rPr>
          <w:iCs/>
        </w:rPr>
      </w:pPr>
      <w:r w:rsidRPr="00A372FA">
        <w:rPr>
          <w:iCs/>
        </w:rPr>
        <w:t>All respondents</w:t>
      </w:r>
      <w:r>
        <w:rPr>
          <w:iCs/>
        </w:rPr>
        <w:t xml:space="preserve"> and Working Group members</w:t>
      </w:r>
      <w:r w:rsidRPr="00A372FA">
        <w:rPr>
          <w:iCs/>
        </w:rPr>
        <w:t xml:space="preserve"> agreed that the tables should be </w:t>
      </w:r>
      <w:r w:rsidR="00571550">
        <w:rPr>
          <w:iCs/>
        </w:rPr>
        <w:t>provided in a template workbook</w:t>
      </w:r>
      <w:r w:rsidRPr="00A372FA">
        <w:rPr>
          <w:iCs/>
        </w:rPr>
        <w:t xml:space="preserve"> with a reference </w:t>
      </w:r>
      <w:r w:rsidR="00571550">
        <w:rPr>
          <w:iCs/>
        </w:rPr>
        <w:t xml:space="preserve">to the template </w:t>
      </w:r>
      <w:r w:rsidRPr="00A372FA">
        <w:rPr>
          <w:iCs/>
        </w:rPr>
        <w:t xml:space="preserve">in the legal </w:t>
      </w:r>
      <w:r w:rsidR="00571550">
        <w:rPr>
          <w:iCs/>
        </w:rPr>
        <w:t xml:space="preserve">text </w:t>
      </w:r>
      <w:r w:rsidRPr="00A372FA">
        <w:rPr>
          <w:iCs/>
        </w:rPr>
        <w:t>as this would allow for flexibility to update the template.</w:t>
      </w:r>
      <w:r w:rsidR="00571550">
        <w:rPr>
          <w:iCs/>
        </w:rPr>
        <w:t xml:space="preserve"> The Working Group agreed that the template should be held on the DCUSA website.</w:t>
      </w:r>
    </w:p>
    <w:p w14:paraId="673F2625" w14:textId="3E75E5C1" w:rsidR="00B938AE" w:rsidRDefault="00B938AE" w:rsidP="00F03FD2">
      <w:pPr>
        <w:pStyle w:val="ListParagraph"/>
        <w:numPr>
          <w:ilvl w:val="1"/>
          <w:numId w:val="22"/>
        </w:numPr>
        <w:spacing w:line="360" w:lineRule="auto"/>
        <w:jc w:val="both"/>
        <w:rPr>
          <w:iCs/>
        </w:rPr>
      </w:pPr>
      <w:r>
        <w:rPr>
          <w:iCs/>
        </w:rPr>
        <w:t xml:space="preserve">The Working Group agreed that whilst </w:t>
      </w:r>
      <w:r w:rsidR="00C57F0B">
        <w:rPr>
          <w:iCs/>
        </w:rPr>
        <w:t>it may seem</w:t>
      </w:r>
      <w:r w:rsidR="00010BF1">
        <w:rPr>
          <w:iCs/>
        </w:rPr>
        <w:t xml:space="preserve"> desirable to be able to </w:t>
      </w:r>
      <w:r w:rsidR="005F7B68">
        <w:rPr>
          <w:iCs/>
        </w:rPr>
        <w:t>make</w:t>
      </w:r>
      <w:r w:rsidR="00010BF1">
        <w:rPr>
          <w:iCs/>
        </w:rPr>
        <w:t xml:space="preserve"> changes to the template </w:t>
      </w:r>
      <w:r w:rsidR="00E436E0">
        <w:rPr>
          <w:iCs/>
        </w:rPr>
        <w:t>without the need for a formal</w:t>
      </w:r>
      <w:r w:rsidR="005F7B68">
        <w:rPr>
          <w:iCs/>
        </w:rPr>
        <w:t xml:space="preserve"> DCUSA</w:t>
      </w:r>
      <w:r w:rsidR="00E436E0">
        <w:rPr>
          <w:iCs/>
        </w:rPr>
        <w:t xml:space="preserve"> change proposal to be raised, </w:t>
      </w:r>
      <w:r w:rsidR="00764949">
        <w:rPr>
          <w:iCs/>
        </w:rPr>
        <w:t xml:space="preserve">any updates to the template would still require being put through the process of raising a modelling change request </w:t>
      </w:r>
      <w:r w:rsidR="00595168">
        <w:rPr>
          <w:iCs/>
        </w:rPr>
        <w:t xml:space="preserve">and then the new models being tested by industry parties. </w:t>
      </w:r>
    </w:p>
    <w:p w14:paraId="3F51FFA2" w14:textId="03134E76" w:rsidR="00B873AB" w:rsidRPr="005F7B68" w:rsidRDefault="00595168" w:rsidP="00FC755B">
      <w:pPr>
        <w:pStyle w:val="ListParagraph"/>
        <w:numPr>
          <w:ilvl w:val="1"/>
          <w:numId w:val="22"/>
        </w:numPr>
        <w:spacing w:line="360" w:lineRule="auto"/>
        <w:jc w:val="both"/>
        <w:rPr>
          <w:iCs/>
        </w:rPr>
      </w:pPr>
      <w:r>
        <w:rPr>
          <w:iCs/>
        </w:rPr>
        <w:t xml:space="preserve">Due to the above </w:t>
      </w:r>
      <w:r w:rsidR="00091DEA">
        <w:rPr>
          <w:iCs/>
        </w:rPr>
        <w:t>concerns,</w:t>
      </w:r>
      <w:r>
        <w:rPr>
          <w:iCs/>
        </w:rPr>
        <w:t xml:space="preserve"> it was agreed that the legal text would reference the templates being housed on the DUCSA website </w:t>
      </w:r>
      <w:r w:rsidR="00FC755B">
        <w:rPr>
          <w:iCs/>
        </w:rPr>
        <w:t>but also that any updates to the template would need to be passed through the usual BAU DCUSA change process.</w:t>
      </w:r>
    </w:p>
    <w:p w14:paraId="26FE14DE" w14:textId="63701EF3" w:rsidR="00571550" w:rsidRPr="00F03FD2" w:rsidRDefault="00571550" w:rsidP="00571550">
      <w:pPr>
        <w:spacing w:line="360" w:lineRule="auto"/>
        <w:jc w:val="both"/>
        <w:rPr>
          <w:b/>
          <w:bCs/>
          <w:iCs/>
          <w:color w:val="008576"/>
        </w:rPr>
      </w:pPr>
      <w:r>
        <w:rPr>
          <w:b/>
          <w:bCs/>
          <w:color w:val="008576"/>
        </w:rPr>
        <w:t>Final Solution</w:t>
      </w:r>
    </w:p>
    <w:p w14:paraId="414907D1" w14:textId="6C540AEA" w:rsidR="004A7451" w:rsidRPr="00872ED3" w:rsidRDefault="004A7451" w:rsidP="00571550">
      <w:pPr>
        <w:pStyle w:val="ListParagraph"/>
        <w:numPr>
          <w:ilvl w:val="1"/>
          <w:numId w:val="22"/>
        </w:numPr>
        <w:spacing w:line="360" w:lineRule="auto"/>
        <w:jc w:val="both"/>
        <w:rPr>
          <w:iCs/>
        </w:rPr>
      </w:pPr>
      <w:r w:rsidRPr="00872ED3">
        <w:t xml:space="preserve">Draft legal text for Schedule 15 is provided as Attachment </w:t>
      </w:r>
      <w:r w:rsidR="00872ED3" w:rsidRPr="00872ED3">
        <w:t>2</w:t>
      </w:r>
      <w:r w:rsidRPr="00872ED3">
        <w:t xml:space="preserve">. </w:t>
      </w:r>
    </w:p>
    <w:p w14:paraId="7C7349FC" w14:textId="3B12D96A" w:rsidR="00571550" w:rsidRDefault="00571550" w:rsidP="00571550">
      <w:pPr>
        <w:pStyle w:val="ListParagraph"/>
        <w:numPr>
          <w:ilvl w:val="1"/>
          <w:numId w:val="22"/>
        </w:numPr>
        <w:spacing w:line="360" w:lineRule="auto"/>
        <w:jc w:val="both"/>
        <w:rPr>
          <w:iCs/>
        </w:rPr>
      </w:pPr>
      <w:r>
        <w:rPr>
          <w:iCs/>
        </w:rPr>
        <w:t xml:space="preserve">The final template workbook </w:t>
      </w:r>
      <w:r w:rsidR="00CE4344">
        <w:rPr>
          <w:iCs/>
        </w:rPr>
        <w:t xml:space="preserve">proposed </w:t>
      </w:r>
      <w:r>
        <w:rPr>
          <w:iCs/>
        </w:rPr>
        <w:t xml:space="preserve">to be used following the approval and implementation of this CP is provided in </w:t>
      </w:r>
      <w:r w:rsidRPr="00872ED3">
        <w:rPr>
          <w:iCs/>
        </w:rPr>
        <w:t xml:space="preserve">Attachment </w:t>
      </w:r>
      <w:r w:rsidR="00872ED3" w:rsidRPr="00872ED3">
        <w:rPr>
          <w:iCs/>
        </w:rPr>
        <w:t>1</w:t>
      </w:r>
      <w:r w:rsidRPr="00872ED3">
        <w:rPr>
          <w:iCs/>
        </w:rPr>
        <w:t>.</w:t>
      </w:r>
      <w:r w:rsidR="00801F2D">
        <w:rPr>
          <w:iCs/>
        </w:rPr>
        <w:t xml:space="preserve"> </w:t>
      </w:r>
    </w:p>
    <w:p w14:paraId="7824CE4A" w14:textId="72DBB3D6" w:rsidR="00571550" w:rsidRDefault="004A7451" w:rsidP="00872ED3">
      <w:pPr>
        <w:pStyle w:val="ListParagraph"/>
        <w:numPr>
          <w:ilvl w:val="1"/>
          <w:numId w:val="22"/>
        </w:numPr>
        <w:spacing w:line="360" w:lineRule="auto"/>
        <w:jc w:val="both"/>
        <w:rPr>
          <w:iCs/>
        </w:rPr>
      </w:pPr>
      <w:r>
        <w:rPr>
          <w:iCs/>
        </w:rPr>
        <w:t xml:space="preserve">This template aligns to that described in Section </w:t>
      </w:r>
      <w:r w:rsidR="00801F2D">
        <w:rPr>
          <w:iCs/>
        </w:rPr>
        <w:t>4 above.</w:t>
      </w:r>
    </w:p>
    <w:p w14:paraId="2021FB69" w14:textId="77777777" w:rsidR="00571550" w:rsidRPr="00571550" w:rsidRDefault="00571550" w:rsidP="00872ED3">
      <w:pPr>
        <w:spacing w:line="360" w:lineRule="auto"/>
        <w:ind w:left="142"/>
        <w:jc w:val="both"/>
        <w:rPr>
          <w:iCs/>
        </w:rPr>
      </w:pPr>
    </w:p>
    <w:p w14:paraId="41B572EA" w14:textId="19891C7F" w:rsidR="00263600" w:rsidRPr="00EB32BB" w:rsidRDefault="00E27FED" w:rsidP="00293C2D">
      <w:pPr>
        <w:pStyle w:val="Heading03"/>
        <w:ind w:left="567" w:hanging="567"/>
      </w:pPr>
      <w:bookmarkStart w:id="19" w:name="_Toc125191626"/>
      <w:r>
        <w:t>Re</w:t>
      </w:r>
      <w:r w:rsidR="00263600" w:rsidRPr="00EB32BB">
        <w:t>levant</w:t>
      </w:r>
      <w:r w:rsidR="00551BF6">
        <w:t xml:space="preserve"> </w:t>
      </w:r>
      <w:r w:rsidR="00263600" w:rsidRPr="00EB32BB">
        <w:t>Objectives</w:t>
      </w:r>
      <w:bookmarkEnd w:id="16"/>
      <w:bookmarkEnd w:id="19"/>
    </w:p>
    <w:p w14:paraId="6BDE7CF0" w14:textId="32E6D95D" w:rsidR="00144C3C" w:rsidRPr="00144C3C" w:rsidRDefault="00F04DA2" w:rsidP="00144C3C">
      <w:pPr>
        <w:pStyle w:val="Heading4"/>
      </w:pPr>
      <w:r w:rsidRPr="00F04DA2">
        <w:t>A</w:t>
      </w:r>
      <w:r>
        <w:t>ssessment A</w:t>
      </w:r>
      <w:r w:rsidRPr="00F04DA2">
        <w:t xml:space="preserve">gainst the </w:t>
      </w:r>
      <w:bookmarkStart w:id="20" w:name="_Hlk134006311"/>
      <w:r>
        <w:t>DCUSA O</w:t>
      </w:r>
      <w:r w:rsidRPr="00F04DA2">
        <w:t>bjective</w:t>
      </w:r>
      <w:bookmarkEnd w:id="20"/>
      <w:r w:rsidR="00144C3C">
        <w:t>s</w:t>
      </w:r>
    </w:p>
    <w:p w14:paraId="34B188C5" w14:textId="5B313C4B" w:rsidR="00144C3C" w:rsidRPr="00144C3C" w:rsidRDefault="0055363F" w:rsidP="00144C3C">
      <w:pPr>
        <w:pStyle w:val="ListParagraph"/>
        <w:numPr>
          <w:ilvl w:val="1"/>
          <w:numId w:val="23"/>
        </w:numPr>
        <w:tabs>
          <w:tab w:val="left" w:pos="3402"/>
        </w:tabs>
        <w:spacing w:before="240" w:after="0" w:line="360" w:lineRule="auto"/>
        <w:jc w:val="both"/>
        <w:outlineLvl w:val="1"/>
        <w:rPr>
          <w:rFonts w:eastAsia="MS Gothic" w:cs="Arial"/>
          <w:iCs/>
          <w:color w:val="000000" w:themeColor="text1"/>
        </w:rPr>
      </w:pPr>
      <w:r w:rsidRPr="00144C3C">
        <w:rPr>
          <w:rFonts w:eastAsia="MS Gothic" w:cs="Arial"/>
          <w:iCs/>
          <w:color w:val="000000" w:themeColor="text1"/>
        </w:rPr>
        <w:t>For a DCUSA Change Proposal to be approved it must be demonstrated that it better facilitates the DCUSA Objectives. There are five General Objectives and six Charging Objectives. The full list of objectives is documented in the DCUSA.</w:t>
      </w:r>
    </w:p>
    <w:p w14:paraId="73A8590F" w14:textId="77777777" w:rsidR="0055363F" w:rsidRPr="001B772D" w:rsidRDefault="0055363F" w:rsidP="0055363F">
      <w:pPr>
        <w:pStyle w:val="ListParagraph"/>
        <w:numPr>
          <w:ilvl w:val="1"/>
          <w:numId w:val="23"/>
        </w:numPr>
      </w:pPr>
      <w:r w:rsidRPr="001B772D">
        <w:t xml:space="preserve">The rationale provided by the Proposer as to which of the following DCUSA Objectives are better facilitated by DCP 421 is set out in the CP form, provided as Attachment </w:t>
      </w:r>
      <w:proofErr w:type="gramStart"/>
      <w:r w:rsidRPr="001B772D">
        <w:t>2</w:t>
      </w:r>
      <w:proofErr w:type="gramEnd"/>
      <w:r w:rsidRPr="001B772D">
        <w:t xml:space="preserve"> and also detailed below.</w:t>
      </w:r>
    </w:p>
    <w:p w14:paraId="23A64561" w14:textId="19EB6388" w:rsidR="00872ED3" w:rsidRPr="00872ED3" w:rsidRDefault="0055363F" w:rsidP="00872ED3">
      <w:pPr>
        <w:pStyle w:val="ListParagraph"/>
        <w:numPr>
          <w:ilvl w:val="1"/>
          <w:numId w:val="23"/>
        </w:numPr>
        <w:tabs>
          <w:tab w:val="left" w:pos="3402"/>
        </w:tabs>
        <w:spacing w:before="240" w:after="0" w:line="360" w:lineRule="auto"/>
        <w:jc w:val="both"/>
        <w:outlineLvl w:val="1"/>
        <w:rPr>
          <w:rFonts w:eastAsia="MS Gothic" w:cs="Arial"/>
          <w:iCs/>
          <w:color w:val="000000" w:themeColor="text1"/>
        </w:rPr>
      </w:pPr>
      <w:r w:rsidRPr="0055363F">
        <w:rPr>
          <w:rFonts w:eastAsia="MS Gothic" w:cs="Arial"/>
          <w:iCs/>
          <w:color w:val="000000" w:themeColor="text1"/>
        </w:rPr>
        <w:t>As stated above, the previous electricity Distribution price control (known as RIIO-ED1) ended on 31 March 2023. The new price control (known as RIIO-ED2) will cover the five-year period from 1 April 2023 to 31 March 2028. By updating the tables within DCUSA Schedule 15 to correctly represent RIIO-ED2 allowed revenue it is believed that DCUSA General Objective 2 and 3 and DCUSA Charging Objectives 1, 2 and 4 will be better facilitated.</w:t>
      </w:r>
    </w:p>
    <w:tbl>
      <w:tblPr>
        <w:tblW w:w="5000" w:type="pct"/>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588"/>
        <w:gridCol w:w="1738"/>
      </w:tblGrid>
      <w:tr w:rsidR="00497792" w:rsidRPr="00FE4D4A" w14:paraId="329785F2" w14:textId="77777777" w:rsidTr="00FA663F">
        <w:trPr>
          <w:cantSplit/>
          <w:trHeight w:val="102"/>
        </w:trPr>
        <w:tc>
          <w:tcPr>
            <w:tcW w:w="4068" w:type="pct"/>
            <w:vAlign w:val="center"/>
          </w:tcPr>
          <w:p w14:paraId="51D1CD22" w14:textId="77777777" w:rsidR="00497792" w:rsidRPr="00845FD4" w:rsidRDefault="00497792" w:rsidP="00FA663F">
            <w:pPr>
              <w:pStyle w:val="Heading4"/>
              <w:keepLines/>
              <w:spacing w:before="120"/>
              <w:jc w:val="center"/>
            </w:pPr>
            <w:r w:rsidRPr="00D30CB9">
              <w:t xml:space="preserve">DCUSA </w:t>
            </w:r>
            <w:r>
              <w:t>General</w:t>
            </w:r>
            <w:r w:rsidRPr="00D30CB9">
              <w:t xml:space="preserve"> Objectives</w:t>
            </w:r>
          </w:p>
        </w:tc>
        <w:tc>
          <w:tcPr>
            <w:tcW w:w="932" w:type="pct"/>
            <w:vAlign w:val="center"/>
          </w:tcPr>
          <w:p w14:paraId="78B77F31" w14:textId="77777777" w:rsidR="00497792" w:rsidRPr="00FE4D4A" w:rsidRDefault="00497792" w:rsidP="00FA663F">
            <w:pPr>
              <w:keepLines/>
              <w:ind w:left="57" w:right="57"/>
            </w:pPr>
            <w:r w:rsidRPr="0060253F">
              <w:rPr>
                <w:b/>
              </w:rPr>
              <w:t>Identified impact</w:t>
            </w:r>
          </w:p>
        </w:tc>
      </w:tr>
      <w:tr w:rsidR="00497792" w:rsidRPr="002622D5" w14:paraId="24244598" w14:textId="77777777" w:rsidTr="00FA663F">
        <w:trPr>
          <w:cantSplit/>
          <w:trHeight w:val="102"/>
        </w:trPr>
        <w:tc>
          <w:tcPr>
            <w:tcW w:w="4068" w:type="pct"/>
          </w:tcPr>
          <w:p w14:paraId="79FA543A" w14:textId="77777777" w:rsidR="00497792" w:rsidRPr="00FE4D4A" w:rsidRDefault="00497792" w:rsidP="00497792">
            <w:pPr>
              <w:pStyle w:val="ListParagraph"/>
              <w:keepLines/>
              <w:numPr>
                <w:ilvl w:val="0"/>
                <w:numId w:val="36"/>
              </w:numPr>
              <w:ind w:left="396" w:right="113" w:hanging="284"/>
              <w:jc w:val="both"/>
              <w:rPr>
                <w:rFonts w:cs="Arial"/>
                <w:noProof/>
              </w:rPr>
            </w:pPr>
            <w:r>
              <w:t xml:space="preserve">The development, </w:t>
            </w:r>
            <w:proofErr w:type="gramStart"/>
            <w:r>
              <w:t>maintenance</w:t>
            </w:r>
            <w:proofErr w:type="gramEnd"/>
            <w:r>
              <w:t xml:space="preserve"> and operation by the DNO Parties and IDNO Parties of efficient, co-ordinated, and economical Distribution Network</w:t>
            </w:r>
          </w:p>
        </w:tc>
        <w:tc>
          <w:tcPr>
            <w:tcW w:w="932" w:type="pct"/>
          </w:tcPr>
          <w:p w14:paraId="137E2192" w14:textId="77777777" w:rsidR="00497792" w:rsidRPr="007D583B" w:rsidRDefault="00497792" w:rsidP="00FA663F">
            <w:r w:rsidRPr="00173CB9">
              <w:t>None</w:t>
            </w:r>
          </w:p>
          <w:p w14:paraId="68DA921D" w14:textId="77777777" w:rsidR="00497792" w:rsidRPr="002622D5" w:rsidRDefault="00497792" w:rsidP="00FA663F">
            <w:pPr>
              <w:keepLines/>
              <w:ind w:left="113" w:right="113"/>
              <w:rPr>
                <w:b/>
                <w:bCs/>
              </w:rPr>
            </w:pPr>
          </w:p>
        </w:tc>
      </w:tr>
      <w:tr w:rsidR="00497792" w:rsidRPr="007D583B" w14:paraId="21A07F60" w14:textId="77777777" w:rsidTr="00872ED3">
        <w:trPr>
          <w:cantSplit/>
          <w:trHeight w:val="1167"/>
        </w:trPr>
        <w:tc>
          <w:tcPr>
            <w:tcW w:w="4068" w:type="pct"/>
          </w:tcPr>
          <w:p w14:paraId="1E8E90A4" w14:textId="397C8E51" w:rsidR="00497792" w:rsidRPr="00E96223" w:rsidRDefault="00497792" w:rsidP="00497792">
            <w:pPr>
              <w:pStyle w:val="ListParagraph"/>
              <w:keepLines/>
              <w:numPr>
                <w:ilvl w:val="0"/>
                <w:numId w:val="36"/>
              </w:numPr>
              <w:ind w:left="396" w:right="113" w:hanging="284"/>
              <w:jc w:val="both"/>
              <w:rPr>
                <w:rFonts w:cs="Arial"/>
                <w:noProof/>
              </w:rPr>
            </w:pPr>
            <w:r>
              <w:lastRenderedPageBreak/>
              <w:t xml:space="preserve"> The facilitation of effective competition in the generation and supply of electricity and (so far as is consistent therewith) the promotion of such competition in the sale, </w:t>
            </w:r>
            <w:proofErr w:type="gramStart"/>
            <w:r>
              <w:t>distribution</w:t>
            </w:r>
            <w:proofErr w:type="gramEnd"/>
            <w:r>
              <w:t xml:space="preserve"> and purchase of electricity</w:t>
            </w:r>
            <w:r>
              <w:rPr>
                <w:rFonts w:cs="Arial"/>
                <w:noProof/>
              </w:rPr>
              <w:t>).</w:t>
            </w:r>
          </w:p>
        </w:tc>
        <w:tc>
          <w:tcPr>
            <w:tcW w:w="932" w:type="pct"/>
          </w:tcPr>
          <w:p w14:paraId="5E4FB4CD" w14:textId="77777777" w:rsidR="00497792" w:rsidRDefault="00497792" w:rsidP="00FA663F">
            <w:pPr>
              <w:rPr>
                <w:b/>
                <w:bCs/>
                <w:color w:val="538135" w:themeColor="accent6" w:themeShade="BF"/>
              </w:rPr>
            </w:pPr>
            <w:r w:rsidRPr="002622D5">
              <w:rPr>
                <w:b/>
                <w:bCs/>
                <w:color w:val="538135" w:themeColor="accent6" w:themeShade="BF"/>
              </w:rPr>
              <w:t>Positive</w:t>
            </w:r>
          </w:p>
          <w:p w14:paraId="32D7F26B" w14:textId="77777777" w:rsidR="00497792" w:rsidRDefault="00497792" w:rsidP="00FA663F">
            <w:pPr>
              <w:rPr>
                <w:b/>
                <w:bCs/>
                <w:color w:val="538135" w:themeColor="accent6" w:themeShade="BF"/>
              </w:rPr>
            </w:pPr>
          </w:p>
          <w:p w14:paraId="217BB376" w14:textId="77777777" w:rsidR="00497792" w:rsidRPr="007D583B" w:rsidRDefault="00497792" w:rsidP="00FA663F"/>
        </w:tc>
      </w:tr>
      <w:tr w:rsidR="00497792" w:rsidRPr="00173CB9" w14:paraId="0DC825F0" w14:textId="77777777" w:rsidTr="00FA663F">
        <w:trPr>
          <w:cantSplit/>
          <w:trHeight w:val="1232"/>
        </w:trPr>
        <w:tc>
          <w:tcPr>
            <w:tcW w:w="4068" w:type="pct"/>
          </w:tcPr>
          <w:p w14:paraId="2543409F" w14:textId="77777777" w:rsidR="00497792" w:rsidRPr="00441C23" w:rsidRDefault="00497792" w:rsidP="00497792">
            <w:pPr>
              <w:pStyle w:val="ListParagraph"/>
              <w:keepLines/>
              <w:numPr>
                <w:ilvl w:val="0"/>
                <w:numId w:val="36"/>
              </w:numPr>
              <w:ind w:left="396" w:right="113" w:hanging="284"/>
              <w:jc w:val="both"/>
              <w:rPr>
                <w:rFonts w:cs="Arial"/>
                <w:noProof/>
              </w:rPr>
            </w:pPr>
            <w:r>
              <w:t>The efficient discharge by the DNO Parties and IDNO Parties of obligations imposed upon them in their Distribution Licences.</w:t>
            </w:r>
          </w:p>
        </w:tc>
        <w:tc>
          <w:tcPr>
            <w:tcW w:w="932" w:type="pct"/>
          </w:tcPr>
          <w:p w14:paraId="2012D6D3" w14:textId="77777777" w:rsidR="00497792" w:rsidRPr="00173CB9" w:rsidRDefault="00497792" w:rsidP="00FA663F">
            <w:r w:rsidRPr="002622D5">
              <w:rPr>
                <w:b/>
                <w:bCs/>
                <w:color w:val="538135" w:themeColor="accent6" w:themeShade="BF"/>
              </w:rPr>
              <w:t>Positive</w:t>
            </w:r>
          </w:p>
        </w:tc>
      </w:tr>
      <w:tr w:rsidR="00497792" w:rsidRPr="00FE4D4A" w14:paraId="149B9105" w14:textId="77777777" w:rsidTr="00FA663F">
        <w:trPr>
          <w:cantSplit/>
          <w:trHeight w:val="102"/>
        </w:trPr>
        <w:tc>
          <w:tcPr>
            <w:tcW w:w="4068" w:type="pct"/>
          </w:tcPr>
          <w:p w14:paraId="52640E07" w14:textId="77777777" w:rsidR="00497792" w:rsidRPr="00441C23" w:rsidRDefault="00497792" w:rsidP="00497792">
            <w:pPr>
              <w:pStyle w:val="ListParagraph"/>
              <w:keepLines/>
              <w:numPr>
                <w:ilvl w:val="0"/>
                <w:numId w:val="36"/>
              </w:numPr>
              <w:ind w:left="396" w:right="113" w:hanging="284"/>
              <w:jc w:val="both"/>
              <w:rPr>
                <w:rFonts w:cs="Arial"/>
                <w:noProof/>
              </w:rPr>
            </w:pPr>
            <w:r>
              <w:t>The promotion of efficiency in the implementation and administration of the DCUSA.</w:t>
            </w:r>
          </w:p>
        </w:tc>
        <w:tc>
          <w:tcPr>
            <w:tcW w:w="932" w:type="pct"/>
          </w:tcPr>
          <w:p w14:paraId="637AF1F7" w14:textId="77777777" w:rsidR="00497792" w:rsidRPr="007D583B" w:rsidRDefault="00497792" w:rsidP="00FA663F">
            <w:r w:rsidRPr="00173CB9">
              <w:t>None</w:t>
            </w:r>
          </w:p>
          <w:p w14:paraId="7EA17F3F" w14:textId="77777777" w:rsidR="00497792" w:rsidRPr="00FE4D4A" w:rsidRDefault="00497792" w:rsidP="00FA663F">
            <w:pPr>
              <w:keepLines/>
              <w:ind w:left="113" w:right="113"/>
            </w:pPr>
          </w:p>
        </w:tc>
      </w:tr>
      <w:tr w:rsidR="00497792" w:rsidRPr="00FE4D4A" w14:paraId="41321384" w14:textId="77777777" w:rsidTr="00FA663F">
        <w:trPr>
          <w:cantSplit/>
          <w:trHeight w:val="102"/>
        </w:trPr>
        <w:tc>
          <w:tcPr>
            <w:tcW w:w="4068" w:type="pct"/>
          </w:tcPr>
          <w:p w14:paraId="2F172D7B" w14:textId="77777777" w:rsidR="00497792" w:rsidRPr="0060253F" w:rsidRDefault="00497792" w:rsidP="00497792">
            <w:pPr>
              <w:pStyle w:val="ListParagraph"/>
              <w:keepLines/>
              <w:numPr>
                <w:ilvl w:val="0"/>
                <w:numId w:val="36"/>
              </w:numPr>
              <w:ind w:left="396" w:right="113" w:hanging="284"/>
              <w:jc w:val="both"/>
              <w:rPr>
                <w:rFonts w:cs="Arial"/>
                <w:noProof/>
              </w:rPr>
            </w:pPr>
            <w:r>
              <w:t>Compliance with the EU Internal Market Regulation and any relevant legally binding decisions of the European Commission and/or the Agency for the Co-operation of Energy Regulators</w:t>
            </w:r>
          </w:p>
        </w:tc>
        <w:tc>
          <w:tcPr>
            <w:tcW w:w="932" w:type="pct"/>
          </w:tcPr>
          <w:p w14:paraId="27389829" w14:textId="77777777" w:rsidR="00497792" w:rsidRPr="00FE4D4A" w:rsidRDefault="00497792" w:rsidP="00FA663F">
            <w:pPr>
              <w:keepLines/>
              <w:ind w:left="113" w:right="113"/>
            </w:pPr>
            <w:r w:rsidRPr="00173CB9">
              <w:t>None</w:t>
            </w:r>
          </w:p>
        </w:tc>
      </w:tr>
    </w:tbl>
    <w:p w14:paraId="3C0974C7" w14:textId="77777777" w:rsidR="00497792" w:rsidRDefault="00497792" w:rsidP="00497792">
      <w:pPr>
        <w:pStyle w:val="ListParagraph"/>
        <w:tabs>
          <w:tab w:val="left" w:pos="3402"/>
        </w:tabs>
        <w:spacing w:before="240" w:after="0" w:line="360" w:lineRule="auto"/>
        <w:ind w:left="718"/>
        <w:jc w:val="both"/>
        <w:outlineLvl w:val="1"/>
        <w:rPr>
          <w:rFonts w:eastAsia="MS Gothic" w:cs="Arial"/>
          <w:iCs/>
          <w:color w:val="000000" w:themeColor="text1"/>
        </w:rPr>
      </w:pPr>
    </w:p>
    <w:p w14:paraId="36E5E587" w14:textId="77777777" w:rsidR="00B7116D" w:rsidRPr="00872ED3" w:rsidRDefault="00B7116D" w:rsidP="00872ED3">
      <w:pPr>
        <w:tabs>
          <w:tab w:val="left" w:pos="3402"/>
        </w:tabs>
        <w:spacing w:before="240" w:after="0" w:line="360" w:lineRule="auto"/>
        <w:jc w:val="both"/>
        <w:outlineLvl w:val="1"/>
        <w:rPr>
          <w:rFonts w:eastAsia="MS Gothic" w:cs="Arial"/>
          <w:iCs/>
          <w:color w:val="000000" w:themeColor="text1"/>
        </w:rPr>
      </w:pPr>
    </w:p>
    <w:tbl>
      <w:tblPr>
        <w:tblW w:w="5000" w:type="pct"/>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588"/>
        <w:gridCol w:w="1738"/>
      </w:tblGrid>
      <w:tr w:rsidR="00B7116D" w:rsidRPr="00441C23" w14:paraId="12C64B3A" w14:textId="77777777" w:rsidTr="00FA663F">
        <w:trPr>
          <w:cantSplit/>
          <w:trHeight w:val="102"/>
        </w:trPr>
        <w:tc>
          <w:tcPr>
            <w:tcW w:w="4068" w:type="pct"/>
            <w:vAlign w:val="center"/>
          </w:tcPr>
          <w:p w14:paraId="6F2A298F" w14:textId="77777777" w:rsidR="00B7116D" w:rsidRPr="00845FD4" w:rsidRDefault="00B7116D" w:rsidP="00FA663F">
            <w:pPr>
              <w:pStyle w:val="Heading4"/>
              <w:keepLines/>
              <w:spacing w:before="120"/>
              <w:jc w:val="center"/>
            </w:pPr>
            <w:r w:rsidRPr="00D30CB9">
              <w:t xml:space="preserve">DCUSA </w:t>
            </w:r>
            <w:r>
              <w:t>Charging</w:t>
            </w:r>
            <w:r w:rsidRPr="00D30CB9">
              <w:t xml:space="preserve"> Objectives</w:t>
            </w:r>
          </w:p>
        </w:tc>
        <w:tc>
          <w:tcPr>
            <w:tcW w:w="932" w:type="pct"/>
            <w:vAlign w:val="center"/>
          </w:tcPr>
          <w:p w14:paraId="3F895673" w14:textId="77777777" w:rsidR="00B7116D" w:rsidRPr="00FE4D4A" w:rsidRDefault="00B7116D" w:rsidP="00FA663F">
            <w:pPr>
              <w:keepLines/>
              <w:ind w:left="57" w:right="57"/>
            </w:pPr>
            <w:r w:rsidRPr="0060253F">
              <w:rPr>
                <w:b/>
              </w:rPr>
              <w:t>Identified impact</w:t>
            </w:r>
          </w:p>
        </w:tc>
      </w:tr>
      <w:tr w:rsidR="00B7116D" w:rsidRPr="00674659" w14:paraId="073736FB" w14:textId="77777777" w:rsidTr="00FA663F">
        <w:trPr>
          <w:cantSplit/>
          <w:trHeight w:val="102"/>
        </w:trPr>
        <w:tc>
          <w:tcPr>
            <w:tcW w:w="4068" w:type="pct"/>
          </w:tcPr>
          <w:p w14:paraId="5C40B48E" w14:textId="30CDBB39" w:rsidR="00B7116D" w:rsidRPr="00FE4D4A" w:rsidRDefault="00103A9F" w:rsidP="00872ED3">
            <w:pPr>
              <w:pStyle w:val="ListParagraph"/>
              <w:keepLines/>
              <w:numPr>
                <w:ilvl w:val="0"/>
                <w:numId w:val="37"/>
              </w:numPr>
              <w:ind w:left="396" w:right="113" w:hanging="284"/>
              <w:jc w:val="both"/>
              <w:rPr>
                <w:rFonts w:cs="Arial"/>
                <w:noProof/>
              </w:rPr>
            </w:pPr>
            <w:r>
              <w:rPr>
                <w:rFonts w:cs="Arial"/>
                <w:noProof/>
              </w:rPr>
              <w:t>T</w:t>
            </w:r>
            <w:r w:rsidR="00B7116D" w:rsidRPr="00441C23">
              <w:rPr>
                <w:rFonts w:cs="Arial"/>
                <w:noProof/>
              </w:rPr>
              <w:t>hat compliance by each DNO Party with the Charging Methodologies facilitates the discharge by the DNO Party of the obligations imposed on it under the Act and by its Distribution Licence</w:t>
            </w:r>
          </w:p>
        </w:tc>
        <w:tc>
          <w:tcPr>
            <w:tcW w:w="932" w:type="pct"/>
          </w:tcPr>
          <w:p w14:paraId="395B862D" w14:textId="77777777" w:rsidR="00B7116D" w:rsidRPr="002622D5" w:rsidRDefault="00B7116D" w:rsidP="00FA663F">
            <w:pPr>
              <w:keepLines/>
              <w:ind w:left="113" w:right="113"/>
              <w:rPr>
                <w:b/>
                <w:bCs/>
              </w:rPr>
            </w:pPr>
            <w:r w:rsidRPr="002622D5">
              <w:rPr>
                <w:b/>
                <w:bCs/>
                <w:color w:val="538135" w:themeColor="accent6" w:themeShade="BF"/>
              </w:rPr>
              <w:t>Positive</w:t>
            </w:r>
          </w:p>
        </w:tc>
      </w:tr>
      <w:tr w:rsidR="00B7116D" w:rsidRPr="00674659" w14:paraId="7B28F536" w14:textId="77777777" w:rsidTr="00FA663F">
        <w:trPr>
          <w:cantSplit/>
          <w:trHeight w:val="1517"/>
        </w:trPr>
        <w:tc>
          <w:tcPr>
            <w:tcW w:w="4068" w:type="pct"/>
          </w:tcPr>
          <w:p w14:paraId="6C44EB5C" w14:textId="5741FFF2" w:rsidR="00B7116D" w:rsidRPr="0060253F" w:rsidRDefault="00103A9F" w:rsidP="00B7116D">
            <w:pPr>
              <w:pStyle w:val="ListParagraph"/>
              <w:keepLines/>
              <w:numPr>
                <w:ilvl w:val="0"/>
                <w:numId w:val="37"/>
              </w:numPr>
              <w:ind w:left="396" w:right="113" w:hanging="284"/>
              <w:jc w:val="both"/>
              <w:rPr>
                <w:rFonts w:cs="Arial"/>
                <w:noProof/>
              </w:rPr>
            </w:pPr>
            <w:r>
              <w:rPr>
                <w:rFonts w:cs="Arial"/>
                <w:noProof/>
              </w:rPr>
              <w:t>T</w:t>
            </w:r>
            <w:r w:rsidR="00B7116D" w:rsidRPr="00441C23">
              <w:rPr>
                <w:rFonts w:cs="Arial"/>
                <w:noProof/>
              </w:rPr>
              <w: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932" w:type="pct"/>
          </w:tcPr>
          <w:p w14:paraId="2B0620C2" w14:textId="77777777" w:rsidR="00B7116D" w:rsidRDefault="00B7116D" w:rsidP="00FA663F">
            <w:pPr>
              <w:rPr>
                <w:b/>
                <w:bCs/>
                <w:color w:val="538135" w:themeColor="accent6" w:themeShade="BF"/>
              </w:rPr>
            </w:pPr>
            <w:r w:rsidRPr="002622D5">
              <w:rPr>
                <w:b/>
                <w:bCs/>
                <w:color w:val="538135" w:themeColor="accent6" w:themeShade="BF"/>
              </w:rPr>
              <w:t>Positive</w:t>
            </w:r>
          </w:p>
          <w:p w14:paraId="25238187" w14:textId="77777777" w:rsidR="00B7116D" w:rsidRDefault="00B7116D" w:rsidP="00FA663F">
            <w:pPr>
              <w:rPr>
                <w:b/>
                <w:bCs/>
                <w:color w:val="538135" w:themeColor="accent6" w:themeShade="BF"/>
              </w:rPr>
            </w:pPr>
          </w:p>
          <w:p w14:paraId="5E2CE3B8" w14:textId="77777777" w:rsidR="00B7116D" w:rsidRPr="007D583B" w:rsidRDefault="00B7116D" w:rsidP="00FA663F"/>
        </w:tc>
      </w:tr>
      <w:tr w:rsidR="00B7116D" w:rsidRPr="00674659" w14:paraId="10D8B58B" w14:textId="77777777" w:rsidTr="00FA663F">
        <w:trPr>
          <w:cantSplit/>
          <w:trHeight w:val="1232"/>
        </w:trPr>
        <w:tc>
          <w:tcPr>
            <w:tcW w:w="4068" w:type="pct"/>
          </w:tcPr>
          <w:p w14:paraId="6D5423FB" w14:textId="451E29DE" w:rsidR="00B7116D" w:rsidRPr="00441C23" w:rsidRDefault="00103A9F" w:rsidP="00B7116D">
            <w:pPr>
              <w:pStyle w:val="ListParagraph"/>
              <w:keepLines/>
              <w:numPr>
                <w:ilvl w:val="0"/>
                <w:numId w:val="37"/>
              </w:numPr>
              <w:ind w:left="396" w:right="113" w:hanging="284"/>
              <w:jc w:val="both"/>
              <w:rPr>
                <w:rFonts w:cs="Arial"/>
                <w:noProof/>
              </w:rPr>
            </w:pPr>
            <w:r>
              <w:rPr>
                <w:rFonts w:cs="Arial"/>
                <w:noProof/>
              </w:rPr>
              <w:t>T</w:t>
            </w:r>
            <w:r w:rsidR="00B7116D" w:rsidRPr="00E46C74">
              <w:rPr>
                <w:rFonts w:cs="Arial"/>
                <w:noProof/>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932" w:type="pct"/>
          </w:tcPr>
          <w:p w14:paraId="4FF54EB1" w14:textId="77777777" w:rsidR="00B7116D" w:rsidRPr="00173CB9" w:rsidRDefault="00B7116D" w:rsidP="00FA663F">
            <w:r w:rsidRPr="00173CB9">
              <w:t>None</w:t>
            </w:r>
          </w:p>
        </w:tc>
      </w:tr>
      <w:tr w:rsidR="00B7116D" w:rsidRPr="00674659" w14:paraId="2DFE68AF" w14:textId="77777777" w:rsidTr="00FA663F">
        <w:trPr>
          <w:cantSplit/>
          <w:trHeight w:val="102"/>
        </w:trPr>
        <w:tc>
          <w:tcPr>
            <w:tcW w:w="4068" w:type="pct"/>
          </w:tcPr>
          <w:p w14:paraId="64B955C8" w14:textId="75D70698" w:rsidR="00B7116D" w:rsidRPr="00441C23" w:rsidRDefault="00103A9F" w:rsidP="00B7116D">
            <w:pPr>
              <w:pStyle w:val="ListParagraph"/>
              <w:keepLines/>
              <w:numPr>
                <w:ilvl w:val="0"/>
                <w:numId w:val="37"/>
              </w:numPr>
              <w:ind w:left="396" w:right="113" w:hanging="284"/>
              <w:jc w:val="both"/>
              <w:rPr>
                <w:rFonts w:cs="Arial"/>
                <w:noProof/>
              </w:rPr>
            </w:pPr>
            <w:r>
              <w:rPr>
                <w:rFonts w:cs="Arial"/>
                <w:noProof/>
              </w:rPr>
              <w:t>T</w:t>
            </w:r>
            <w:r w:rsidR="00B7116D" w:rsidRPr="00441C23">
              <w:rPr>
                <w:rFonts w:cs="Arial"/>
                <w:noProof/>
              </w:rPr>
              <w:t>hat, so far as is consistent with Clauses 3.2.1 to 3.2.3, the Charging Methodologies, so far as is reasonably practicable, properly take account of developments in each DNO Party’s Distribution Business</w:t>
            </w:r>
          </w:p>
        </w:tc>
        <w:tc>
          <w:tcPr>
            <w:tcW w:w="932" w:type="pct"/>
          </w:tcPr>
          <w:p w14:paraId="351CD404" w14:textId="77777777" w:rsidR="00B7116D" w:rsidRPr="00FE4D4A" w:rsidRDefault="00B7116D" w:rsidP="00FA663F">
            <w:pPr>
              <w:keepLines/>
              <w:ind w:left="113" w:right="113"/>
            </w:pPr>
            <w:r w:rsidRPr="002622D5">
              <w:rPr>
                <w:b/>
                <w:bCs/>
                <w:color w:val="538135" w:themeColor="accent6" w:themeShade="BF"/>
              </w:rPr>
              <w:t>Positive</w:t>
            </w:r>
          </w:p>
        </w:tc>
      </w:tr>
      <w:tr w:rsidR="00B7116D" w:rsidRPr="00674659" w14:paraId="5D081086" w14:textId="77777777" w:rsidTr="00FA663F">
        <w:trPr>
          <w:cantSplit/>
          <w:trHeight w:val="102"/>
        </w:trPr>
        <w:tc>
          <w:tcPr>
            <w:tcW w:w="4068" w:type="pct"/>
          </w:tcPr>
          <w:p w14:paraId="1402C324" w14:textId="0302635A" w:rsidR="00B7116D" w:rsidRPr="0060253F" w:rsidRDefault="00103A9F" w:rsidP="00B7116D">
            <w:pPr>
              <w:pStyle w:val="ListParagraph"/>
              <w:keepLines/>
              <w:numPr>
                <w:ilvl w:val="0"/>
                <w:numId w:val="37"/>
              </w:numPr>
              <w:ind w:left="396" w:right="113" w:hanging="284"/>
              <w:jc w:val="both"/>
              <w:rPr>
                <w:rFonts w:cs="Arial"/>
                <w:noProof/>
              </w:rPr>
            </w:pPr>
            <w:r>
              <w:rPr>
                <w:rFonts w:cs="Arial"/>
                <w:noProof/>
              </w:rPr>
              <w:t>T</w:t>
            </w:r>
            <w:r w:rsidR="00B7116D" w:rsidRPr="00441C23">
              <w:rPr>
                <w:rFonts w:cs="Arial"/>
                <w:noProof/>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c>
          <w:tcPr>
            <w:tcW w:w="932" w:type="pct"/>
          </w:tcPr>
          <w:p w14:paraId="4904ED15" w14:textId="77777777" w:rsidR="00B7116D" w:rsidRPr="00FE4D4A" w:rsidRDefault="00B7116D" w:rsidP="00FA663F">
            <w:pPr>
              <w:keepLines/>
              <w:ind w:left="113" w:right="113"/>
            </w:pPr>
            <w:r w:rsidRPr="00173CB9">
              <w:t>None</w:t>
            </w:r>
          </w:p>
        </w:tc>
      </w:tr>
      <w:tr w:rsidR="00B7116D" w:rsidRPr="00674659" w14:paraId="67C24073" w14:textId="77777777" w:rsidTr="00FA663F">
        <w:trPr>
          <w:cantSplit/>
          <w:trHeight w:val="102"/>
        </w:trPr>
        <w:tc>
          <w:tcPr>
            <w:tcW w:w="4068" w:type="pct"/>
          </w:tcPr>
          <w:p w14:paraId="196ED2FA" w14:textId="5303FC4A" w:rsidR="00B7116D" w:rsidRPr="0060253F" w:rsidRDefault="00103A9F" w:rsidP="00B7116D">
            <w:pPr>
              <w:pStyle w:val="ListParagraph"/>
              <w:keepLines/>
              <w:numPr>
                <w:ilvl w:val="0"/>
                <w:numId w:val="37"/>
              </w:numPr>
              <w:ind w:left="396" w:right="113" w:hanging="284"/>
              <w:jc w:val="both"/>
              <w:rPr>
                <w:rFonts w:cs="Arial"/>
                <w:noProof/>
              </w:rPr>
            </w:pPr>
            <w:r>
              <w:rPr>
                <w:rFonts w:cs="Arial"/>
                <w:noProof/>
              </w:rPr>
              <w:t>T</w:t>
            </w:r>
            <w:r w:rsidR="00B7116D" w:rsidRPr="00F246F3">
              <w:rPr>
                <w:rFonts w:cs="Arial"/>
                <w:noProof/>
              </w:rPr>
              <w:t>hat compliance with the Charging Methodologies promotes efficiency in its own implementation and administration</w:t>
            </w:r>
            <w:r w:rsidR="00B7116D" w:rsidRPr="00441C23">
              <w:rPr>
                <w:rFonts w:cs="Arial"/>
                <w:noProof/>
              </w:rPr>
              <w:t>.</w:t>
            </w:r>
          </w:p>
        </w:tc>
        <w:tc>
          <w:tcPr>
            <w:tcW w:w="932" w:type="pct"/>
          </w:tcPr>
          <w:p w14:paraId="4BA082AF" w14:textId="77777777" w:rsidR="00B7116D" w:rsidRDefault="00B7116D" w:rsidP="00FA663F">
            <w:pPr>
              <w:keepLines/>
              <w:ind w:left="113" w:right="113"/>
            </w:pPr>
            <w:r w:rsidRPr="00173CB9">
              <w:t>None</w:t>
            </w:r>
          </w:p>
        </w:tc>
      </w:tr>
    </w:tbl>
    <w:p w14:paraId="6FFB7C70" w14:textId="77777777" w:rsidR="002A2E6A" w:rsidRPr="00D35D77" w:rsidRDefault="002A2E6A" w:rsidP="00D35D77">
      <w:pPr>
        <w:rPr>
          <w:rFonts w:eastAsia="MS Gothic" w:cs="Arial"/>
          <w:iCs/>
          <w:color w:val="000000" w:themeColor="text1"/>
        </w:rPr>
      </w:pPr>
    </w:p>
    <w:p w14:paraId="6DAC2B49" w14:textId="49A764FE" w:rsidR="00574742" w:rsidRPr="00EB32BB" w:rsidRDefault="00574742" w:rsidP="006D62F9">
      <w:pPr>
        <w:pStyle w:val="Heading03"/>
        <w:rPr>
          <w:noProof/>
        </w:rPr>
      </w:pPr>
      <w:bookmarkStart w:id="21" w:name="_Toc125191627"/>
      <w:r w:rsidRPr="00EB32BB">
        <w:rPr>
          <w:noProof/>
        </w:rPr>
        <w:t xml:space="preserve">Impacts </w:t>
      </w:r>
      <w:r>
        <w:rPr>
          <w:noProof/>
        </w:rPr>
        <w:t>&amp; Other Considerations</w:t>
      </w:r>
      <w:bookmarkEnd w:id="21"/>
    </w:p>
    <w:p w14:paraId="4A3A027A" w14:textId="772CFD88" w:rsidR="00C479AA" w:rsidRPr="00293C2D" w:rsidRDefault="00AD6FCF" w:rsidP="00AD6FCF">
      <w:pPr>
        <w:pStyle w:val="Heading4"/>
        <w:keepNext w:val="0"/>
      </w:pPr>
      <w:bookmarkStart w:id="22" w:name="_Toc318967201"/>
      <w:r>
        <w:t xml:space="preserve">Impacts on other </w:t>
      </w:r>
      <w:r w:rsidR="00C479AA" w:rsidRPr="004155E5">
        <w:t xml:space="preserve">Industry </w:t>
      </w:r>
      <w:r>
        <w:t>Codes</w:t>
      </w:r>
    </w:p>
    <w:p w14:paraId="148F9F79" w14:textId="5B88E9CA" w:rsidR="00211374" w:rsidRPr="005D71EC" w:rsidRDefault="005D71EC" w:rsidP="005D71EC">
      <w:pPr>
        <w:pStyle w:val="ListParagraph"/>
        <w:numPr>
          <w:ilvl w:val="1"/>
          <w:numId w:val="24"/>
        </w:numPr>
        <w:tabs>
          <w:tab w:val="left" w:pos="3402"/>
        </w:tabs>
        <w:spacing w:before="240" w:after="0" w:line="360" w:lineRule="auto"/>
        <w:jc w:val="both"/>
        <w:outlineLvl w:val="1"/>
        <w:rPr>
          <w:rFonts w:eastAsia="MS Gothic" w:cs="Arial"/>
          <w:b/>
          <w:bCs/>
          <w:iCs/>
        </w:rPr>
      </w:pPr>
      <w:r w:rsidRPr="005D71EC">
        <w:rPr>
          <w:rFonts w:eastAsia="MS Gothic" w:cs="Arial"/>
          <w:iCs/>
        </w:rPr>
        <w:t>The Working Group acknowledge that there will be interactions with DCP 325</w:t>
      </w:r>
      <w:r w:rsidRPr="005D71EC">
        <w:rPr>
          <w:rFonts w:eastAsia="MS Gothic" w:cs="Arial"/>
          <w:b/>
          <w:bCs/>
          <w:iCs/>
        </w:rPr>
        <w:t xml:space="preserve"> </w:t>
      </w:r>
      <w:r w:rsidRPr="005D71EC">
        <w:rPr>
          <w:rFonts w:eastAsia="MS Gothic" w:cs="Arial"/>
          <w:iCs/>
        </w:rPr>
        <w:t xml:space="preserve">however, </w:t>
      </w:r>
      <w:r w:rsidRPr="00636F50">
        <w:t>the Working Group also concluded that the two change proposals were written specifically in a way to separate which parts of schedule 15 needed changing so there shouldn’t be any interactions</w:t>
      </w:r>
      <w:r>
        <w:t>.</w:t>
      </w:r>
    </w:p>
    <w:tbl>
      <w:tblPr>
        <w:tblStyle w:val="PlainTable31"/>
        <w:tblW w:w="0" w:type="auto"/>
        <w:tblInd w:w="612" w:type="dxa"/>
        <w:tblLook w:val="0600" w:firstRow="0" w:lastRow="0" w:firstColumn="0" w:lastColumn="0" w:noHBand="1" w:noVBand="1"/>
      </w:tblPr>
      <w:tblGrid>
        <w:gridCol w:w="1794"/>
        <w:gridCol w:w="536"/>
        <w:gridCol w:w="1461"/>
        <w:gridCol w:w="536"/>
        <w:gridCol w:w="1817"/>
        <w:gridCol w:w="536"/>
        <w:gridCol w:w="1350"/>
        <w:gridCol w:w="536"/>
      </w:tblGrid>
      <w:tr w:rsidR="00AD6FCF" w14:paraId="064B0CC5" w14:textId="77777777" w:rsidTr="00CA1FE7">
        <w:trPr>
          <w:trHeight w:val="227"/>
        </w:trPr>
        <w:tc>
          <w:tcPr>
            <w:tcW w:w="0" w:type="auto"/>
            <w:vAlign w:val="center"/>
            <w:hideMark/>
          </w:tcPr>
          <w:p w14:paraId="5A2798A1" w14:textId="77777777" w:rsidR="00AD6FCF" w:rsidRDefault="00AD6FCF">
            <w:pPr>
              <w:spacing w:before="0" w:after="0" w:line="360" w:lineRule="auto"/>
              <w:rPr>
                <w:rFonts w:cs="Arial"/>
                <w:noProof/>
                <w:szCs w:val="20"/>
              </w:rPr>
            </w:pPr>
            <w:r>
              <w:rPr>
                <w:rFonts w:cs="Arial"/>
                <w:noProof/>
                <w:szCs w:val="20"/>
              </w:rPr>
              <w:t>BSC……………...</w:t>
            </w:r>
          </w:p>
        </w:tc>
        <w:sdt>
          <w:sdtPr>
            <w:rPr>
              <w:rFonts w:cs="Arial"/>
              <w:noProof/>
              <w:color w:val="C00000"/>
              <w:sz w:val="32"/>
              <w:szCs w:val="32"/>
            </w:rPr>
            <w:id w:val="1843117635"/>
            <w14:checkbox>
              <w14:checked w14:val="0"/>
              <w14:checkedState w14:val="2612" w14:font="MS Gothic"/>
              <w14:uncheckedState w14:val="2610" w14:font="MS Gothic"/>
            </w14:checkbox>
          </w:sdtPr>
          <w:sdtEndPr/>
          <w:sdtContent>
            <w:tc>
              <w:tcPr>
                <w:tcW w:w="0" w:type="auto"/>
                <w:vAlign w:val="center"/>
                <w:hideMark/>
              </w:tcPr>
              <w:p w14:paraId="3C174D27" w14:textId="0287E1B2" w:rsidR="00AD6FCF" w:rsidRDefault="00A2711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64F7A3E3" w14:textId="77777777" w:rsidR="00AD6FCF" w:rsidRDefault="00AD6FCF">
            <w:pPr>
              <w:spacing w:before="0" w:after="0" w:line="360" w:lineRule="auto"/>
              <w:rPr>
                <w:rFonts w:cs="Arial"/>
                <w:noProof/>
                <w:szCs w:val="20"/>
              </w:rPr>
            </w:pPr>
            <w:r>
              <w:rPr>
                <w:rFonts w:cs="Arial"/>
                <w:noProof/>
                <w:szCs w:val="20"/>
              </w:rPr>
              <w:t>MRA…………</w:t>
            </w:r>
          </w:p>
        </w:tc>
        <w:sdt>
          <w:sdtPr>
            <w:rPr>
              <w:rFonts w:cs="Arial"/>
              <w:noProof/>
              <w:color w:val="C00000"/>
              <w:sz w:val="32"/>
              <w:szCs w:val="32"/>
            </w:rPr>
            <w:id w:val="-203100804"/>
            <w14:checkbox>
              <w14:checked w14:val="0"/>
              <w14:checkedState w14:val="2612" w14:font="MS Gothic"/>
              <w14:uncheckedState w14:val="2610" w14:font="MS Gothic"/>
            </w14:checkbox>
          </w:sdtPr>
          <w:sdtEndPr/>
          <w:sdtContent>
            <w:tc>
              <w:tcPr>
                <w:tcW w:w="0" w:type="auto"/>
                <w:vAlign w:val="center"/>
                <w:hideMark/>
              </w:tcPr>
              <w:p w14:paraId="0B5729B0" w14:textId="77777777"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29E6FFD5" w14:textId="77777777" w:rsidR="00AD6FCF" w:rsidRDefault="00AD6FCF">
            <w:pPr>
              <w:spacing w:before="0" w:after="0" w:line="240" w:lineRule="auto"/>
            </w:pPr>
            <w:r>
              <w:rPr>
                <w:rFonts w:cs="Arial"/>
                <w:noProof/>
                <w:szCs w:val="20"/>
              </w:rPr>
              <w:t>Grid Code……….</w:t>
            </w:r>
          </w:p>
        </w:tc>
        <w:sdt>
          <w:sdtPr>
            <w:rPr>
              <w:rFonts w:cs="Arial"/>
              <w:noProof/>
              <w:color w:val="C00000"/>
              <w:sz w:val="32"/>
              <w:szCs w:val="32"/>
            </w:rPr>
            <w:id w:val="-193931560"/>
            <w14:checkbox>
              <w14:checked w14:val="0"/>
              <w14:checkedState w14:val="2612" w14:font="MS Gothic"/>
              <w14:uncheckedState w14:val="2610" w14:font="MS Gothic"/>
            </w14:checkbox>
          </w:sdtPr>
          <w:sdtEndPr/>
          <w:sdtContent>
            <w:tc>
              <w:tcPr>
                <w:tcW w:w="0" w:type="auto"/>
                <w:vAlign w:val="center"/>
                <w:hideMark/>
              </w:tcPr>
              <w:p w14:paraId="1DF15F61"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4FE4CD47" w14:textId="77777777" w:rsidR="00AD6FCF" w:rsidRDefault="00AD6FCF">
            <w:pPr>
              <w:spacing w:before="0" w:after="0" w:line="240" w:lineRule="auto"/>
            </w:pPr>
            <w:r>
              <w:rPr>
                <w:rFonts w:cs="Arial"/>
                <w:noProof/>
                <w:szCs w:val="20"/>
              </w:rPr>
              <w:t>REC……….</w:t>
            </w:r>
          </w:p>
        </w:tc>
        <w:sdt>
          <w:sdtPr>
            <w:rPr>
              <w:rFonts w:cs="Arial"/>
              <w:noProof/>
              <w:color w:val="C00000"/>
              <w:sz w:val="32"/>
              <w:szCs w:val="32"/>
            </w:rPr>
            <w:id w:val="1304124821"/>
            <w14:checkbox>
              <w14:checked w14:val="0"/>
              <w14:checkedState w14:val="2612" w14:font="MS Gothic"/>
              <w14:uncheckedState w14:val="2610" w14:font="MS Gothic"/>
            </w14:checkbox>
          </w:sdtPr>
          <w:sdtEndPr/>
          <w:sdtContent>
            <w:tc>
              <w:tcPr>
                <w:tcW w:w="0" w:type="auto"/>
                <w:vAlign w:val="center"/>
                <w:hideMark/>
              </w:tcPr>
              <w:p w14:paraId="17A3E9BF"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r>
      <w:tr w:rsidR="00AD6FCF" w14:paraId="19AF6C3A" w14:textId="77777777" w:rsidTr="00CA1FE7">
        <w:trPr>
          <w:trHeight w:val="227"/>
        </w:trPr>
        <w:tc>
          <w:tcPr>
            <w:tcW w:w="0" w:type="auto"/>
            <w:vAlign w:val="center"/>
            <w:hideMark/>
          </w:tcPr>
          <w:p w14:paraId="0835A6E1" w14:textId="77777777" w:rsidR="00AD6FCF" w:rsidRDefault="00AD6FCF">
            <w:pPr>
              <w:spacing w:before="0" w:after="0" w:line="360" w:lineRule="auto"/>
              <w:rPr>
                <w:rFonts w:cs="Arial"/>
                <w:noProof/>
                <w:szCs w:val="20"/>
              </w:rPr>
            </w:pPr>
            <w:r>
              <w:rPr>
                <w:rFonts w:cs="Arial"/>
                <w:noProof/>
                <w:szCs w:val="20"/>
              </w:rPr>
              <w:t>CUSC……………</w:t>
            </w:r>
          </w:p>
        </w:tc>
        <w:sdt>
          <w:sdtPr>
            <w:rPr>
              <w:rFonts w:cs="Arial"/>
              <w:noProof/>
              <w:color w:val="C00000"/>
              <w:sz w:val="32"/>
              <w:szCs w:val="32"/>
            </w:rPr>
            <w:id w:val="1150868351"/>
            <w14:checkbox>
              <w14:checked w14:val="0"/>
              <w14:checkedState w14:val="2612" w14:font="MS Gothic"/>
              <w14:uncheckedState w14:val="2610" w14:font="MS Gothic"/>
            </w14:checkbox>
          </w:sdtPr>
          <w:sdtEndPr/>
          <w:sdtContent>
            <w:tc>
              <w:tcPr>
                <w:tcW w:w="0" w:type="auto"/>
                <w:vAlign w:val="center"/>
                <w:hideMark/>
              </w:tcPr>
              <w:p w14:paraId="0D4FB9E4" w14:textId="031A30EF"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469B237D" w14:textId="77777777" w:rsidR="00AD6FCF" w:rsidRDefault="00AD6FCF">
            <w:pPr>
              <w:spacing w:before="0" w:after="0" w:line="360" w:lineRule="auto"/>
              <w:rPr>
                <w:rFonts w:cs="Arial"/>
                <w:noProof/>
                <w:szCs w:val="20"/>
              </w:rPr>
            </w:pPr>
            <w:r>
              <w:rPr>
                <w:rFonts w:cs="Arial"/>
                <w:noProof/>
                <w:szCs w:val="20"/>
              </w:rPr>
              <w:t>SEC…………</w:t>
            </w:r>
          </w:p>
        </w:tc>
        <w:sdt>
          <w:sdtPr>
            <w:rPr>
              <w:rFonts w:cs="Arial"/>
              <w:noProof/>
              <w:color w:val="C00000"/>
              <w:sz w:val="32"/>
              <w:szCs w:val="32"/>
            </w:rPr>
            <w:id w:val="637385706"/>
            <w14:checkbox>
              <w14:checked w14:val="0"/>
              <w14:checkedState w14:val="2612" w14:font="MS Gothic"/>
              <w14:uncheckedState w14:val="2610" w14:font="MS Gothic"/>
            </w14:checkbox>
          </w:sdtPr>
          <w:sdtEndPr/>
          <w:sdtContent>
            <w:tc>
              <w:tcPr>
                <w:tcW w:w="0" w:type="auto"/>
                <w:vAlign w:val="center"/>
                <w:hideMark/>
              </w:tcPr>
              <w:p w14:paraId="48AD4D13" w14:textId="77777777" w:rsidR="00AD6FCF" w:rsidRDefault="00AD6FCF">
                <w:pPr>
                  <w:spacing w:before="0" w:after="0" w:line="36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3B72A380" w14:textId="77777777" w:rsidR="00AD6FCF" w:rsidRDefault="00AD6FCF">
            <w:pPr>
              <w:spacing w:before="0" w:after="0" w:line="240" w:lineRule="auto"/>
            </w:pPr>
            <w:r>
              <w:rPr>
                <w:rFonts w:cs="Arial"/>
                <w:noProof/>
                <w:szCs w:val="20"/>
              </w:rPr>
              <w:t>Distrbution Code..</w:t>
            </w:r>
          </w:p>
        </w:tc>
        <w:sdt>
          <w:sdtPr>
            <w:rPr>
              <w:rFonts w:cs="Arial"/>
              <w:noProof/>
              <w:color w:val="C00000"/>
              <w:sz w:val="32"/>
              <w:szCs w:val="32"/>
            </w:rPr>
            <w:id w:val="1050429083"/>
            <w14:checkbox>
              <w14:checked w14:val="0"/>
              <w14:checkedState w14:val="2612" w14:font="MS Gothic"/>
              <w14:uncheckedState w14:val="2610" w14:font="MS Gothic"/>
            </w14:checkbox>
          </w:sdtPr>
          <w:sdtEndPr/>
          <w:sdtContent>
            <w:tc>
              <w:tcPr>
                <w:tcW w:w="0" w:type="auto"/>
                <w:vAlign w:val="center"/>
                <w:hideMark/>
              </w:tcPr>
              <w:p w14:paraId="37F737EC" w14:textId="77777777" w:rsidR="00AD6FCF" w:rsidRDefault="00AD6FC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c>
          <w:tcPr>
            <w:tcW w:w="0" w:type="auto"/>
            <w:vAlign w:val="center"/>
            <w:hideMark/>
          </w:tcPr>
          <w:p w14:paraId="22292B15" w14:textId="77777777" w:rsidR="00AD6FCF" w:rsidRDefault="00AD6FCF">
            <w:pPr>
              <w:spacing w:before="0" w:after="0" w:line="240" w:lineRule="auto"/>
            </w:pPr>
            <w:r>
              <w:rPr>
                <w:rFonts w:cs="Arial"/>
                <w:noProof/>
                <w:szCs w:val="20"/>
              </w:rPr>
              <w:t>None……….</w:t>
            </w:r>
          </w:p>
        </w:tc>
        <w:sdt>
          <w:sdtPr>
            <w:rPr>
              <w:rFonts w:cs="Arial"/>
              <w:noProof/>
              <w:color w:val="C00000"/>
              <w:sz w:val="32"/>
              <w:szCs w:val="32"/>
            </w:rPr>
            <w:id w:val="118415267"/>
            <w14:checkbox>
              <w14:checked w14:val="1"/>
              <w14:checkedState w14:val="2612" w14:font="MS Gothic"/>
              <w14:uncheckedState w14:val="2610" w14:font="MS Gothic"/>
            </w14:checkbox>
          </w:sdtPr>
          <w:sdtEndPr/>
          <w:sdtContent>
            <w:tc>
              <w:tcPr>
                <w:tcW w:w="0" w:type="auto"/>
                <w:vAlign w:val="center"/>
                <w:hideMark/>
              </w:tcPr>
              <w:p w14:paraId="20669002" w14:textId="7CFF84AA" w:rsidR="00AD6FCF" w:rsidRDefault="00A2711F">
                <w:pPr>
                  <w:spacing w:before="0" w:after="0" w:line="240" w:lineRule="auto"/>
                  <w:rPr>
                    <w:rFonts w:cs="Arial"/>
                    <w:noProof/>
                    <w:color w:val="C00000"/>
                    <w:sz w:val="32"/>
                    <w:szCs w:val="32"/>
                  </w:rPr>
                </w:pPr>
                <w:r>
                  <w:rPr>
                    <w:rFonts w:ascii="MS Gothic" w:eastAsia="MS Gothic" w:hAnsi="MS Gothic" w:cs="Arial" w:hint="eastAsia"/>
                    <w:noProof/>
                    <w:color w:val="C00000"/>
                    <w:sz w:val="32"/>
                    <w:szCs w:val="32"/>
                  </w:rPr>
                  <w:t>☒</w:t>
                </w:r>
              </w:p>
            </w:tc>
          </w:sdtContent>
        </w:sdt>
      </w:tr>
    </w:tbl>
    <w:p w14:paraId="6E2EEB2B" w14:textId="2D66C9CE" w:rsidR="00C479AA" w:rsidRPr="004155E5" w:rsidRDefault="00DB3140" w:rsidP="00C479AA">
      <w:pPr>
        <w:pStyle w:val="Heading4"/>
        <w:keepNext w:val="0"/>
        <w:rPr>
          <w:i/>
          <w:iCs/>
        </w:rPr>
      </w:pPr>
      <w:r>
        <w:t>Significant Code Review Impacts</w:t>
      </w:r>
      <w:r w:rsidR="00C479AA" w:rsidRPr="004155E5">
        <w:t>?</w:t>
      </w:r>
    </w:p>
    <w:p w14:paraId="66C50437" w14:textId="01D74E71" w:rsidR="00C479AA" w:rsidRDefault="005075C5" w:rsidP="008B5841">
      <w:pPr>
        <w:pStyle w:val="ListParagraph"/>
        <w:numPr>
          <w:ilvl w:val="1"/>
          <w:numId w:val="24"/>
        </w:numPr>
        <w:jc w:val="both"/>
      </w:pPr>
      <w:bookmarkStart w:id="23" w:name="_Hlk111213611"/>
      <w:r w:rsidRPr="00C502F6">
        <w:t xml:space="preserve">It is </w:t>
      </w:r>
      <w:r>
        <w:t>noted that the DE</w:t>
      </w:r>
      <w:r w:rsidR="00744CBA">
        <w:t>S</w:t>
      </w:r>
      <w:r>
        <w:t>N</w:t>
      </w:r>
      <w:r w:rsidR="00744CBA">
        <w:t>Z</w:t>
      </w:r>
      <w:r>
        <w:t xml:space="preserve"> and Ofgem Energy Code </w:t>
      </w:r>
      <w:r w:rsidR="00744CBA">
        <w:t xml:space="preserve">Review </w:t>
      </w:r>
      <w:r>
        <w:t>is also considering code governance in general.</w:t>
      </w:r>
      <w:bookmarkEnd w:id="23"/>
      <w:r w:rsidR="00DB3140" w:rsidRPr="00DB3140">
        <w:t xml:space="preserve"> </w:t>
      </w:r>
    </w:p>
    <w:p w14:paraId="61CE4AA1" w14:textId="4F1A7BD8" w:rsidR="0015052D" w:rsidRDefault="0015052D" w:rsidP="0015052D">
      <w:r w:rsidRPr="00AD39E3">
        <w:rPr>
          <w:rFonts w:cs="Arial"/>
          <w:b/>
          <w:bCs/>
          <w:color w:val="008576"/>
          <w:sz w:val="24"/>
          <w:szCs w:val="28"/>
        </w:rPr>
        <w:t>Consideration of Wider Industry Impacts</w:t>
      </w:r>
    </w:p>
    <w:p w14:paraId="71E68126" w14:textId="0F4C7A4F" w:rsidR="00851F8B" w:rsidRDefault="00851F8B" w:rsidP="008B5841">
      <w:pPr>
        <w:pStyle w:val="ListParagraph"/>
        <w:numPr>
          <w:ilvl w:val="1"/>
          <w:numId w:val="24"/>
        </w:numPr>
      </w:pPr>
      <w:r w:rsidRPr="00851F8B">
        <w:t>The issue which this CP seeks to remedy has been discussed in the DCP 42</w:t>
      </w:r>
      <w:r w:rsidR="00B7116D">
        <w:t>1</w:t>
      </w:r>
      <w:r w:rsidRPr="00851F8B">
        <w:t xml:space="preserve"> Working Group and at the ENA Connections Commercial Operations Group (“Connections COG”).</w:t>
      </w:r>
    </w:p>
    <w:p w14:paraId="17E85351" w14:textId="6B6678B0" w:rsidR="00736739" w:rsidRDefault="00623127" w:rsidP="00623127">
      <w:pPr>
        <w:pStyle w:val="Heading4"/>
        <w:keepNext w:val="0"/>
      </w:pPr>
      <w:r w:rsidRPr="00703748">
        <w:t>Consumer Impacts</w:t>
      </w:r>
    </w:p>
    <w:p w14:paraId="4721C89E" w14:textId="77777777" w:rsidR="00E2562B" w:rsidRDefault="00E2562B" w:rsidP="008B5841">
      <w:pPr>
        <w:pStyle w:val="ListParagraph"/>
        <w:numPr>
          <w:ilvl w:val="1"/>
          <w:numId w:val="24"/>
        </w:numPr>
      </w:pPr>
      <w:r w:rsidRPr="00E2562B">
        <w:t xml:space="preserve">The Working Group does not consider that there are any impacts to consumers </w:t>
      </w:r>
      <w:proofErr w:type="gramStart"/>
      <w:r w:rsidRPr="00E2562B">
        <w:t>as a result of</w:t>
      </w:r>
      <w:proofErr w:type="gramEnd"/>
      <w:r w:rsidRPr="00E2562B">
        <w:t xml:space="preserve"> the implementation of this CP that should be highlighted within this Change Report.</w:t>
      </w:r>
    </w:p>
    <w:p w14:paraId="0C05BACD" w14:textId="2D43E704" w:rsidR="001B3B7B" w:rsidRPr="00872ED3" w:rsidRDefault="001B3B7B" w:rsidP="00500534">
      <w:pPr>
        <w:pStyle w:val="Heading4"/>
        <w:keepNext w:val="0"/>
      </w:pPr>
      <w:r w:rsidRPr="00872ED3">
        <w:t>Modelling Impact Assessment</w:t>
      </w:r>
    </w:p>
    <w:p w14:paraId="680222F7" w14:textId="77777777" w:rsidR="00CE4344" w:rsidRDefault="001B3B7B" w:rsidP="00E9736F">
      <w:pPr>
        <w:pStyle w:val="ListParagraph"/>
        <w:numPr>
          <w:ilvl w:val="1"/>
          <w:numId w:val="24"/>
        </w:numPr>
      </w:pPr>
      <w:r>
        <w:t xml:space="preserve">DCP 421 revises the format of the inputs in the </w:t>
      </w:r>
      <w:r w:rsidR="00E9736F">
        <w:t>'G</w:t>
      </w:r>
      <w:r>
        <w:t xml:space="preserve">eneral Inputs’ sheet of the CDCM and </w:t>
      </w:r>
      <w:r w:rsidR="00E9736F">
        <w:t xml:space="preserve">ARP but does not impact on the calculations or the tariffs output from the model. </w:t>
      </w:r>
    </w:p>
    <w:p w14:paraId="183BE016" w14:textId="1FDFDEE1" w:rsidR="00537010" w:rsidRPr="00872ED3" w:rsidRDefault="00537010" w:rsidP="00872ED3">
      <w:pPr>
        <w:pStyle w:val="ListParagraph"/>
        <w:numPr>
          <w:ilvl w:val="1"/>
          <w:numId w:val="24"/>
        </w:numPr>
        <w:spacing w:after="200" w:line="276" w:lineRule="auto"/>
        <w:contextualSpacing/>
        <w:rPr>
          <w:color w:val="000000" w:themeColor="text1"/>
        </w:rPr>
      </w:pPr>
      <w:r w:rsidRPr="00872ED3">
        <w:rPr>
          <w:color w:val="000000" w:themeColor="text1"/>
        </w:rPr>
        <w:t>Additionally, the ‘</w:t>
      </w:r>
      <w:proofErr w:type="spellStart"/>
      <w:r w:rsidRPr="00872ED3">
        <w:rPr>
          <w:color w:val="000000" w:themeColor="text1"/>
        </w:rPr>
        <w:t>SoLR</w:t>
      </w:r>
      <w:proofErr w:type="spellEnd"/>
      <w:r w:rsidRPr="00872ED3">
        <w:rPr>
          <w:color w:val="000000" w:themeColor="text1"/>
        </w:rPr>
        <w:t xml:space="preserve"> and Bad Debt Adders’ sheet was amended to remove the rows referring to the COVID-19 bad debt, which are no longer required. In RIIO-ED2 the formulas around bad debt in the Special Conditions of the Electricity Distribution Licence no longer include any reference to COVID-19 Bad Debt, therefore all references to this should be removed from the CDCM. No change is required to paragraph 103 of Schedule 16 for this, as it just refers to “Eligible Bad Debt” and does not specifically mention COVID-19 Bad Debt. </w:t>
      </w:r>
    </w:p>
    <w:p w14:paraId="508C4FA7" w14:textId="5764B552" w:rsidR="001B3B7B" w:rsidRDefault="00CE4344" w:rsidP="00E9736F">
      <w:pPr>
        <w:pStyle w:val="ListParagraph"/>
        <w:numPr>
          <w:ilvl w:val="1"/>
          <w:numId w:val="24"/>
        </w:numPr>
      </w:pPr>
      <w:r>
        <w:t>A Working Group member</w:t>
      </w:r>
      <w:r w:rsidR="00E9736F">
        <w:t xml:space="preserve"> populated the revised models with</w:t>
      </w:r>
      <w:r>
        <w:t xml:space="preserve"> their</w:t>
      </w:r>
      <w:r w:rsidR="00E9736F">
        <w:t xml:space="preserve"> data and </w:t>
      </w:r>
      <w:r>
        <w:t>verified</w:t>
      </w:r>
      <w:r w:rsidR="00E9736F">
        <w:t xml:space="preserve"> that the </w:t>
      </w:r>
      <w:r>
        <w:t>output</w:t>
      </w:r>
      <w:r w:rsidR="00E9736F">
        <w:t xml:space="preserve"> tariffs were unchanged from those published</w:t>
      </w:r>
      <w:r w:rsidR="00537010">
        <w:t>, as expected</w:t>
      </w:r>
      <w:r w:rsidR="00E9736F">
        <w:t>.</w:t>
      </w:r>
    </w:p>
    <w:p w14:paraId="0A6DEB87" w14:textId="37B55E56" w:rsidR="00E9736F" w:rsidRPr="00872ED3" w:rsidRDefault="00E9736F" w:rsidP="00872ED3">
      <w:pPr>
        <w:pStyle w:val="ListParagraph"/>
        <w:numPr>
          <w:ilvl w:val="1"/>
          <w:numId w:val="24"/>
        </w:numPr>
      </w:pPr>
      <w:r w:rsidRPr="00872ED3">
        <w:t xml:space="preserve">Details of the amendments to the models and the modelling analysis can be found in Attachment </w:t>
      </w:r>
      <w:r w:rsidR="00872ED3" w:rsidRPr="00872ED3">
        <w:t>6</w:t>
      </w:r>
      <w:r w:rsidRPr="00872ED3">
        <w:t>.</w:t>
      </w:r>
    </w:p>
    <w:p w14:paraId="04E9BBD9" w14:textId="59A78E2A" w:rsidR="00E2562B" w:rsidRPr="00E2562B" w:rsidRDefault="00500534" w:rsidP="00500534">
      <w:pPr>
        <w:pStyle w:val="Heading4"/>
        <w:keepNext w:val="0"/>
      </w:pPr>
      <w:r w:rsidRPr="00703748">
        <w:t>Environmental Impacts</w:t>
      </w:r>
    </w:p>
    <w:p w14:paraId="2CD8C175" w14:textId="13C1D38F" w:rsidR="00736739" w:rsidRPr="00293C2D" w:rsidRDefault="00D1591A" w:rsidP="008B5841">
      <w:pPr>
        <w:pStyle w:val="ListParagraph"/>
        <w:numPr>
          <w:ilvl w:val="1"/>
          <w:numId w:val="24"/>
        </w:numPr>
      </w:pPr>
      <w:r w:rsidRPr="00D1591A">
        <w:t>In accordance with DCUSA Clause 11.20.6(D), the Working Group assessed whether there would be a material impact on greenhouse gas emissions if this CP were implemented. The Working Group did not identify any material impact on greenhouse gas emissions from the implementation of this CP.</w:t>
      </w:r>
    </w:p>
    <w:p w14:paraId="2F3FAEBD" w14:textId="03C393B3" w:rsidR="00450385" w:rsidRPr="00EB32BB" w:rsidRDefault="00C31A20" w:rsidP="006D62F9">
      <w:pPr>
        <w:pStyle w:val="Heading03"/>
        <w:rPr>
          <w:noProof/>
        </w:rPr>
      </w:pPr>
      <w:bookmarkStart w:id="24" w:name="_Toc125191628"/>
      <w:r w:rsidRPr="00EB32BB">
        <w:rPr>
          <w:noProof/>
        </w:rPr>
        <w:lastRenderedPageBreak/>
        <w:t>Imple</w:t>
      </w:r>
      <w:r w:rsidR="00461C2F" w:rsidRPr="00EB32BB">
        <w:rPr>
          <w:noProof/>
        </w:rPr>
        <w:t>me</w:t>
      </w:r>
      <w:r w:rsidRPr="00EB32BB">
        <w:rPr>
          <w:noProof/>
        </w:rPr>
        <w:t>ntation</w:t>
      </w:r>
      <w:bookmarkEnd w:id="22"/>
      <w:bookmarkEnd w:id="24"/>
    </w:p>
    <w:p w14:paraId="58796FF6" w14:textId="28AA7BAA" w:rsidR="006835B3" w:rsidRPr="00845FD4" w:rsidRDefault="006835B3" w:rsidP="006835B3">
      <w:pPr>
        <w:pStyle w:val="ListParagraph"/>
        <w:numPr>
          <w:ilvl w:val="1"/>
          <w:numId w:val="19"/>
        </w:numPr>
      </w:pPr>
      <w:bookmarkStart w:id="25" w:name="_Toc156882583"/>
      <w:bookmarkStart w:id="26" w:name="_Toc163008071"/>
      <w:bookmarkStart w:id="27" w:name="_Toc318967202"/>
      <w:bookmarkStart w:id="28" w:name="_Toc125191629"/>
      <w:r w:rsidRPr="00C76E1D">
        <w:t xml:space="preserve">The intended implementation date for this change is </w:t>
      </w:r>
      <w:r w:rsidR="007A3283">
        <w:t>5 Working Days after industry approval.</w:t>
      </w:r>
    </w:p>
    <w:p w14:paraId="00CE1FCF" w14:textId="41301199" w:rsidR="00F007A0" w:rsidRPr="00EB32BB" w:rsidRDefault="00F007A0" w:rsidP="006D62F9">
      <w:pPr>
        <w:pStyle w:val="Heading03"/>
      </w:pPr>
      <w:r w:rsidRPr="00EB32BB">
        <w:t>Legal Text</w:t>
      </w:r>
      <w:bookmarkEnd w:id="25"/>
      <w:bookmarkEnd w:id="26"/>
      <w:bookmarkEnd w:id="27"/>
      <w:bookmarkEnd w:id="28"/>
    </w:p>
    <w:p w14:paraId="58E84265" w14:textId="6FEAA9F1" w:rsidR="00DB5D6E" w:rsidRPr="00872ED3" w:rsidRDefault="00DB5D6E" w:rsidP="00DB5D6E">
      <w:pPr>
        <w:pStyle w:val="Subtitle"/>
        <w:rPr>
          <w:rFonts w:ascii="Arial" w:hAnsi="Arial" w:cs="Arial"/>
          <w:b/>
          <w:bCs/>
          <w:color w:val="008576"/>
          <w:sz w:val="24"/>
          <w:szCs w:val="24"/>
        </w:rPr>
      </w:pPr>
      <w:r w:rsidRPr="00872ED3">
        <w:rPr>
          <w:rFonts w:ascii="Arial" w:hAnsi="Arial" w:cs="Arial"/>
          <w:b/>
          <w:bCs/>
          <w:color w:val="008576"/>
          <w:sz w:val="24"/>
          <w:szCs w:val="24"/>
        </w:rPr>
        <w:t>Legal Text</w:t>
      </w:r>
    </w:p>
    <w:p w14:paraId="27A4127E" w14:textId="7F249D70" w:rsidR="00C7115B" w:rsidRPr="00872ED3" w:rsidRDefault="00C7115B" w:rsidP="00C7115B">
      <w:pPr>
        <w:pStyle w:val="ListParagraph"/>
        <w:numPr>
          <w:ilvl w:val="1"/>
          <w:numId w:val="27"/>
        </w:numPr>
        <w:rPr>
          <w:rFonts w:eastAsia="MS Gothic" w:cs="Arial"/>
          <w:iCs/>
          <w:color w:val="000000" w:themeColor="text1"/>
        </w:rPr>
      </w:pPr>
      <w:bookmarkStart w:id="29" w:name="_Toc125191630"/>
      <w:r w:rsidRPr="00872ED3">
        <w:rPr>
          <w:rFonts w:eastAsia="MS Gothic" w:cs="Arial"/>
          <w:iCs/>
          <w:color w:val="000000" w:themeColor="text1"/>
        </w:rPr>
        <w:t xml:space="preserve">Amendments to be made to the current tables 1 and 2 within Schedule 15 of DCUSA to correctly represent the calculation of allowed revenue in RIIO-ED2. Please see attached proposed template </w:t>
      </w:r>
      <w:r w:rsidRPr="00C6542D">
        <w:rPr>
          <w:rFonts w:eastAsia="MS Gothic" w:cs="Arial"/>
          <w:b/>
          <w:bCs/>
          <w:iCs/>
        </w:rPr>
        <w:t>(Attachment</w:t>
      </w:r>
      <w:r w:rsidR="00C6542D" w:rsidRPr="00C6542D">
        <w:rPr>
          <w:rFonts w:eastAsia="MS Gothic" w:cs="Arial"/>
          <w:b/>
          <w:bCs/>
          <w:iCs/>
        </w:rPr>
        <w:t xml:space="preserve"> </w:t>
      </w:r>
      <w:r w:rsidR="00872ED3" w:rsidRPr="00C6542D">
        <w:rPr>
          <w:rFonts w:eastAsia="MS Gothic" w:cs="Arial"/>
          <w:b/>
          <w:bCs/>
          <w:iCs/>
        </w:rPr>
        <w:t>5</w:t>
      </w:r>
      <w:r w:rsidRPr="00C6542D">
        <w:rPr>
          <w:rFonts w:eastAsia="MS Gothic" w:cs="Arial"/>
          <w:b/>
          <w:bCs/>
          <w:iCs/>
        </w:rPr>
        <w:t>).</w:t>
      </w:r>
    </w:p>
    <w:p w14:paraId="41E99DE0" w14:textId="0A6A7257" w:rsidR="00CC7F72" w:rsidRDefault="00C7115B" w:rsidP="00326E4B">
      <w:pPr>
        <w:pStyle w:val="ListParagraph"/>
        <w:numPr>
          <w:ilvl w:val="1"/>
          <w:numId w:val="27"/>
        </w:numPr>
        <w:rPr>
          <w:rFonts w:eastAsia="MS Gothic" w:cs="Arial"/>
          <w:iCs/>
          <w:color w:val="000000" w:themeColor="text1"/>
        </w:rPr>
      </w:pPr>
      <w:r w:rsidRPr="00872ED3">
        <w:rPr>
          <w:rFonts w:eastAsia="MS Gothic" w:cs="Arial"/>
          <w:iCs/>
          <w:color w:val="000000" w:themeColor="text1"/>
        </w:rPr>
        <w:t xml:space="preserve">The Working Group </w:t>
      </w:r>
      <w:r w:rsidR="00326E4B" w:rsidRPr="00872ED3">
        <w:rPr>
          <w:rFonts w:eastAsia="MS Gothic" w:cs="Arial"/>
          <w:iCs/>
          <w:color w:val="000000" w:themeColor="text1"/>
        </w:rPr>
        <w:t>agreed</w:t>
      </w:r>
      <w:r w:rsidRPr="00872ED3">
        <w:rPr>
          <w:rFonts w:eastAsia="MS Gothic" w:cs="Arial"/>
          <w:iCs/>
          <w:color w:val="000000" w:themeColor="text1"/>
        </w:rPr>
        <w:t xml:space="preserve"> </w:t>
      </w:r>
      <w:r w:rsidR="00326E4B" w:rsidRPr="00872ED3">
        <w:rPr>
          <w:rFonts w:eastAsia="MS Gothic" w:cs="Arial"/>
          <w:iCs/>
          <w:color w:val="000000" w:themeColor="text1"/>
        </w:rPr>
        <w:t>that</w:t>
      </w:r>
      <w:r w:rsidRPr="00872ED3">
        <w:rPr>
          <w:rFonts w:eastAsia="MS Gothic" w:cs="Arial"/>
          <w:iCs/>
          <w:color w:val="000000" w:themeColor="text1"/>
        </w:rPr>
        <w:t xml:space="preserve"> the tables are referenced within the </w:t>
      </w:r>
      <w:r w:rsidR="00A90157">
        <w:rPr>
          <w:rFonts w:eastAsia="MS Gothic" w:cs="Arial"/>
          <w:iCs/>
          <w:color w:val="000000" w:themeColor="text1"/>
        </w:rPr>
        <w:t xml:space="preserve">Clause </w:t>
      </w:r>
      <w:proofErr w:type="gramStart"/>
      <w:r w:rsidR="00A90157">
        <w:rPr>
          <w:rFonts w:eastAsia="MS Gothic" w:cs="Arial"/>
          <w:iCs/>
          <w:color w:val="000000" w:themeColor="text1"/>
        </w:rPr>
        <w:t>45A</w:t>
      </w:r>
      <w:proofErr w:type="gramEnd"/>
      <w:r w:rsidR="00A90157">
        <w:rPr>
          <w:rFonts w:eastAsia="MS Gothic" w:cs="Arial"/>
          <w:iCs/>
          <w:color w:val="000000" w:themeColor="text1"/>
        </w:rPr>
        <w:t xml:space="preserve"> and Schedule 15</w:t>
      </w:r>
      <w:r w:rsidRPr="00872ED3">
        <w:rPr>
          <w:rFonts w:eastAsia="MS Gothic" w:cs="Arial"/>
          <w:iCs/>
          <w:color w:val="000000" w:themeColor="text1"/>
        </w:rPr>
        <w:t xml:space="preserve"> are captured in a separate workbook, such as the template in </w:t>
      </w:r>
      <w:r w:rsidRPr="00872ED3">
        <w:rPr>
          <w:rFonts w:eastAsia="MS Gothic" w:cs="Arial"/>
          <w:b/>
          <w:bCs/>
          <w:iCs/>
          <w:color w:val="000000" w:themeColor="text1"/>
        </w:rPr>
        <w:t xml:space="preserve">Attachment </w:t>
      </w:r>
      <w:r w:rsidR="00872ED3">
        <w:rPr>
          <w:rFonts w:eastAsia="MS Gothic" w:cs="Arial"/>
          <w:b/>
          <w:bCs/>
          <w:iCs/>
          <w:color w:val="000000" w:themeColor="text1"/>
        </w:rPr>
        <w:t>5</w:t>
      </w:r>
      <w:r w:rsidRPr="00872ED3">
        <w:rPr>
          <w:rFonts w:eastAsia="MS Gothic" w:cs="Arial"/>
          <w:b/>
          <w:bCs/>
          <w:iCs/>
          <w:color w:val="000000" w:themeColor="text1"/>
        </w:rPr>
        <w:t>,</w:t>
      </w:r>
      <w:r w:rsidRPr="00872ED3">
        <w:rPr>
          <w:rFonts w:eastAsia="MS Gothic" w:cs="Arial"/>
          <w:iCs/>
          <w:color w:val="000000" w:themeColor="text1"/>
        </w:rPr>
        <w:t xml:space="preserve"> </w:t>
      </w:r>
      <w:r w:rsidR="00C66B36" w:rsidRPr="00872ED3">
        <w:rPr>
          <w:rFonts w:eastAsia="MS Gothic" w:cs="Arial"/>
          <w:iCs/>
          <w:color w:val="000000" w:themeColor="text1"/>
        </w:rPr>
        <w:t>and that this attachment</w:t>
      </w:r>
      <w:r w:rsidRPr="00872ED3">
        <w:rPr>
          <w:rFonts w:eastAsia="MS Gothic" w:cs="Arial"/>
          <w:iCs/>
          <w:color w:val="000000" w:themeColor="text1"/>
        </w:rPr>
        <w:t xml:space="preserve"> is hosted on the DCUSA website, with reference to this within the legal text along with governance on how this table gets updated.</w:t>
      </w:r>
    </w:p>
    <w:p w14:paraId="3AB3AC89" w14:textId="30B12655" w:rsidR="00C6542D" w:rsidRPr="00872ED3" w:rsidRDefault="00C6542D" w:rsidP="00326E4B">
      <w:pPr>
        <w:pStyle w:val="ListParagraph"/>
        <w:numPr>
          <w:ilvl w:val="1"/>
          <w:numId w:val="27"/>
        </w:numPr>
        <w:rPr>
          <w:rFonts w:eastAsia="MS Gothic" w:cs="Arial"/>
          <w:iCs/>
          <w:color w:val="000000" w:themeColor="text1"/>
        </w:rPr>
      </w:pPr>
      <w:r>
        <w:rPr>
          <w:rFonts w:eastAsia="MS Gothic" w:cs="Arial"/>
          <w:iCs/>
          <w:color w:val="000000" w:themeColor="text1"/>
        </w:rPr>
        <w:t>New Paragraphs 1.6 to 1.11 inserted to clarify the governance procedure for updating the template within Attachment 5 and how updates are to be shared with the wider industry</w:t>
      </w:r>
      <w:r w:rsidR="00A90157">
        <w:rPr>
          <w:rFonts w:eastAsia="MS Gothic" w:cs="Arial"/>
          <w:iCs/>
          <w:color w:val="000000" w:themeColor="text1"/>
        </w:rPr>
        <w:t>.</w:t>
      </w:r>
    </w:p>
    <w:p w14:paraId="790690F8" w14:textId="40477B38" w:rsidR="0089061C" w:rsidRPr="00872ED3" w:rsidRDefault="0089061C" w:rsidP="0089061C">
      <w:pPr>
        <w:pStyle w:val="Heading4"/>
        <w:rPr>
          <w:i/>
          <w:iCs/>
        </w:rPr>
      </w:pPr>
      <w:r w:rsidRPr="00872ED3">
        <w:t>Text Commentary</w:t>
      </w:r>
    </w:p>
    <w:p w14:paraId="3A9DB889" w14:textId="37292BAC" w:rsidR="008C2C25" w:rsidRDefault="008C2C25" w:rsidP="008B5841">
      <w:pPr>
        <w:pStyle w:val="ListParagraph"/>
        <w:numPr>
          <w:ilvl w:val="1"/>
          <w:numId w:val="27"/>
        </w:numPr>
        <w:jc w:val="both"/>
      </w:pPr>
      <w:bookmarkStart w:id="30" w:name="_Hlk159256713"/>
      <w:r w:rsidRPr="00872ED3">
        <w:t>It is proposed that Paragraph</w:t>
      </w:r>
      <w:r w:rsidR="0068315E" w:rsidRPr="00872ED3">
        <w:t>s</w:t>
      </w:r>
      <w:r w:rsidRPr="00872ED3">
        <w:t xml:space="preserve"> </w:t>
      </w:r>
      <w:r w:rsidR="00C6542D">
        <w:t>1.16 t o1.11</w:t>
      </w:r>
      <w:r w:rsidR="00C6542D" w:rsidRPr="00872ED3">
        <w:t xml:space="preserve"> </w:t>
      </w:r>
      <w:r w:rsidR="0068315E" w:rsidRPr="00872ED3">
        <w:t xml:space="preserve">are </w:t>
      </w:r>
      <w:r w:rsidR="00C6542D">
        <w:t>created</w:t>
      </w:r>
      <w:r w:rsidR="00C6542D" w:rsidRPr="00872ED3">
        <w:t xml:space="preserve"> </w:t>
      </w:r>
      <w:r w:rsidR="0068315E" w:rsidRPr="00872ED3">
        <w:t xml:space="preserve">to reflect </w:t>
      </w:r>
      <w:r w:rsidR="00C6542D">
        <w:t>how</w:t>
      </w:r>
      <w:r w:rsidR="00C6542D" w:rsidRPr="00872ED3">
        <w:t xml:space="preserve"> </w:t>
      </w:r>
      <w:r w:rsidR="0068315E" w:rsidRPr="00872ED3">
        <w:t xml:space="preserve">the tables are </w:t>
      </w:r>
      <w:r w:rsidR="00C6542D">
        <w:t>updated</w:t>
      </w:r>
      <w:r w:rsidR="00C6542D" w:rsidRPr="00872ED3">
        <w:t xml:space="preserve"> </w:t>
      </w:r>
      <w:r w:rsidR="0068315E" w:rsidRPr="00872ED3">
        <w:t>on the DCUSA website</w:t>
      </w:r>
      <w:r w:rsidR="00C6542D">
        <w:t>.</w:t>
      </w:r>
    </w:p>
    <w:p w14:paraId="4C65FBCC" w14:textId="493FC4A0" w:rsidR="00C6542D" w:rsidRPr="00872ED3" w:rsidRDefault="00C6542D" w:rsidP="008B5841">
      <w:pPr>
        <w:pStyle w:val="ListParagraph"/>
        <w:numPr>
          <w:ilvl w:val="1"/>
          <w:numId w:val="27"/>
        </w:numPr>
        <w:jc w:val="both"/>
      </w:pPr>
      <w:r>
        <w:t xml:space="preserve">Tables 1 </w:t>
      </w:r>
      <w:r w:rsidR="00A90157">
        <w:t>,</w:t>
      </w:r>
      <w:r>
        <w:t xml:space="preserve">2 </w:t>
      </w:r>
      <w:r w:rsidR="00A90157">
        <w:t xml:space="preserve">and 3 </w:t>
      </w:r>
      <w:r>
        <w:t xml:space="preserve">delated and leading text for </w:t>
      </w:r>
      <w:r w:rsidR="00A90157">
        <w:t>all</w:t>
      </w:r>
      <w:r>
        <w:t xml:space="preserve"> tables updated to reference that the templates are now hosted on the DCUSA website.</w:t>
      </w:r>
    </w:p>
    <w:bookmarkEnd w:id="30"/>
    <w:p w14:paraId="46430CF9" w14:textId="02B0B975" w:rsidR="005F5231" w:rsidRDefault="005F5231" w:rsidP="006D62F9">
      <w:pPr>
        <w:pStyle w:val="Heading03"/>
      </w:pPr>
      <w:r>
        <w:t>Code Specific Matters</w:t>
      </w:r>
      <w:bookmarkEnd w:id="29"/>
    </w:p>
    <w:p w14:paraId="1A5331DB" w14:textId="77777777" w:rsidR="005F5231" w:rsidRPr="00284F86" w:rsidRDefault="005F5231" w:rsidP="00E45140">
      <w:pPr>
        <w:pStyle w:val="Heading4"/>
      </w:pPr>
      <w:r w:rsidRPr="00284F86">
        <w:t>Reference Documents</w:t>
      </w:r>
    </w:p>
    <w:p w14:paraId="04AC5EB3" w14:textId="28441FA8" w:rsidR="00FB4511" w:rsidRPr="000E6546" w:rsidRDefault="00FB4511" w:rsidP="008B5841">
      <w:pPr>
        <w:pStyle w:val="ListParagraph"/>
        <w:numPr>
          <w:ilvl w:val="1"/>
          <w:numId w:val="33"/>
        </w:numPr>
        <w:tabs>
          <w:tab w:val="left" w:pos="567"/>
        </w:tabs>
        <w:spacing w:line="360" w:lineRule="auto"/>
        <w:jc w:val="both"/>
        <w:rPr>
          <w:rFonts w:cs="Arial"/>
          <w:bCs/>
          <w:iCs/>
          <w:szCs w:val="20"/>
        </w:rPr>
      </w:pPr>
      <w:bookmarkStart w:id="31" w:name="_Toc318967203"/>
      <w:r w:rsidRPr="000E6546">
        <w:rPr>
          <w:rFonts w:cs="Arial"/>
          <w:bCs/>
          <w:iCs/>
          <w:szCs w:val="20"/>
        </w:rPr>
        <w:t>N/</w:t>
      </w:r>
      <w:r w:rsidR="00F463A1" w:rsidRPr="000E6546">
        <w:rPr>
          <w:rFonts w:cs="Arial"/>
          <w:bCs/>
          <w:iCs/>
          <w:szCs w:val="20"/>
        </w:rPr>
        <w:t>A</w:t>
      </w:r>
    </w:p>
    <w:p w14:paraId="63B9BF15" w14:textId="6B46A234" w:rsidR="00F73FD6" w:rsidRPr="00EB32BB" w:rsidRDefault="00A00B4A" w:rsidP="006D62F9">
      <w:pPr>
        <w:pStyle w:val="Heading03"/>
      </w:pPr>
      <w:bookmarkStart w:id="32" w:name="_Toc125191631"/>
      <w:r w:rsidRPr="00EB32BB">
        <w:t>Recommendation</w:t>
      </w:r>
      <w:r w:rsidR="006D75CD">
        <w:t>s</w:t>
      </w:r>
      <w:bookmarkEnd w:id="31"/>
      <w:bookmarkEnd w:id="32"/>
      <w:r w:rsidRPr="00EB32BB">
        <w:t xml:space="preserve"> </w:t>
      </w:r>
    </w:p>
    <w:p w14:paraId="67E48276" w14:textId="26ED50B9" w:rsidR="00D22CEB" w:rsidRDefault="00D10E24" w:rsidP="00E45140">
      <w:pPr>
        <w:pStyle w:val="Heading4"/>
      </w:pPr>
      <w:r>
        <w:t>Panel’s</w:t>
      </w:r>
      <w:r w:rsidR="00D22CEB">
        <w:t xml:space="preserve"> Recommendatio</w:t>
      </w:r>
      <w:r w:rsidR="00206A74">
        <w:t>n</w:t>
      </w:r>
    </w:p>
    <w:p w14:paraId="446DD00B" w14:textId="3E560B93" w:rsidR="00684433" w:rsidRPr="000E6546" w:rsidRDefault="00684433" w:rsidP="008B5841">
      <w:pPr>
        <w:pStyle w:val="ListParagraph"/>
        <w:numPr>
          <w:ilvl w:val="1"/>
          <w:numId w:val="32"/>
        </w:numPr>
        <w:tabs>
          <w:tab w:val="left" w:pos="567"/>
        </w:tabs>
        <w:spacing w:line="360" w:lineRule="auto"/>
        <w:jc w:val="both"/>
        <w:rPr>
          <w:rFonts w:cs="Arial"/>
          <w:bCs/>
          <w:iCs/>
          <w:szCs w:val="20"/>
        </w:rPr>
      </w:pPr>
      <w:r w:rsidRPr="000E6546">
        <w:rPr>
          <w:rFonts w:cs="Arial"/>
          <w:bCs/>
          <w:iCs/>
          <w:szCs w:val="20"/>
        </w:rPr>
        <w:t>The Panel approved this Change Report</w:t>
      </w:r>
      <w:r w:rsidR="00370EB1" w:rsidRPr="000E6546">
        <w:rPr>
          <w:rFonts w:cs="Arial"/>
          <w:bCs/>
          <w:iCs/>
          <w:szCs w:val="20"/>
        </w:rPr>
        <w:t xml:space="preserve"> </w:t>
      </w:r>
      <w:r w:rsidRPr="000E6546">
        <w:rPr>
          <w:rFonts w:cs="Arial"/>
          <w:bCs/>
          <w:iCs/>
          <w:szCs w:val="20"/>
        </w:rPr>
        <w:t>on</w:t>
      </w:r>
      <w:r w:rsidR="0057243F" w:rsidRPr="000E6546">
        <w:rPr>
          <w:rFonts w:cs="Arial"/>
          <w:bCs/>
          <w:iCs/>
          <w:szCs w:val="20"/>
        </w:rPr>
        <w:t xml:space="preserve"> </w:t>
      </w:r>
      <w:r w:rsidR="00595B7B">
        <w:rPr>
          <w:rFonts w:cs="Arial"/>
          <w:bCs/>
          <w:iCs/>
          <w:szCs w:val="20"/>
        </w:rPr>
        <w:t>1</w:t>
      </w:r>
      <w:r w:rsidR="00C57F0B">
        <w:rPr>
          <w:rFonts w:cs="Arial"/>
          <w:bCs/>
          <w:iCs/>
          <w:szCs w:val="20"/>
        </w:rPr>
        <w:t>5</w:t>
      </w:r>
      <w:r w:rsidR="0057243F" w:rsidRPr="000E6546">
        <w:rPr>
          <w:rFonts w:cs="Arial"/>
          <w:bCs/>
          <w:iCs/>
          <w:szCs w:val="20"/>
        </w:rPr>
        <w:t xml:space="preserve"> </w:t>
      </w:r>
      <w:r w:rsidR="00C57F0B">
        <w:rPr>
          <w:rFonts w:cs="Arial"/>
          <w:bCs/>
          <w:iCs/>
          <w:szCs w:val="20"/>
        </w:rPr>
        <w:t>May</w:t>
      </w:r>
      <w:r w:rsidR="00D90EB1" w:rsidRPr="000E6546">
        <w:rPr>
          <w:rFonts w:cs="Arial"/>
          <w:bCs/>
          <w:iCs/>
          <w:szCs w:val="20"/>
        </w:rPr>
        <w:t xml:space="preserve"> 2024</w:t>
      </w:r>
      <w:r w:rsidR="002507F8" w:rsidRPr="000E6546">
        <w:rPr>
          <w:rFonts w:cs="Arial"/>
          <w:bCs/>
          <w:iCs/>
          <w:szCs w:val="20"/>
        </w:rPr>
        <w:t>.</w:t>
      </w:r>
      <w:r w:rsidR="002743D0" w:rsidRPr="000E6546">
        <w:rPr>
          <w:rFonts w:cs="Arial"/>
          <w:bCs/>
          <w:iCs/>
          <w:szCs w:val="20"/>
        </w:rPr>
        <w:t xml:space="preserve"> </w:t>
      </w:r>
      <w:r w:rsidRPr="000E6546">
        <w:rPr>
          <w:rFonts w:cs="Arial"/>
          <w:bCs/>
          <w:iCs/>
          <w:szCs w:val="20"/>
        </w:rPr>
        <w:t xml:space="preserve">The Panel considered that the </w:t>
      </w:r>
      <w:r w:rsidR="0078738F" w:rsidRPr="000E6546">
        <w:rPr>
          <w:rFonts w:cs="Arial"/>
          <w:bCs/>
          <w:iCs/>
          <w:szCs w:val="20"/>
        </w:rPr>
        <w:t>Working Group</w:t>
      </w:r>
      <w:r w:rsidRPr="000E6546">
        <w:rPr>
          <w:rFonts w:cs="Arial"/>
          <w:bCs/>
          <w:iCs/>
          <w:szCs w:val="20"/>
        </w:rPr>
        <w:t xml:space="preserve"> has carried out the level of analysis required to enable Parties to understand the impact of the proposed amendment and to vote on DCP </w:t>
      </w:r>
      <w:r w:rsidR="00A52F37" w:rsidRPr="000E6546">
        <w:rPr>
          <w:rFonts w:cs="Arial"/>
          <w:bCs/>
          <w:iCs/>
          <w:szCs w:val="20"/>
        </w:rPr>
        <w:t>4</w:t>
      </w:r>
      <w:r w:rsidR="00C409C3" w:rsidRPr="000E6546">
        <w:rPr>
          <w:rFonts w:cs="Arial"/>
          <w:bCs/>
          <w:iCs/>
          <w:szCs w:val="20"/>
        </w:rPr>
        <w:t>2</w:t>
      </w:r>
      <w:r w:rsidR="00534FFB">
        <w:rPr>
          <w:rFonts w:cs="Arial"/>
          <w:bCs/>
          <w:iCs/>
          <w:szCs w:val="20"/>
        </w:rPr>
        <w:t>1</w:t>
      </w:r>
      <w:r w:rsidR="002743D0" w:rsidRPr="000E6546">
        <w:rPr>
          <w:rFonts w:cs="Arial"/>
          <w:bCs/>
          <w:iCs/>
          <w:szCs w:val="20"/>
        </w:rPr>
        <w:t>.</w:t>
      </w:r>
    </w:p>
    <w:p w14:paraId="43D31468" w14:textId="37F2F229" w:rsidR="00945537" w:rsidRPr="000E6546" w:rsidRDefault="00D10E24" w:rsidP="008B5841">
      <w:pPr>
        <w:pStyle w:val="ListParagraph"/>
        <w:numPr>
          <w:ilvl w:val="1"/>
          <w:numId w:val="32"/>
        </w:numPr>
        <w:tabs>
          <w:tab w:val="left" w:pos="567"/>
        </w:tabs>
        <w:spacing w:line="360" w:lineRule="auto"/>
        <w:jc w:val="both"/>
        <w:rPr>
          <w:rFonts w:cs="Arial"/>
          <w:bCs/>
          <w:iCs/>
          <w:szCs w:val="20"/>
        </w:rPr>
      </w:pPr>
      <w:r w:rsidRPr="000E6546">
        <w:rPr>
          <w:rFonts w:cs="Arial"/>
          <w:bCs/>
          <w:iCs/>
          <w:szCs w:val="20"/>
        </w:rPr>
        <w:t xml:space="preserve">The Panel have recommended that this report is issued </w:t>
      </w:r>
      <w:r w:rsidR="00684433" w:rsidRPr="000E6546">
        <w:rPr>
          <w:rFonts w:cs="Arial"/>
          <w:bCs/>
          <w:iCs/>
          <w:szCs w:val="20"/>
        </w:rPr>
        <w:t>for Voting</w:t>
      </w:r>
      <w:r w:rsidR="001B54D8" w:rsidRPr="000E6546">
        <w:rPr>
          <w:rFonts w:cs="Arial"/>
          <w:bCs/>
          <w:iCs/>
          <w:szCs w:val="20"/>
        </w:rPr>
        <w:t xml:space="preserve"> for a period of 3 weeks</w:t>
      </w:r>
      <w:r w:rsidR="00684433" w:rsidRPr="000E6546">
        <w:rPr>
          <w:rFonts w:cs="Arial"/>
          <w:bCs/>
          <w:iCs/>
          <w:szCs w:val="20"/>
        </w:rPr>
        <w:t xml:space="preserve"> and DCUSA P</w:t>
      </w:r>
      <w:r w:rsidRPr="000E6546">
        <w:rPr>
          <w:rFonts w:cs="Arial"/>
          <w:bCs/>
          <w:iCs/>
          <w:szCs w:val="20"/>
        </w:rPr>
        <w:t xml:space="preserve">arties should consider whether they wish to submit views regarding this </w:t>
      </w:r>
      <w:r w:rsidR="00945537" w:rsidRPr="000E6546">
        <w:rPr>
          <w:rFonts w:cs="Arial"/>
          <w:bCs/>
          <w:iCs/>
          <w:szCs w:val="20"/>
        </w:rPr>
        <w:t>Change Proposal.</w:t>
      </w:r>
    </w:p>
    <w:p w14:paraId="13C2AE87" w14:textId="09FA955C" w:rsidR="00684433" w:rsidRDefault="00684433" w:rsidP="009456EB">
      <w:pPr>
        <w:pStyle w:val="Heading03"/>
      </w:pPr>
      <w:bookmarkStart w:id="33" w:name="_Toc125191632"/>
      <w:r w:rsidRPr="00FD64CC">
        <w:t>Attachments</w:t>
      </w:r>
      <w:bookmarkEnd w:id="33"/>
      <w:r w:rsidRPr="00FD64CC">
        <w:t xml:space="preserve"> </w:t>
      </w:r>
    </w:p>
    <w:p w14:paraId="3FECBE80" w14:textId="0529E4B6" w:rsidR="00F56EDE" w:rsidRDefault="00F56EDE" w:rsidP="00F56EDE">
      <w:pPr>
        <w:numPr>
          <w:ilvl w:val="0"/>
          <w:numId w:val="17"/>
        </w:numPr>
        <w:tabs>
          <w:tab w:val="left" w:pos="851"/>
        </w:tabs>
        <w:ind w:left="851"/>
      </w:pPr>
      <w:r w:rsidRPr="002A3F8F">
        <w:t xml:space="preserve">Attachment </w:t>
      </w:r>
      <w:r>
        <w:t>1</w:t>
      </w:r>
      <w:r w:rsidR="00005370">
        <w:t>_</w:t>
      </w:r>
      <w:r w:rsidRPr="002A3F8F">
        <w:t xml:space="preserve">DCP </w:t>
      </w:r>
      <w:r>
        <w:t>421</w:t>
      </w:r>
      <w:r w:rsidRPr="002A3F8F">
        <w:t xml:space="preserve"> Change Proposal </w:t>
      </w:r>
      <w:r>
        <w:t>Form</w:t>
      </w:r>
    </w:p>
    <w:p w14:paraId="527C86E8" w14:textId="35607BBB" w:rsidR="007A3283" w:rsidRDefault="007A3283" w:rsidP="00F56EDE">
      <w:pPr>
        <w:numPr>
          <w:ilvl w:val="0"/>
          <w:numId w:val="17"/>
        </w:numPr>
        <w:tabs>
          <w:tab w:val="left" w:pos="851"/>
        </w:tabs>
        <w:ind w:left="851"/>
      </w:pPr>
      <w:r>
        <w:lastRenderedPageBreak/>
        <w:t>Attachment 2_DCP 421 Draft Legal Text</w:t>
      </w:r>
    </w:p>
    <w:p w14:paraId="7854FF46" w14:textId="6D949AF8" w:rsidR="00F56EDE" w:rsidRDefault="00F56EDE" w:rsidP="00F56EDE">
      <w:pPr>
        <w:pStyle w:val="ListParagraph"/>
        <w:numPr>
          <w:ilvl w:val="0"/>
          <w:numId w:val="17"/>
        </w:numPr>
        <w:tabs>
          <w:tab w:val="left" w:pos="851"/>
        </w:tabs>
        <w:ind w:left="851"/>
      </w:pPr>
      <w:r>
        <w:t xml:space="preserve">Attachment </w:t>
      </w:r>
      <w:r w:rsidR="007A3283">
        <w:t>3</w:t>
      </w:r>
      <w:r w:rsidR="0074187E">
        <w:t>_</w:t>
      </w:r>
      <w:r>
        <w:t>DCP 421 Voting Form</w:t>
      </w:r>
    </w:p>
    <w:p w14:paraId="6FD22B45" w14:textId="790A0883" w:rsidR="00F56EDE" w:rsidRDefault="00F56EDE" w:rsidP="00F56EDE">
      <w:pPr>
        <w:numPr>
          <w:ilvl w:val="0"/>
          <w:numId w:val="17"/>
        </w:numPr>
        <w:tabs>
          <w:tab w:val="left" w:pos="851"/>
        </w:tabs>
        <w:ind w:left="851"/>
      </w:pPr>
      <w:bookmarkStart w:id="34" w:name="_Hlk134714427"/>
      <w:r w:rsidRPr="002A3F8F">
        <w:t xml:space="preserve">Attachment </w:t>
      </w:r>
      <w:r w:rsidR="007A3283">
        <w:t>4</w:t>
      </w:r>
      <w:r w:rsidR="0074187E">
        <w:t>_</w:t>
      </w:r>
      <w:r w:rsidRPr="002A3F8F">
        <w:t xml:space="preserve">DCP </w:t>
      </w:r>
      <w:r>
        <w:t>421 Consolidated Consultation 1 Responses</w:t>
      </w:r>
    </w:p>
    <w:p w14:paraId="6CD2E63B" w14:textId="10F58380" w:rsidR="00F56EDE" w:rsidRDefault="00F56EDE" w:rsidP="00F56EDE">
      <w:pPr>
        <w:numPr>
          <w:ilvl w:val="0"/>
          <w:numId w:val="17"/>
        </w:numPr>
        <w:tabs>
          <w:tab w:val="left" w:pos="851"/>
        </w:tabs>
        <w:ind w:left="851"/>
      </w:pPr>
      <w:r w:rsidRPr="00943951">
        <w:t xml:space="preserve">Attachment </w:t>
      </w:r>
      <w:r w:rsidR="007A3283">
        <w:t>5</w:t>
      </w:r>
      <w:r w:rsidRPr="00943951">
        <w:t>_Proposed ED2 Template.</w:t>
      </w:r>
    </w:p>
    <w:p w14:paraId="081CC9BA" w14:textId="0962D80A" w:rsidR="0057243F" w:rsidRPr="00D80A33" w:rsidRDefault="0074187E" w:rsidP="00C57F0B">
      <w:pPr>
        <w:numPr>
          <w:ilvl w:val="0"/>
          <w:numId w:val="17"/>
        </w:numPr>
        <w:tabs>
          <w:tab w:val="left" w:pos="851"/>
        </w:tabs>
        <w:ind w:left="851"/>
      </w:pPr>
      <w:r w:rsidRPr="00943951">
        <w:t xml:space="preserve">Attachment </w:t>
      </w:r>
      <w:r w:rsidR="007A3283">
        <w:t>6</w:t>
      </w:r>
      <w:r w:rsidRPr="00943951">
        <w:t>_</w:t>
      </w:r>
      <w:r w:rsidRPr="0074187E">
        <w:t>DCP 421 Modelling documents</w:t>
      </w:r>
      <w:bookmarkEnd w:id="34"/>
    </w:p>
    <w:sectPr w:rsidR="0057243F" w:rsidRPr="00D80A33" w:rsidSect="006B586A">
      <w:headerReference w:type="default" r:id="rId15"/>
      <w:footerReference w:type="default" r:id="rId16"/>
      <w:pgSz w:w="11906" w:h="16838"/>
      <w:pgMar w:top="1418" w:right="1416" w:bottom="567" w:left="1134" w:header="142"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38E48" w14:textId="77777777" w:rsidR="006B586A" w:rsidRDefault="006B586A">
      <w:pPr>
        <w:spacing w:line="240" w:lineRule="auto"/>
      </w:pPr>
      <w:r>
        <w:separator/>
      </w:r>
    </w:p>
    <w:p w14:paraId="4E061EB9" w14:textId="77777777" w:rsidR="006B586A" w:rsidRDefault="006B586A"/>
  </w:endnote>
  <w:endnote w:type="continuationSeparator" w:id="0">
    <w:p w14:paraId="25ABC8E4" w14:textId="77777777" w:rsidR="006B586A" w:rsidRDefault="006B586A">
      <w:pPr>
        <w:spacing w:line="240" w:lineRule="auto"/>
      </w:pPr>
      <w:r>
        <w:continuationSeparator/>
      </w:r>
    </w:p>
    <w:p w14:paraId="4A468BC6" w14:textId="77777777" w:rsidR="006B586A" w:rsidRDefault="006B586A"/>
  </w:endnote>
  <w:endnote w:type="continuationNotice" w:id="1">
    <w:p w14:paraId="64A1C822" w14:textId="77777777" w:rsidR="006B586A" w:rsidRDefault="006B586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BB19" w14:textId="3EC1BD96" w:rsidR="007044BE" w:rsidRDefault="00A77FCF"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CP </w:t>
    </w:r>
    <w:r w:rsidR="00453452">
      <w:rPr>
        <w:rFonts w:cs="Arial"/>
        <w:sz w:val="16"/>
        <w:szCs w:val="16"/>
      </w:rPr>
      <w:t>4</w:t>
    </w:r>
    <w:r w:rsidR="00A72A8E">
      <w:rPr>
        <w:rFonts w:cs="Arial"/>
        <w:sz w:val="16"/>
        <w:szCs w:val="16"/>
      </w:rPr>
      <w:t>2</w:t>
    </w:r>
    <w:r w:rsidR="00F05713">
      <w:rPr>
        <w:rFonts w:cs="Arial"/>
        <w:sz w:val="16"/>
        <w:szCs w:val="16"/>
      </w:rPr>
      <w:t>1</w:t>
    </w:r>
    <w:r w:rsidR="007044BE">
      <w:rPr>
        <w:rFonts w:cs="Arial"/>
        <w:sz w:val="16"/>
        <w:szCs w:val="16"/>
      </w:rPr>
      <w:tab/>
    </w:r>
    <w:r w:rsidR="007044BE">
      <w:rPr>
        <w:rFonts w:cs="Arial"/>
        <w:sz w:val="16"/>
        <w:szCs w:val="16"/>
      </w:rPr>
      <w:tab/>
    </w:r>
    <w:r w:rsidR="007044BE" w:rsidRPr="000660DF">
      <w:rPr>
        <w:rFonts w:cs="Arial"/>
        <w:sz w:val="16"/>
        <w:szCs w:val="16"/>
        <w:lang w:val="en-US"/>
      </w:rPr>
      <w:t xml:space="preserve">Page </w:t>
    </w:r>
    <w:r w:rsidR="007044BE" w:rsidRPr="000660DF">
      <w:rPr>
        <w:rFonts w:cs="Arial"/>
        <w:sz w:val="16"/>
        <w:szCs w:val="16"/>
        <w:lang w:val="en-US"/>
      </w:rPr>
      <w:fldChar w:fldCharType="begin"/>
    </w:r>
    <w:r w:rsidR="007044BE" w:rsidRPr="000660DF">
      <w:rPr>
        <w:rFonts w:cs="Arial"/>
        <w:sz w:val="16"/>
        <w:szCs w:val="16"/>
        <w:lang w:val="en-US"/>
      </w:rPr>
      <w:instrText xml:space="preserve"> PAGE </w:instrText>
    </w:r>
    <w:r w:rsidR="007044BE" w:rsidRPr="000660DF">
      <w:rPr>
        <w:rFonts w:cs="Arial"/>
        <w:sz w:val="16"/>
        <w:szCs w:val="16"/>
        <w:lang w:val="en-US"/>
      </w:rPr>
      <w:fldChar w:fldCharType="separate"/>
    </w:r>
    <w:r w:rsidR="0050697B">
      <w:rPr>
        <w:rFonts w:cs="Arial"/>
        <w:noProof/>
        <w:sz w:val="16"/>
        <w:szCs w:val="16"/>
        <w:lang w:val="en-US"/>
      </w:rPr>
      <w:t>6</w:t>
    </w:r>
    <w:r w:rsidR="007044BE" w:rsidRPr="000660DF">
      <w:rPr>
        <w:rFonts w:cs="Arial"/>
        <w:sz w:val="16"/>
        <w:szCs w:val="16"/>
        <w:lang w:val="en-US"/>
      </w:rPr>
      <w:fldChar w:fldCharType="end"/>
    </w:r>
    <w:r w:rsidR="007044BE" w:rsidRPr="000660DF">
      <w:rPr>
        <w:rFonts w:cs="Arial"/>
        <w:sz w:val="16"/>
        <w:szCs w:val="16"/>
        <w:lang w:val="en-US"/>
      </w:rPr>
      <w:t xml:space="preserve"> of </w:t>
    </w:r>
    <w:r w:rsidR="007044BE" w:rsidRPr="000660DF">
      <w:rPr>
        <w:rFonts w:cs="Arial"/>
        <w:sz w:val="16"/>
        <w:szCs w:val="16"/>
        <w:lang w:val="en-US"/>
      </w:rPr>
      <w:fldChar w:fldCharType="begin"/>
    </w:r>
    <w:r w:rsidR="007044BE" w:rsidRPr="000660DF">
      <w:rPr>
        <w:rFonts w:cs="Arial"/>
        <w:sz w:val="16"/>
        <w:szCs w:val="16"/>
        <w:lang w:val="en-US"/>
      </w:rPr>
      <w:instrText xml:space="preserve"> NUMPAGES </w:instrText>
    </w:r>
    <w:r w:rsidR="007044BE" w:rsidRPr="000660DF">
      <w:rPr>
        <w:rFonts w:cs="Arial"/>
        <w:sz w:val="16"/>
        <w:szCs w:val="16"/>
        <w:lang w:val="en-US"/>
      </w:rPr>
      <w:fldChar w:fldCharType="separate"/>
    </w:r>
    <w:r w:rsidR="0050697B">
      <w:rPr>
        <w:rFonts w:cs="Arial"/>
        <w:noProof/>
        <w:sz w:val="16"/>
        <w:szCs w:val="16"/>
        <w:lang w:val="en-US"/>
      </w:rPr>
      <w:t>7</w:t>
    </w:r>
    <w:r w:rsidR="007044BE" w:rsidRPr="000660DF">
      <w:rPr>
        <w:rFonts w:cs="Arial"/>
        <w:sz w:val="16"/>
        <w:szCs w:val="16"/>
        <w:lang w:val="en-US"/>
      </w:rPr>
      <w:fldChar w:fldCharType="end"/>
    </w:r>
    <w:r w:rsidR="003C4891">
      <w:rPr>
        <w:rFonts w:cs="Arial"/>
        <w:sz w:val="16"/>
        <w:szCs w:val="16"/>
        <w:lang w:val="en-US"/>
      </w:rPr>
      <w:tab/>
      <w:t>Version 1.0</w:t>
    </w:r>
  </w:p>
  <w:p w14:paraId="518578DC" w14:textId="438AC63C" w:rsidR="007044BE" w:rsidRPr="000660DF" w:rsidRDefault="00AA7E89"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Change</w:t>
    </w:r>
    <w:r w:rsidR="00B52A9E">
      <w:rPr>
        <w:rFonts w:cs="Arial"/>
        <w:sz w:val="16"/>
        <w:szCs w:val="16"/>
        <w:lang w:val="en-US"/>
      </w:rPr>
      <w:t xml:space="preserve"> Report</w:t>
    </w:r>
    <w:r w:rsidR="007044BE">
      <w:rPr>
        <w:rFonts w:cs="Arial"/>
        <w:sz w:val="16"/>
        <w:szCs w:val="16"/>
        <w:lang w:val="en-US"/>
      </w:rPr>
      <w:tab/>
    </w:r>
    <w:r w:rsidR="007044BE" w:rsidRPr="000660DF">
      <w:rPr>
        <w:rFonts w:cs="Arial"/>
        <w:sz w:val="16"/>
        <w:szCs w:val="16"/>
      </w:rPr>
      <w:t xml:space="preserve">© </w:t>
    </w:r>
    <w:r w:rsidR="007044BE">
      <w:rPr>
        <w:rFonts w:cs="Arial"/>
        <w:sz w:val="16"/>
        <w:szCs w:val="16"/>
      </w:rPr>
      <w:t xml:space="preserve">2016 </w:t>
    </w:r>
    <w:r w:rsidR="007044BE" w:rsidRPr="000660DF">
      <w:rPr>
        <w:rFonts w:cs="Arial"/>
        <w:sz w:val="16"/>
        <w:szCs w:val="16"/>
      </w:rPr>
      <w:t>all rights reserved</w:t>
    </w:r>
    <w:r w:rsidR="007044BE">
      <w:rPr>
        <w:rFonts w:cs="Arial"/>
        <w:sz w:val="16"/>
        <w:szCs w:val="16"/>
      </w:rPr>
      <w:tab/>
    </w:r>
    <w:r w:rsidR="00510C5E">
      <w:rPr>
        <w:rFonts w:cs="Arial"/>
        <w:sz w:val="16"/>
        <w:szCs w:val="16"/>
      </w:rPr>
      <w:t xml:space="preserve">19 </w:t>
    </w:r>
    <w:r w:rsidR="00C57F0B">
      <w:rPr>
        <w:rFonts w:cs="Arial"/>
        <w:sz w:val="16"/>
        <w:szCs w:val="16"/>
      </w:rPr>
      <w:t>April</w:t>
    </w:r>
    <w:r w:rsidR="00B7433C">
      <w:rPr>
        <w:rFonts w:cs="Arial"/>
        <w:sz w:val="16"/>
        <w:szCs w:val="16"/>
      </w:rPr>
      <w:t xml:space="preserve"> </w:t>
    </w:r>
    <w:r w:rsidR="00B7433C">
      <w:rPr>
        <w:rFonts w:cs="Arial"/>
        <w:sz w:val="16"/>
        <w:szCs w:val="16"/>
        <w:lang w:val="en-US"/>
      </w:rPr>
      <w:t>202</w:t>
    </w:r>
    <w:r w:rsidR="00B82AFC">
      <w:rPr>
        <w:rFonts w:cs="Arial"/>
        <w:sz w:val="16"/>
        <w:szCs w:val="16"/>
        <w:lang w:val="en-U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DC45" w14:textId="77777777" w:rsidR="006B586A" w:rsidRDefault="006B586A">
      <w:pPr>
        <w:spacing w:line="240" w:lineRule="auto"/>
      </w:pPr>
      <w:r>
        <w:separator/>
      </w:r>
    </w:p>
    <w:p w14:paraId="5ACF0F6B" w14:textId="77777777" w:rsidR="006B586A" w:rsidRDefault="006B586A"/>
  </w:footnote>
  <w:footnote w:type="continuationSeparator" w:id="0">
    <w:p w14:paraId="1A5F12B7" w14:textId="77777777" w:rsidR="006B586A" w:rsidRDefault="006B586A">
      <w:pPr>
        <w:spacing w:line="240" w:lineRule="auto"/>
      </w:pPr>
      <w:r>
        <w:continuationSeparator/>
      </w:r>
    </w:p>
    <w:p w14:paraId="4C5DA7A2" w14:textId="77777777" w:rsidR="006B586A" w:rsidRDefault="006B586A"/>
  </w:footnote>
  <w:footnote w:type="continuationNotice" w:id="1">
    <w:p w14:paraId="2E1D0CA1" w14:textId="77777777" w:rsidR="006B586A" w:rsidRDefault="006B586A">
      <w:pPr>
        <w:spacing w:before="0" w:after="0" w:line="240" w:lineRule="auto"/>
      </w:pPr>
    </w:p>
  </w:footnote>
  <w:footnote w:id="2">
    <w:p w14:paraId="77DCE5BF" w14:textId="7F12C8C2" w:rsidR="00F05713" w:rsidRDefault="00F05713">
      <w:pPr>
        <w:pStyle w:val="FootnoteText"/>
      </w:pPr>
      <w:r>
        <w:rPr>
          <w:rStyle w:val="FootnoteReference"/>
        </w:rPr>
        <w:footnoteRef/>
      </w:r>
      <w:r>
        <w:t xml:space="preserve"> </w:t>
      </w:r>
      <w:hyperlink r:id="rId1" w:history="1">
        <w:r w:rsidRPr="00426369">
          <w:rPr>
            <w:rStyle w:val="Hyperlink"/>
            <w:b/>
            <w:bCs/>
            <w:color w:val="2E74B5" w:themeColor="accent5" w:themeShade="BF"/>
          </w:rPr>
          <w:t>Reviewing the requirements of Sections 35A ('Provision of Cost Information'), 35B ('Production of the Annual Review Pack'), Schedule 15 ('Cost Information Table') and Schedule 20 ('Production of the Annual Review Pack')</w:t>
        </w:r>
      </w:hyperlink>
    </w:p>
  </w:footnote>
  <w:footnote w:id="3">
    <w:p w14:paraId="0511EEA0" w14:textId="77777777" w:rsidR="005F6350" w:rsidRDefault="005F6350" w:rsidP="005F6350">
      <w:pPr>
        <w:pStyle w:val="FootnoteText"/>
      </w:pPr>
      <w:r>
        <w:rPr>
          <w:rStyle w:val="FootnoteReference"/>
        </w:rPr>
        <w:footnoteRef/>
      </w:r>
      <w:r>
        <w:t xml:space="preserve"> </w:t>
      </w:r>
      <w:hyperlink r:id="rId2" w:history="1">
        <w:r>
          <w:rPr>
            <w:rStyle w:val="Hyperlink"/>
          </w:rPr>
          <w:t>Decision on the proposed modifications to the RIIO-2 Electricity Distribution licences | Ofgem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F9B1" w14:textId="04179016" w:rsidR="000E1892" w:rsidRDefault="008B547E">
    <w:pPr>
      <w:pStyle w:val="Header"/>
    </w:pPr>
    <w:r>
      <w:rPr>
        <w:noProof/>
      </w:rPr>
      <w:drawing>
        <wp:anchor distT="0" distB="0" distL="114300" distR="114300" simplePos="0" relativeHeight="251657728" behindDoc="0" locked="0" layoutInCell="1" allowOverlap="1" wp14:anchorId="01DD6C93" wp14:editId="5BB684F5">
          <wp:simplePos x="0" y="0"/>
          <wp:positionH relativeFrom="column">
            <wp:posOffset>4118610</wp:posOffset>
          </wp:positionH>
          <wp:positionV relativeFrom="paragraph">
            <wp:posOffset>-17780</wp:posOffset>
          </wp:positionV>
          <wp:extent cx="2317750" cy="784860"/>
          <wp:effectExtent l="0" t="0" r="0" b="0"/>
          <wp:wrapNone/>
          <wp:docPr id="3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0E189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3"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1C1E5E"/>
    <w:multiLevelType w:val="hybridMultilevel"/>
    <w:tmpl w:val="E7BE24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C4C160C"/>
    <w:multiLevelType w:val="multilevel"/>
    <w:tmpl w:val="F3B04570"/>
    <w:lvl w:ilvl="0">
      <w:start w:val="1"/>
      <w:numFmt w:val="decimal"/>
      <w:pStyle w:val="Heading03"/>
      <w:lvlText w:val="%1"/>
      <w:lvlJc w:val="left"/>
      <w:pPr>
        <w:ind w:left="432" w:hanging="432"/>
      </w:pPr>
      <w:rPr>
        <w:rFonts w:hint="default"/>
      </w:rPr>
    </w:lvl>
    <w:lvl w:ilvl="1">
      <w:start w:val="1"/>
      <w:numFmt w:val="decimal"/>
      <w:lvlText w:val="%1.%2"/>
      <w:lvlJc w:val="left"/>
      <w:pPr>
        <w:ind w:left="718" w:hanging="576"/>
      </w:pPr>
      <w:rPr>
        <w:rFonts w:ascii="Arial" w:hAnsi="Arial" w:cs="Arial" w:hint="default"/>
        <w:b w:val="0"/>
        <w:bCs/>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EE53BAE"/>
    <w:multiLevelType w:val="multilevel"/>
    <w:tmpl w:val="8F227D00"/>
    <w:lvl w:ilvl="0">
      <w:start w:val="1"/>
      <w:numFmt w:val="lowerLetter"/>
      <w:pStyle w:val="DCUSATableTexta"/>
      <w:lvlText w:val="(%1)"/>
      <w:lvlJc w:val="left"/>
      <w:pPr>
        <w:ind w:left="1208" w:hanging="357"/>
      </w:pPr>
      <w:rPr>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lvl>
    <w:lvl w:ilvl="3">
      <w:start w:val="1"/>
      <w:numFmt w:val="decimal"/>
      <w:lvlText w:val="(%4)"/>
      <w:lvlJc w:val="left"/>
      <w:pPr>
        <w:ind w:left="1208" w:hanging="357"/>
      </w:pPr>
    </w:lvl>
    <w:lvl w:ilvl="4">
      <w:start w:val="1"/>
      <w:numFmt w:val="lowerLetter"/>
      <w:lvlText w:val="(%5)"/>
      <w:lvlJc w:val="left"/>
      <w:pPr>
        <w:ind w:left="1208" w:hanging="357"/>
      </w:pPr>
    </w:lvl>
    <w:lvl w:ilvl="5">
      <w:start w:val="1"/>
      <w:numFmt w:val="lowerRoman"/>
      <w:lvlText w:val="(%6)"/>
      <w:lvlJc w:val="left"/>
      <w:pPr>
        <w:ind w:left="1208" w:hanging="357"/>
      </w:pPr>
    </w:lvl>
    <w:lvl w:ilvl="6">
      <w:start w:val="1"/>
      <w:numFmt w:val="decimal"/>
      <w:lvlText w:val="%7."/>
      <w:lvlJc w:val="left"/>
      <w:pPr>
        <w:ind w:left="1208" w:hanging="357"/>
      </w:pPr>
    </w:lvl>
    <w:lvl w:ilvl="7">
      <w:start w:val="1"/>
      <w:numFmt w:val="lowerLetter"/>
      <w:lvlText w:val="%8."/>
      <w:lvlJc w:val="left"/>
      <w:pPr>
        <w:ind w:left="1208" w:hanging="357"/>
      </w:pPr>
    </w:lvl>
    <w:lvl w:ilvl="8">
      <w:start w:val="1"/>
      <w:numFmt w:val="lowerRoman"/>
      <w:lvlText w:val="%9."/>
      <w:lvlJc w:val="left"/>
      <w:pPr>
        <w:ind w:left="1208" w:hanging="357"/>
      </w:pPr>
    </w:lvl>
  </w:abstractNum>
  <w:abstractNum w:abstractNumId="9" w15:restartNumberingAfterBreak="0">
    <w:nsid w:val="2F3F4E32"/>
    <w:multiLevelType w:val="multilevel"/>
    <w:tmpl w:val="23783C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51B7CF7"/>
    <w:multiLevelType w:val="hybridMultilevel"/>
    <w:tmpl w:val="D92C0A9E"/>
    <w:lvl w:ilvl="0" w:tplc="08090001">
      <w:start w:val="1"/>
      <w:numFmt w:val="bullet"/>
      <w:lvlText w:val=""/>
      <w:lvlJc w:val="left"/>
      <w:pPr>
        <w:ind w:left="1721" w:hanging="360"/>
      </w:pPr>
      <w:rPr>
        <w:rFonts w:ascii="Symbol" w:hAnsi="Symbol" w:hint="default"/>
      </w:rPr>
    </w:lvl>
    <w:lvl w:ilvl="1" w:tplc="08090003" w:tentative="1">
      <w:start w:val="1"/>
      <w:numFmt w:val="bullet"/>
      <w:lvlText w:val="o"/>
      <w:lvlJc w:val="left"/>
      <w:pPr>
        <w:ind w:left="2441" w:hanging="360"/>
      </w:pPr>
      <w:rPr>
        <w:rFonts w:ascii="Courier New" w:hAnsi="Courier New" w:cs="Courier New" w:hint="default"/>
      </w:rPr>
    </w:lvl>
    <w:lvl w:ilvl="2" w:tplc="08090005" w:tentative="1">
      <w:start w:val="1"/>
      <w:numFmt w:val="bullet"/>
      <w:lvlText w:val=""/>
      <w:lvlJc w:val="left"/>
      <w:pPr>
        <w:ind w:left="3161" w:hanging="360"/>
      </w:pPr>
      <w:rPr>
        <w:rFonts w:ascii="Wingdings" w:hAnsi="Wingdings" w:hint="default"/>
      </w:rPr>
    </w:lvl>
    <w:lvl w:ilvl="3" w:tplc="08090001" w:tentative="1">
      <w:start w:val="1"/>
      <w:numFmt w:val="bullet"/>
      <w:lvlText w:val=""/>
      <w:lvlJc w:val="left"/>
      <w:pPr>
        <w:ind w:left="3881" w:hanging="360"/>
      </w:pPr>
      <w:rPr>
        <w:rFonts w:ascii="Symbol" w:hAnsi="Symbol" w:hint="default"/>
      </w:rPr>
    </w:lvl>
    <w:lvl w:ilvl="4" w:tplc="08090003" w:tentative="1">
      <w:start w:val="1"/>
      <w:numFmt w:val="bullet"/>
      <w:lvlText w:val="o"/>
      <w:lvlJc w:val="left"/>
      <w:pPr>
        <w:ind w:left="4601" w:hanging="360"/>
      </w:pPr>
      <w:rPr>
        <w:rFonts w:ascii="Courier New" w:hAnsi="Courier New" w:cs="Courier New" w:hint="default"/>
      </w:rPr>
    </w:lvl>
    <w:lvl w:ilvl="5" w:tplc="08090005" w:tentative="1">
      <w:start w:val="1"/>
      <w:numFmt w:val="bullet"/>
      <w:lvlText w:val=""/>
      <w:lvlJc w:val="left"/>
      <w:pPr>
        <w:ind w:left="5321" w:hanging="360"/>
      </w:pPr>
      <w:rPr>
        <w:rFonts w:ascii="Wingdings" w:hAnsi="Wingdings" w:hint="default"/>
      </w:rPr>
    </w:lvl>
    <w:lvl w:ilvl="6" w:tplc="08090001" w:tentative="1">
      <w:start w:val="1"/>
      <w:numFmt w:val="bullet"/>
      <w:lvlText w:val=""/>
      <w:lvlJc w:val="left"/>
      <w:pPr>
        <w:ind w:left="6041" w:hanging="360"/>
      </w:pPr>
      <w:rPr>
        <w:rFonts w:ascii="Symbol" w:hAnsi="Symbol" w:hint="default"/>
      </w:rPr>
    </w:lvl>
    <w:lvl w:ilvl="7" w:tplc="08090003" w:tentative="1">
      <w:start w:val="1"/>
      <w:numFmt w:val="bullet"/>
      <w:lvlText w:val="o"/>
      <w:lvlJc w:val="left"/>
      <w:pPr>
        <w:ind w:left="6761" w:hanging="360"/>
      </w:pPr>
      <w:rPr>
        <w:rFonts w:ascii="Courier New" w:hAnsi="Courier New" w:cs="Courier New" w:hint="default"/>
      </w:rPr>
    </w:lvl>
    <w:lvl w:ilvl="8" w:tplc="08090005" w:tentative="1">
      <w:start w:val="1"/>
      <w:numFmt w:val="bullet"/>
      <w:lvlText w:val=""/>
      <w:lvlJc w:val="left"/>
      <w:pPr>
        <w:ind w:left="7481" w:hanging="360"/>
      </w:pPr>
      <w:rPr>
        <w:rFonts w:ascii="Wingdings" w:hAnsi="Wingdings" w:hint="default"/>
      </w:rPr>
    </w:lvl>
  </w:abstractNum>
  <w:abstractNum w:abstractNumId="12" w15:restartNumberingAfterBreak="0">
    <w:nsid w:val="36756B41"/>
    <w:multiLevelType w:val="hybridMultilevel"/>
    <w:tmpl w:val="CEB2F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867850"/>
    <w:multiLevelType w:val="multilevel"/>
    <w:tmpl w:val="1EC4A242"/>
    <w:lvl w:ilvl="0">
      <w:start w:val="1"/>
      <w:numFmt w:val="decimal"/>
      <w:pStyle w:val="Heading1"/>
      <w:lvlText w:val="%1"/>
      <w:lvlJc w:val="left"/>
      <w:pPr>
        <w:ind w:left="716"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857"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47C75EED"/>
    <w:multiLevelType w:val="hybridMultilevel"/>
    <w:tmpl w:val="80585102"/>
    <w:lvl w:ilvl="0" w:tplc="08090001">
      <w:start w:val="1"/>
      <w:numFmt w:val="bullet"/>
      <w:lvlText w:val=""/>
      <w:lvlJc w:val="left"/>
      <w:pPr>
        <w:ind w:left="1721" w:hanging="360"/>
      </w:pPr>
      <w:rPr>
        <w:rFonts w:ascii="Symbol" w:hAnsi="Symbol" w:hint="default"/>
      </w:rPr>
    </w:lvl>
    <w:lvl w:ilvl="1" w:tplc="08090003" w:tentative="1">
      <w:start w:val="1"/>
      <w:numFmt w:val="bullet"/>
      <w:lvlText w:val="o"/>
      <w:lvlJc w:val="left"/>
      <w:pPr>
        <w:ind w:left="2441" w:hanging="360"/>
      </w:pPr>
      <w:rPr>
        <w:rFonts w:ascii="Courier New" w:hAnsi="Courier New" w:cs="Courier New" w:hint="default"/>
      </w:rPr>
    </w:lvl>
    <w:lvl w:ilvl="2" w:tplc="08090005" w:tentative="1">
      <w:start w:val="1"/>
      <w:numFmt w:val="bullet"/>
      <w:lvlText w:val=""/>
      <w:lvlJc w:val="left"/>
      <w:pPr>
        <w:ind w:left="3161" w:hanging="360"/>
      </w:pPr>
      <w:rPr>
        <w:rFonts w:ascii="Wingdings" w:hAnsi="Wingdings" w:hint="default"/>
      </w:rPr>
    </w:lvl>
    <w:lvl w:ilvl="3" w:tplc="08090001" w:tentative="1">
      <w:start w:val="1"/>
      <w:numFmt w:val="bullet"/>
      <w:lvlText w:val=""/>
      <w:lvlJc w:val="left"/>
      <w:pPr>
        <w:ind w:left="3881" w:hanging="360"/>
      </w:pPr>
      <w:rPr>
        <w:rFonts w:ascii="Symbol" w:hAnsi="Symbol" w:hint="default"/>
      </w:rPr>
    </w:lvl>
    <w:lvl w:ilvl="4" w:tplc="08090003" w:tentative="1">
      <w:start w:val="1"/>
      <w:numFmt w:val="bullet"/>
      <w:lvlText w:val="o"/>
      <w:lvlJc w:val="left"/>
      <w:pPr>
        <w:ind w:left="4601" w:hanging="360"/>
      </w:pPr>
      <w:rPr>
        <w:rFonts w:ascii="Courier New" w:hAnsi="Courier New" w:cs="Courier New" w:hint="default"/>
      </w:rPr>
    </w:lvl>
    <w:lvl w:ilvl="5" w:tplc="08090005" w:tentative="1">
      <w:start w:val="1"/>
      <w:numFmt w:val="bullet"/>
      <w:lvlText w:val=""/>
      <w:lvlJc w:val="left"/>
      <w:pPr>
        <w:ind w:left="5321" w:hanging="360"/>
      </w:pPr>
      <w:rPr>
        <w:rFonts w:ascii="Wingdings" w:hAnsi="Wingdings" w:hint="default"/>
      </w:rPr>
    </w:lvl>
    <w:lvl w:ilvl="6" w:tplc="08090001" w:tentative="1">
      <w:start w:val="1"/>
      <w:numFmt w:val="bullet"/>
      <w:lvlText w:val=""/>
      <w:lvlJc w:val="left"/>
      <w:pPr>
        <w:ind w:left="6041" w:hanging="360"/>
      </w:pPr>
      <w:rPr>
        <w:rFonts w:ascii="Symbol" w:hAnsi="Symbol" w:hint="default"/>
      </w:rPr>
    </w:lvl>
    <w:lvl w:ilvl="7" w:tplc="08090003" w:tentative="1">
      <w:start w:val="1"/>
      <w:numFmt w:val="bullet"/>
      <w:lvlText w:val="o"/>
      <w:lvlJc w:val="left"/>
      <w:pPr>
        <w:ind w:left="6761" w:hanging="360"/>
      </w:pPr>
      <w:rPr>
        <w:rFonts w:ascii="Courier New" w:hAnsi="Courier New" w:cs="Courier New" w:hint="default"/>
      </w:rPr>
    </w:lvl>
    <w:lvl w:ilvl="8" w:tplc="08090005" w:tentative="1">
      <w:start w:val="1"/>
      <w:numFmt w:val="bullet"/>
      <w:lvlText w:val=""/>
      <w:lvlJc w:val="left"/>
      <w:pPr>
        <w:ind w:left="7481" w:hanging="360"/>
      </w:pPr>
      <w:rPr>
        <w:rFonts w:ascii="Wingdings" w:hAnsi="Wingdings" w:hint="default"/>
      </w:rPr>
    </w:lvl>
  </w:abstractNum>
  <w:abstractNum w:abstractNumId="16" w15:restartNumberingAfterBreak="0">
    <w:nsid w:val="49E0562B"/>
    <w:multiLevelType w:val="hybridMultilevel"/>
    <w:tmpl w:val="E7BE24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317D90"/>
    <w:multiLevelType w:val="multilevel"/>
    <w:tmpl w:val="0AC6BD02"/>
    <w:lvl w:ilvl="0">
      <w:start w:val="1"/>
      <w:numFmt w:val="decimal"/>
      <w:lvlText w:val="%1"/>
      <w:lvlJc w:val="left"/>
      <w:pPr>
        <w:ind w:left="432" w:hanging="432"/>
      </w:pPr>
      <w:rPr>
        <w:rFonts w:hint="default"/>
      </w:rPr>
    </w:lvl>
    <w:lvl w:ilvl="1">
      <w:start w:val="1"/>
      <w:numFmt w:val="bullet"/>
      <w:lvlText w:val=""/>
      <w:lvlJc w:val="left"/>
      <w:pPr>
        <w:ind w:left="502"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A6646EC"/>
    <w:multiLevelType w:val="hybridMultilevel"/>
    <w:tmpl w:val="42BA3CD8"/>
    <w:lvl w:ilvl="0" w:tplc="08090001">
      <w:start w:val="1"/>
      <w:numFmt w:val="bullet"/>
      <w:lvlText w:val=""/>
      <w:lvlJc w:val="left"/>
      <w:pPr>
        <w:ind w:left="1722" w:hanging="360"/>
      </w:pPr>
      <w:rPr>
        <w:rFonts w:ascii="Symbol" w:hAnsi="Symbol" w:hint="default"/>
      </w:rPr>
    </w:lvl>
    <w:lvl w:ilvl="1" w:tplc="08090003">
      <w:start w:val="1"/>
      <w:numFmt w:val="bullet"/>
      <w:lvlText w:val="o"/>
      <w:lvlJc w:val="left"/>
      <w:pPr>
        <w:ind w:left="2442" w:hanging="360"/>
      </w:pPr>
      <w:rPr>
        <w:rFonts w:ascii="Courier New" w:hAnsi="Courier New" w:cs="Courier New" w:hint="default"/>
      </w:rPr>
    </w:lvl>
    <w:lvl w:ilvl="2" w:tplc="08090005" w:tentative="1">
      <w:start w:val="1"/>
      <w:numFmt w:val="bullet"/>
      <w:lvlText w:val=""/>
      <w:lvlJc w:val="left"/>
      <w:pPr>
        <w:ind w:left="3162" w:hanging="360"/>
      </w:pPr>
      <w:rPr>
        <w:rFonts w:ascii="Wingdings" w:hAnsi="Wingdings" w:hint="default"/>
      </w:rPr>
    </w:lvl>
    <w:lvl w:ilvl="3" w:tplc="08090001" w:tentative="1">
      <w:start w:val="1"/>
      <w:numFmt w:val="bullet"/>
      <w:lvlText w:val=""/>
      <w:lvlJc w:val="left"/>
      <w:pPr>
        <w:ind w:left="3882" w:hanging="360"/>
      </w:pPr>
      <w:rPr>
        <w:rFonts w:ascii="Symbol" w:hAnsi="Symbol" w:hint="default"/>
      </w:rPr>
    </w:lvl>
    <w:lvl w:ilvl="4" w:tplc="08090003" w:tentative="1">
      <w:start w:val="1"/>
      <w:numFmt w:val="bullet"/>
      <w:lvlText w:val="o"/>
      <w:lvlJc w:val="left"/>
      <w:pPr>
        <w:ind w:left="4602" w:hanging="360"/>
      </w:pPr>
      <w:rPr>
        <w:rFonts w:ascii="Courier New" w:hAnsi="Courier New" w:cs="Courier New" w:hint="default"/>
      </w:rPr>
    </w:lvl>
    <w:lvl w:ilvl="5" w:tplc="08090005" w:tentative="1">
      <w:start w:val="1"/>
      <w:numFmt w:val="bullet"/>
      <w:lvlText w:val=""/>
      <w:lvlJc w:val="left"/>
      <w:pPr>
        <w:ind w:left="5322" w:hanging="360"/>
      </w:pPr>
      <w:rPr>
        <w:rFonts w:ascii="Wingdings" w:hAnsi="Wingdings" w:hint="default"/>
      </w:rPr>
    </w:lvl>
    <w:lvl w:ilvl="6" w:tplc="08090001" w:tentative="1">
      <w:start w:val="1"/>
      <w:numFmt w:val="bullet"/>
      <w:lvlText w:val=""/>
      <w:lvlJc w:val="left"/>
      <w:pPr>
        <w:ind w:left="6042" w:hanging="360"/>
      </w:pPr>
      <w:rPr>
        <w:rFonts w:ascii="Symbol" w:hAnsi="Symbol" w:hint="default"/>
      </w:rPr>
    </w:lvl>
    <w:lvl w:ilvl="7" w:tplc="08090003" w:tentative="1">
      <w:start w:val="1"/>
      <w:numFmt w:val="bullet"/>
      <w:lvlText w:val="o"/>
      <w:lvlJc w:val="left"/>
      <w:pPr>
        <w:ind w:left="6762" w:hanging="360"/>
      </w:pPr>
      <w:rPr>
        <w:rFonts w:ascii="Courier New" w:hAnsi="Courier New" w:cs="Courier New" w:hint="default"/>
      </w:rPr>
    </w:lvl>
    <w:lvl w:ilvl="8" w:tplc="08090005" w:tentative="1">
      <w:start w:val="1"/>
      <w:numFmt w:val="bullet"/>
      <w:lvlText w:val=""/>
      <w:lvlJc w:val="left"/>
      <w:pPr>
        <w:ind w:left="7482" w:hanging="360"/>
      </w:pPr>
      <w:rPr>
        <w:rFonts w:ascii="Wingdings" w:hAnsi="Wingdings" w:hint="default"/>
      </w:r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7CD0"/>
    <w:multiLevelType w:val="hybridMultilevel"/>
    <w:tmpl w:val="E79E6092"/>
    <w:lvl w:ilvl="0" w:tplc="0809000F">
      <w:start w:val="1"/>
      <w:numFmt w:val="decimal"/>
      <w:lvlText w:val="%1."/>
      <w:lvlJc w:val="left"/>
      <w:pPr>
        <w:ind w:left="1721" w:hanging="360"/>
      </w:pPr>
      <w:rPr>
        <w:rFonts w:hint="default"/>
      </w:rPr>
    </w:lvl>
    <w:lvl w:ilvl="1" w:tplc="FFFFFFFF">
      <w:start w:val="1"/>
      <w:numFmt w:val="bullet"/>
      <w:lvlText w:val="o"/>
      <w:lvlJc w:val="left"/>
      <w:pPr>
        <w:ind w:left="2441" w:hanging="360"/>
      </w:pPr>
      <w:rPr>
        <w:rFonts w:ascii="Courier New" w:hAnsi="Courier New" w:cs="Courier New" w:hint="default"/>
      </w:rPr>
    </w:lvl>
    <w:lvl w:ilvl="2" w:tplc="FFFFFFFF" w:tentative="1">
      <w:start w:val="1"/>
      <w:numFmt w:val="bullet"/>
      <w:lvlText w:val=""/>
      <w:lvlJc w:val="left"/>
      <w:pPr>
        <w:ind w:left="3161" w:hanging="360"/>
      </w:pPr>
      <w:rPr>
        <w:rFonts w:ascii="Wingdings" w:hAnsi="Wingdings" w:hint="default"/>
      </w:rPr>
    </w:lvl>
    <w:lvl w:ilvl="3" w:tplc="FFFFFFFF" w:tentative="1">
      <w:start w:val="1"/>
      <w:numFmt w:val="bullet"/>
      <w:lvlText w:val=""/>
      <w:lvlJc w:val="left"/>
      <w:pPr>
        <w:ind w:left="3881" w:hanging="360"/>
      </w:pPr>
      <w:rPr>
        <w:rFonts w:ascii="Symbol" w:hAnsi="Symbol" w:hint="default"/>
      </w:rPr>
    </w:lvl>
    <w:lvl w:ilvl="4" w:tplc="FFFFFFFF" w:tentative="1">
      <w:start w:val="1"/>
      <w:numFmt w:val="bullet"/>
      <w:lvlText w:val="o"/>
      <w:lvlJc w:val="left"/>
      <w:pPr>
        <w:ind w:left="4601" w:hanging="360"/>
      </w:pPr>
      <w:rPr>
        <w:rFonts w:ascii="Courier New" w:hAnsi="Courier New" w:cs="Courier New" w:hint="default"/>
      </w:rPr>
    </w:lvl>
    <w:lvl w:ilvl="5" w:tplc="FFFFFFFF" w:tentative="1">
      <w:start w:val="1"/>
      <w:numFmt w:val="bullet"/>
      <w:lvlText w:val=""/>
      <w:lvlJc w:val="left"/>
      <w:pPr>
        <w:ind w:left="5321" w:hanging="360"/>
      </w:pPr>
      <w:rPr>
        <w:rFonts w:ascii="Wingdings" w:hAnsi="Wingdings" w:hint="default"/>
      </w:rPr>
    </w:lvl>
    <w:lvl w:ilvl="6" w:tplc="FFFFFFFF" w:tentative="1">
      <w:start w:val="1"/>
      <w:numFmt w:val="bullet"/>
      <w:lvlText w:val=""/>
      <w:lvlJc w:val="left"/>
      <w:pPr>
        <w:ind w:left="6041" w:hanging="360"/>
      </w:pPr>
      <w:rPr>
        <w:rFonts w:ascii="Symbol" w:hAnsi="Symbol" w:hint="default"/>
      </w:rPr>
    </w:lvl>
    <w:lvl w:ilvl="7" w:tplc="FFFFFFFF" w:tentative="1">
      <w:start w:val="1"/>
      <w:numFmt w:val="bullet"/>
      <w:lvlText w:val="o"/>
      <w:lvlJc w:val="left"/>
      <w:pPr>
        <w:ind w:left="6761" w:hanging="360"/>
      </w:pPr>
      <w:rPr>
        <w:rFonts w:ascii="Courier New" w:hAnsi="Courier New" w:cs="Courier New" w:hint="default"/>
      </w:rPr>
    </w:lvl>
    <w:lvl w:ilvl="8" w:tplc="FFFFFFFF" w:tentative="1">
      <w:start w:val="1"/>
      <w:numFmt w:val="bullet"/>
      <w:lvlText w:val=""/>
      <w:lvlJc w:val="left"/>
      <w:pPr>
        <w:ind w:left="7481" w:hanging="360"/>
      </w:pPr>
      <w:rPr>
        <w:rFonts w:ascii="Wingdings" w:hAnsi="Wingdings" w:hint="default"/>
      </w:rPr>
    </w:lvl>
  </w:abstractNum>
  <w:abstractNum w:abstractNumId="25" w15:restartNumberingAfterBreak="0">
    <w:nsid w:val="72B97093"/>
    <w:multiLevelType w:val="multilevel"/>
    <w:tmpl w:val="0AC6BD02"/>
    <w:lvl w:ilvl="0">
      <w:start w:val="1"/>
      <w:numFmt w:val="decimal"/>
      <w:lvlText w:val="%1"/>
      <w:lvlJc w:val="left"/>
      <w:pPr>
        <w:ind w:left="432" w:hanging="432"/>
      </w:pPr>
      <w:rPr>
        <w:rFonts w:hint="default"/>
      </w:rPr>
    </w:lvl>
    <w:lvl w:ilvl="1">
      <w:start w:val="1"/>
      <w:numFmt w:val="bullet"/>
      <w:lvlText w:val=""/>
      <w:lvlJc w:val="left"/>
      <w:pPr>
        <w:ind w:left="502"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7" w15:restartNumberingAfterBreak="0">
    <w:nsid w:val="79A62D1B"/>
    <w:multiLevelType w:val="hybridMultilevel"/>
    <w:tmpl w:val="94AC2BEC"/>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861"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806973828">
    <w:abstractNumId w:val="26"/>
  </w:num>
  <w:num w:numId="2" w16cid:durableId="752433472">
    <w:abstractNumId w:val="22"/>
  </w:num>
  <w:num w:numId="3" w16cid:durableId="28917828">
    <w:abstractNumId w:val="6"/>
  </w:num>
  <w:num w:numId="4" w16cid:durableId="795871560">
    <w:abstractNumId w:val="10"/>
  </w:num>
  <w:num w:numId="5" w16cid:durableId="885873766">
    <w:abstractNumId w:val="3"/>
  </w:num>
  <w:num w:numId="6" w16cid:durableId="35936866">
    <w:abstractNumId w:val="23"/>
  </w:num>
  <w:num w:numId="7" w16cid:durableId="515047597">
    <w:abstractNumId w:val="13"/>
  </w:num>
  <w:num w:numId="8" w16cid:durableId="564339369">
    <w:abstractNumId w:val="4"/>
  </w:num>
  <w:num w:numId="9" w16cid:durableId="1429227800">
    <w:abstractNumId w:val="21"/>
  </w:num>
  <w:num w:numId="10" w16cid:durableId="1506896740">
    <w:abstractNumId w:val="19"/>
  </w:num>
  <w:num w:numId="11" w16cid:durableId="613486932">
    <w:abstractNumId w:val="2"/>
  </w:num>
  <w:num w:numId="12" w16cid:durableId="2093694327">
    <w:abstractNumId w:val="1"/>
  </w:num>
  <w:num w:numId="13" w16cid:durableId="788596678">
    <w:abstractNumId w:val="20"/>
  </w:num>
  <w:num w:numId="14" w16cid:durableId="1420323430">
    <w:abstractNumId w:val="14"/>
  </w:num>
  <w:num w:numId="15" w16cid:durableId="208320971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2606432">
    <w:abstractNumId w:val="28"/>
  </w:num>
  <w:num w:numId="17" w16cid:durableId="445197463">
    <w:abstractNumId w:val="0"/>
  </w:num>
  <w:num w:numId="18" w16cid:durableId="630135579">
    <w:abstractNumId w:val="9"/>
  </w:num>
  <w:num w:numId="19" w16cid:durableId="128060384">
    <w:abstractNumId w:val="7"/>
  </w:num>
  <w:num w:numId="20" w16cid:durableId="8760483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6418376">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2023823">
    <w:abstractNumId w:val="7"/>
    <w:lvlOverride w:ilvl="0">
      <w:startOverride w:val="6"/>
    </w:lvlOverride>
    <w:lvlOverride w:ilvl="1">
      <w:startOverride w:val="1"/>
    </w:lvlOverride>
  </w:num>
  <w:num w:numId="23" w16cid:durableId="1020740989">
    <w:abstractNumId w:val="7"/>
    <w:lvlOverride w:ilvl="0">
      <w:startOverride w:val="7"/>
    </w:lvlOverride>
    <w:lvlOverride w:ilvl="1">
      <w:startOverride w:val="1"/>
    </w:lvlOverride>
  </w:num>
  <w:num w:numId="24" w16cid:durableId="307630043">
    <w:abstractNumId w:val="7"/>
    <w:lvlOverride w:ilvl="0">
      <w:startOverride w:val="5"/>
    </w:lvlOverride>
    <w:lvlOverride w:ilvl="1">
      <w:startOverride w:val="1"/>
    </w:lvlOverride>
  </w:num>
  <w:num w:numId="25" w16cid:durableId="1560088262">
    <w:abstractNumId w:val="7"/>
    <w:lvlOverride w:ilvl="0">
      <w:startOverride w:val="4"/>
    </w:lvlOverride>
    <w:lvlOverride w:ilvl="1">
      <w:startOverride w:val="1"/>
    </w:lvlOverride>
  </w:num>
  <w:num w:numId="26" w16cid:durableId="1676834839">
    <w:abstractNumId w:val="7"/>
    <w:lvlOverride w:ilvl="0">
      <w:startOverride w:val="3"/>
    </w:lvlOverride>
    <w:lvlOverride w:ilvl="1">
      <w:startOverride w:val="1"/>
    </w:lvlOverride>
  </w:num>
  <w:num w:numId="27" w16cid:durableId="705911714">
    <w:abstractNumId w:val="7"/>
    <w:lvlOverride w:ilvl="0">
      <w:startOverride w:val="10"/>
    </w:lvlOverride>
    <w:lvlOverride w:ilvl="1">
      <w:startOverride w:val="1"/>
    </w:lvlOverride>
  </w:num>
  <w:num w:numId="28" w16cid:durableId="366024232">
    <w:abstractNumId w:val="11"/>
  </w:num>
  <w:num w:numId="29" w16cid:durableId="2120251034">
    <w:abstractNumId w:val="15"/>
  </w:num>
  <w:num w:numId="30" w16cid:durableId="353506367">
    <w:abstractNumId w:val="24"/>
  </w:num>
  <w:num w:numId="31" w16cid:durableId="13835176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1426535">
    <w:abstractNumId w:val="7"/>
    <w:lvlOverride w:ilvl="0">
      <w:startOverride w:val="12"/>
    </w:lvlOverride>
    <w:lvlOverride w:ilvl="1">
      <w:startOverride w:val="1"/>
    </w:lvlOverride>
  </w:num>
  <w:num w:numId="33" w16cid:durableId="1064451294">
    <w:abstractNumId w:val="7"/>
    <w:lvlOverride w:ilvl="0">
      <w:startOverride w:val="11"/>
    </w:lvlOverride>
    <w:lvlOverride w:ilvl="1">
      <w:startOverride w:val="1"/>
    </w:lvlOverride>
  </w:num>
  <w:num w:numId="34" w16cid:durableId="1175071342">
    <w:abstractNumId w:val="17"/>
  </w:num>
  <w:num w:numId="35" w16cid:durableId="1956593590">
    <w:abstractNumId w:val="18"/>
  </w:num>
  <w:num w:numId="36" w16cid:durableId="220101065">
    <w:abstractNumId w:val="16"/>
  </w:num>
  <w:num w:numId="37" w16cid:durableId="699206820">
    <w:abstractNumId w:val="5"/>
  </w:num>
  <w:num w:numId="38" w16cid:durableId="428895619">
    <w:abstractNumId w:val="27"/>
  </w:num>
  <w:num w:numId="39" w16cid:durableId="1686787600">
    <w:abstractNumId w:val="25"/>
  </w:num>
  <w:num w:numId="40" w16cid:durableId="25831276">
    <w:abstractNumId w:val="12"/>
  </w:num>
  <w:num w:numId="41" w16cid:durableId="9016767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889325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2699"/>
    <w:rsid w:val="00003462"/>
    <w:rsid w:val="000035EE"/>
    <w:rsid w:val="00003B55"/>
    <w:rsid w:val="00004426"/>
    <w:rsid w:val="00004A78"/>
    <w:rsid w:val="00005370"/>
    <w:rsid w:val="00005C2A"/>
    <w:rsid w:val="000061E9"/>
    <w:rsid w:val="00006300"/>
    <w:rsid w:val="0000683D"/>
    <w:rsid w:val="000077CA"/>
    <w:rsid w:val="000078E8"/>
    <w:rsid w:val="000100FE"/>
    <w:rsid w:val="0001040A"/>
    <w:rsid w:val="000107C4"/>
    <w:rsid w:val="00010ADC"/>
    <w:rsid w:val="00010BF1"/>
    <w:rsid w:val="00011883"/>
    <w:rsid w:val="00012E2B"/>
    <w:rsid w:val="00012F0F"/>
    <w:rsid w:val="00013024"/>
    <w:rsid w:val="0001312A"/>
    <w:rsid w:val="000131C0"/>
    <w:rsid w:val="00014A06"/>
    <w:rsid w:val="00015DC1"/>
    <w:rsid w:val="00017896"/>
    <w:rsid w:val="00020237"/>
    <w:rsid w:val="00021E27"/>
    <w:rsid w:val="000228AE"/>
    <w:rsid w:val="00022B81"/>
    <w:rsid w:val="0002309B"/>
    <w:rsid w:val="000234C4"/>
    <w:rsid w:val="0002386E"/>
    <w:rsid w:val="00023D7F"/>
    <w:rsid w:val="00024596"/>
    <w:rsid w:val="000255CA"/>
    <w:rsid w:val="0002690A"/>
    <w:rsid w:val="00026A6A"/>
    <w:rsid w:val="0003099A"/>
    <w:rsid w:val="00031B44"/>
    <w:rsid w:val="0003295B"/>
    <w:rsid w:val="000333B9"/>
    <w:rsid w:val="00033B9E"/>
    <w:rsid w:val="00034205"/>
    <w:rsid w:val="0003467B"/>
    <w:rsid w:val="00034F8A"/>
    <w:rsid w:val="000352A3"/>
    <w:rsid w:val="000363FA"/>
    <w:rsid w:val="00037B5B"/>
    <w:rsid w:val="000406AB"/>
    <w:rsid w:val="00040A68"/>
    <w:rsid w:val="00040C9B"/>
    <w:rsid w:val="00040D76"/>
    <w:rsid w:val="00041A17"/>
    <w:rsid w:val="00042102"/>
    <w:rsid w:val="00042429"/>
    <w:rsid w:val="000427B0"/>
    <w:rsid w:val="000435FD"/>
    <w:rsid w:val="00045DA8"/>
    <w:rsid w:val="0004716D"/>
    <w:rsid w:val="00051541"/>
    <w:rsid w:val="00051908"/>
    <w:rsid w:val="000519B6"/>
    <w:rsid w:val="00051A75"/>
    <w:rsid w:val="000524E6"/>
    <w:rsid w:val="000530FC"/>
    <w:rsid w:val="00053764"/>
    <w:rsid w:val="00053F5F"/>
    <w:rsid w:val="0005417B"/>
    <w:rsid w:val="00054571"/>
    <w:rsid w:val="000546C7"/>
    <w:rsid w:val="00054B33"/>
    <w:rsid w:val="0005559D"/>
    <w:rsid w:val="00055793"/>
    <w:rsid w:val="00055799"/>
    <w:rsid w:val="00055E08"/>
    <w:rsid w:val="0005617C"/>
    <w:rsid w:val="000561DC"/>
    <w:rsid w:val="00056C30"/>
    <w:rsid w:val="00056DDB"/>
    <w:rsid w:val="00057C9D"/>
    <w:rsid w:val="00057D65"/>
    <w:rsid w:val="00060706"/>
    <w:rsid w:val="00060FA7"/>
    <w:rsid w:val="00061AB0"/>
    <w:rsid w:val="00062418"/>
    <w:rsid w:val="000628D0"/>
    <w:rsid w:val="00062E0D"/>
    <w:rsid w:val="00063E6A"/>
    <w:rsid w:val="00063FEF"/>
    <w:rsid w:val="000644BF"/>
    <w:rsid w:val="00065633"/>
    <w:rsid w:val="00066D7A"/>
    <w:rsid w:val="000670C8"/>
    <w:rsid w:val="00067126"/>
    <w:rsid w:val="00067818"/>
    <w:rsid w:val="00067F24"/>
    <w:rsid w:val="00070A9C"/>
    <w:rsid w:val="00072311"/>
    <w:rsid w:val="00074800"/>
    <w:rsid w:val="0007540E"/>
    <w:rsid w:val="000779D5"/>
    <w:rsid w:val="00080636"/>
    <w:rsid w:val="000823F9"/>
    <w:rsid w:val="00082451"/>
    <w:rsid w:val="00082674"/>
    <w:rsid w:val="00082F1D"/>
    <w:rsid w:val="00084A3B"/>
    <w:rsid w:val="00085C7D"/>
    <w:rsid w:val="000867D2"/>
    <w:rsid w:val="000868ED"/>
    <w:rsid w:val="0008762C"/>
    <w:rsid w:val="000909B0"/>
    <w:rsid w:val="0009115E"/>
    <w:rsid w:val="00091DEA"/>
    <w:rsid w:val="00094032"/>
    <w:rsid w:val="00095B0F"/>
    <w:rsid w:val="0009636B"/>
    <w:rsid w:val="00096829"/>
    <w:rsid w:val="00096C4E"/>
    <w:rsid w:val="000A1B2C"/>
    <w:rsid w:val="000A1C34"/>
    <w:rsid w:val="000A1F85"/>
    <w:rsid w:val="000A2BD5"/>
    <w:rsid w:val="000A36A8"/>
    <w:rsid w:val="000A3B54"/>
    <w:rsid w:val="000A4245"/>
    <w:rsid w:val="000A4A1F"/>
    <w:rsid w:val="000A548A"/>
    <w:rsid w:val="000A5972"/>
    <w:rsid w:val="000A65C8"/>
    <w:rsid w:val="000A69C0"/>
    <w:rsid w:val="000A6E3A"/>
    <w:rsid w:val="000A75BD"/>
    <w:rsid w:val="000B007D"/>
    <w:rsid w:val="000B039F"/>
    <w:rsid w:val="000B265D"/>
    <w:rsid w:val="000B2E3D"/>
    <w:rsid w:val="000B2F9C"/>
    <w:rsid w:val="000B5D6C"/>
    <w:rsid w:val="000C09EE"/>
    <w:rsid w:val="000C126E"/>
    <w:rsid w:val="000C2045"/>
    <w:rsid w:val="000C2A59"/>
    <w:rsid w:val="000C3207"/>
    <w:rsid w:val="000C347F"/>
    <w:rsid w:val="000C4696"/>
    <w:rsid w:val="000C4CF3"/>
    <w:rsid w:val="000C4FB8"/>
    <w:rsid w:val="000C5DFE"/>
    <w:rsid w:val="000C6C2E"/>
    <w:rsid w:val="000C6F8E"/>
    <w:rsid w:val="000C7475"/>
    <w:rsid w:val="000C755D"/>
    <w:rsid w:val="000C7DBA"/>
    <w:rsid w:val="000D0228"/>
    <w:rsid w:val="000D10E9"/>
    <w:rsid w:val="000D1ECA"/>
    <w:rsid w:val="000D20D0"/>
    <w:rsid w:val="000D23B1"/>
    <w:rsid w:val="000D3685"/>
    <w:rsid w:val="000D3825"/>
    <w:rsid w:val="000D5625"/>
    <w:rsid w:val="000D56F2"/>
    <w:rsid w:val="000D5720"/>
    <w:rsid w:val="000D6D7F"/>
    <w:rsid w:val="000D720A"/>
    <w:rsid w:val="000E0100"/>
    <w:rsid w:val="000E034A"/>
    <w:rsid w:val="000E1892"/>
    <w:rsid w:val="000E2A17"/>
    <w:rsid w:val="000E2E48"/>
    <w:rsid w:val="000E3F5B"/>
    <w:rsid w:val="000E46F6"/>
    <w:rsid w:val="000E5301"/>
    <w:rsid w:val="000E619C"/>
    <w:rsid w:val="000E6460"/>
    <w:rsid w:val="000E6546"/>
    <w:rsid w:val="000E71A2"/>
    <w:rsid w:val="000E76BF"/>
    <w:rsid w:val="000E775E"/>
    <w:rsid w:val="000E7769"/>
    <w:rsid w:val="000E7FDC"/>
    <w:rsid w:val="000F0F2F"/>
    <w:rsid w:val="000F1FBF"/>
    <w:rsid w:val="000F21F4"/>
    <w:rsid w:val="000F2D3F"/>
    <w:rsid w:val="000F3BAD"/>
    <w:rsid w:val="000F6DF2"/>
    <w:rsid w:val="000F7684"/>
    <w:rsid w:val="000F7920"/>
    <w:rsid w:val="00101798"/>
    <w:rsid w:val="001021F6"/>
    <w:rsid w:val="001027A9"/>
    <w:rsid w:val="00103A9F"/>
    <w:rsid w:val="00104813"/>
    <w:rsid w:val="0010507A"/>
    <w:rsid w:val="00105C19"/>
    <w:rsid w:val="0010604A"/>
    <w:rsid w:val="00106058"/>
    <w:rsid w:val="001060C1"/>
    <w:rsid w:val="001106ED"/>
    <w:rsid w:val="001113FE"/>
    <w:rsid w:val="0011164E"/>
    <w:rsid w:val="00111F27"/>
    <w:rsid w:val="00112F45"/>
    <w:rsid w:val="0011326C"/>
    <w:rsid w:val="001139C7"/>
    <w:rsid w:val="001158F6"/>
    <w:rsid w:val="00116A33"/>
    <w:rsid w:val="00116E9B"/>
    <w:rsid w:val="0011733C"/>
    <w:rsid w:val="001173BC"/>
    <w:rsid w:val="001208C1"/>
    <w:rsid w:val="001216C5"/>
    <w:rsid w:val="00122753"/>
    <w:rsid w:val="001242AE"/>
    <w:rsid w:val="0012496E"/>
    <w:rsid w:val="00124CA8"/>
    <w:rsid w:val="00125F6A"/>
    <w:rsid w:val="00130E04"/>
    <w:rsid w:val="00131DFD"/>
    <w:rsid w:val="00134ABB"/>
    <w:rsid w:val="00136A8C"/>
    <w:rsid w:val="0014045F"/>
    <w:rsid w:val="00140FB3"/>
    <w:rsid w:val="001421A5"/>
    <w:rsid w:val="00142F3B"/>
    <w:rsid w:val="00143041"/>
    <w:rsid w:val="0014327C"/>
    <w:rsid w:val="001445A0"/>
    <w:rsid w:val="00144C3C"/>
    <w:rsid w:val="001451F4"/>
    <w:rsid w:val="00145555"/>
    <w:rsid w:val="00145C79"/>
    <w:rsid w:val="00147DAF"/>
    <w:rsid w:val="0015052D"/>
    <w:rsid w:val="00153B91"/>
    <w:rsid w:val="00153CE3"/>
    <w:rsid w:val="00153D83"/>
    <w:rsid w:val="00156CFA"/>
    <w:rsid w:val="00156DA4"/>
    <w:rsid w:val="00156E9E"/>
    <w:rsid w:val="0015749A"/>
    <w:rsid w:val="00157C1A"/>
    <w:rsid w:val="001613C6"/>
    <w:rsid w:val="001619C3"/>
    <w:rsid w:val="00162DB4"/>
    <w:rsid w:val="00163588"/>
    <w:rsid w:val="00164E30"/>
    <w:rsid w:val="0016618C"/>
    <w:rsid w:val="001666A7"/>
    <w:rsid w:val="00167825"/>
    <w:rsid w:val="0016790A"/>
    <w:rsid w:val="00172222"/>
    <w:rsid w:val="00173857"/>
    <w:rsid w:val="00174D21"/>
    <w:rsid w:val="001777E3"/>
    <w:rsid w:val="00180C4A"/>
    <w:rsid w:val="00182A0C"/>
    <w:rsid w:val="00184A94"/>
    <w:rsid w:val="0018581B"/>
    <w:rsid w:val="0018716E"/>
    <w:rsid w:val="00187E2F"/>
    <w:rsid w:val="00187E3D"/>
    <w:rsid w:val="0019096B"/>
    <w:rsid w:val="001924A6"/>
    <w:rsid w:val="001937A0"/>
    <w:rsid w:val="00193F1E"/>
    <w:rsid w:val="00193F47"/>
    <w:rsid w:val="00194176"/>
    <w:rsid w:val="00194C6A"/>
    <w:rsid w:val="00194C79"/>
    <w:rsid w:val="00194CEB"/>
    <w:rsid w:val="00195416"/>
    <w:rsid w:val="001971B4"/>
    <w:rsid w:val="0019795B"/>
    <w:rsid w:val="00197A37"/>
    <w:rsid w:val="001A1612"/>
    <w:rsid w:val="001A2015"/>
    <w:rsid w:val="001A246D"/>
    <w:rsid w:val="001A2A56"/>
    <w:rsid w:val="001A33CD"/>
    <w:rsid w:val="001A44AB"/>
    <w:rsid w:val="001A564E"/>
    <w:rsid w:val="001A579A"/>
    <w:rsid w:val="001A5839"/>
    <w:rsid w:val="001A6A08"/>
    <w:rsid w:val="001A6F74"/>
    <w:rsid w:val="001B11D5"/>
    <w:rsid w:val="001B19DA"/>
    <w:rsid w:val="001B2D7A"/>
    <w:rsid w:val="001B3337"/>
    <w:rsid w:val="001B3403"/>
    <w:rsid w:val="001B3B7B"/>
    <w:rsid w:val="001B54D8"/>
    <w:rsid w:val="001B6C3E"/>
    <w:rsid w:val="001B772D"/>
    <w:rsid w:val="001C01D5"/>
    <w:rsid w:val="001C0AAE"/>
    <w:rsid w:val="001C0C6E"/>
    <w:rsid w:val="001C207A"/>
    <w:rsid w:val="001C22BF"/>
    <w:rsid w:val="001C42DE"/>
    <w:rsid w:val="001C5AFB"/>
    <w:rsid w:val="001C665E"/>
    <w:rsid w:val="001D024E"/>
    <w:rsid w:val="001D0B92"/>
    <w:rsid w:val="001D0E1C"/>
    <w:rsid w:val="001D3EFD"/>
    <w:rsid w:val="001D4236"/>
    <w:rsid w:val="001D49F7"/>
    <w:rsid w:val="001D5C67"/>
    <w:rsid w:val="001D7CB6"/>
    <w:rsid w:val="001D7EC5"/>
    <w:rsid w:val="001E03BB"/>
    <w:rsid w:val="001E118E"/>
    <w:rsid w:val="001E162B"/>
    <w:rsid w:val="001E276F"/>
    <w:rsid w:val="001E300E"/>
    <w:rsid w:val="001E32D7"/>
    <w:rsid w:val="001E3E0D"/>
    <w:rsid w:val="001E3F40"/>
    <w:rsid w:val="001E456A"/>
    <w:rsid w:val="001E5C4B"/>
    <w:rsid w:val="001E5D9F"/>
    <w:rsid w:val="001E6639"/>
    <w:rsid w:val="001E6DCF"/>
    <w:rsid w:val="001F1D95"/>
    <w:rsid w:val="001F36FC"/>
    <w:rsid w:val="001F3812"/>
    <w:rsid w:val="001F40B1"/>
    <w:rsid w:val="001F4DA0"/>
    <w:rsid w:val="001F5B8A"/>
    <w:rsid w:val="001F5D6F"/>
    <w:rsid w:val="001F6227"/>
    <w:rsid w:val="001F6DA9"/>
    <w:rsid w:val="001F7908"/>
    <w:rsid w:val="001F7D0E"/>
    <w:rsid w:val="001F7D71"/>
    <w:rsid w:val="002036BB"/>
    <w:rsid w:val="002047E2"/>
    <w:rsid w:val="00205132"/>
    <w:rsid w:val="00205A45"/>
    <w:rsid w:val="00205CDB"/>
    <w:rsid w:val="00205E60"/>
    <w:rsid w:val="00206A74"/>
    <w:rsid w:val="00207E2B"/>
    <w:rsid w:val="00210FA6"/>
    <w:rsid w:val="00211374"/>
    <w:rsid w:val="002118C0"/>
    <w:rsid w:val="002126D4"/>
    <w:rsid w:val="00212A5C"/>
    <w:rsid w:val="00212BF5"/>
    <w:rsid w:val="0021418F"/>
    <w:rsid w:val="002148B6"/>
    <w:rsid w:val="00215195"/>
    <w:rsid w:val="00215877"/>
    <w:rsid w:val="00215FB8"/>
    <w:rsid w:val="002161A4"/>
    <w:rsid w:val="00216685"/>
    <w:rsid w:val="002179EF"/>
    <w:rsid w:val="0022587A"/>
    <w:rsid w:val="00225F2B"/>
    <w:rsid w:val="00226561"/>
    <w:rsid w:val="002272EF"/>
    <w:rsid w:val="00230857"/>
    <w:rsid w:val="0023119E"/>
    <w:rsid w:val="00231779"/>
    <w:rsid w:val="00232A79"/>
    <w:rsid w:val="00233C1F"/>
    <w:rsid w:val="00235D8F"/>
    <w:rsid w:val="00236DCB"/>
    <w:rsid w:val="00237861"/>
    <w:rsid w:val="0024000A"/>
    <w:rsid w:val="0024101C"/>
    <w:rsid w:val="002426A7"/>
    <w:rsid w:val="002437D6"/>
    <w:rsid w:val="00243DF1"/>
    <w:rsid w:val="00243F06"/>
    <w:rsid w:val="00246533"/>
    <w:rsid w:val="0024713D"/>
    <w:rsid w:val="002507F8"/>
    <w:rsid w:val="00251963"/>
    <w:rsid w:val="00251F86"/>
    <w:rsid w:val="00252B7D"/>
    <w:rsid w:val="00252D18"/>
    <w:rsid w:val="0025406B"/>
    <w:rsid w:val="00254DCB"/>
    <w:rsid w:val="00255CA9"/>
    <w:rsid w:val="00256075"/>
    <w:rsid w:val="00256566"/>
    <w:rsid w:val="0025794E"/>
    <w:rsid w:val="00257BCF"/>
    <w:rsid w:val="00260BAE"/>
    <w:rsid w:val="00260C2C"/>
    <w:rsid w:val="00260E70"/>
    <w:rsid w:val="002612FD"/>
    <w:rsid w:val="00262CF5"/>
    <w:rsid w:val="00263600"/>
    <w:rsid w:val="00263B96"/>
    <w:rsid w:val="00263DE2"/>
    <w:rsid w:val="0026466E"/>
    <w:rsid w:val="00266BC0"/>
    <w:rsid w:val="00266FB8"/>
    <w:rsid w:val="002675D1"/>
    <w:rsid w:val="002678A8"/>
    <w:rsid w:val="00270B15"/>
    <w:rsid w:val="002714DA"/>
    <w:rsid w:val="00271869"/>
    <w:rsid w:val="00271F8C"/>
    <w:rsid w:val="00272979"/>
    <w:rsid w:val="00272C70"/>
    <w:rsid w:val="00273339"/>
    <w:rsid w:val="002743D0"/>
    <w:rsid w:val="002749DE"/>
    <w:rsid w:val="00274FD9"/>
    <w:rsid w:val="00275850"/>
    <w:rsid w:val="002758A6"/>
    <w:rsid w:val="00276D1A"/>
    <w:rsid w:val="00277121"/>
    <w:rsid w:val="0027771E"/>
    <w:rsid w:val="00281CF1"/>
    <w:rsid w:val="00281F45"/>
    <w:rsid w:val="0028212E"/>
    <w:rsid w:val="00282180"/>
    <w:rsid w:val="00282977"/>
    <w:rsid w:val="0028420B"/>
    <w:rsid w:val="002843C2"/>
    <w:rsid w:val="00284F86"/>
    <w:rsid w:val="00286CBD"/>
    <w:rsid w:val="00287B61"/>
    <w:rsid w:val="00290F86"/>
    <w:rsid w:val="00291083"/>
    <w:rsid w:val="00291632"/>
    <w:rsid w:val="00291DC9"/>
    <w:rsid w:val="00293C2D"/>
    <w:rsid w:val="00293CB4"/>
    <w:rsid w:val="00294835"/>
    <w:rsid w:val="0029533D"/>
    <w:rsid w:val="00295476"/>
    <w:rsid w:val="002966E8"/>
    <w:rsid w:val="0029721F"/>
    <w:rsid w:val="00297758"/>
    <w:rsid w:val="00297798"/>
    <w:rsid w:val="002A0B9A"/>
    <w:rsid w:val="002A110F"/>
    <w:rsid w:val="002A119C"/>
    <w:rsid w:val="002A1CBF"/>
    <w:rsid w:val="002A24F1"/>
    <w:rsid w:val="002A2E6A"/>
    <w:rsid w:val="002A369F"/>
    <w:rsid w:val="002A3AD4"/>
    <w:rsid w:val="002A3E2F"/>
    <w:rsid w:val="002A41E9"/>
    <w:rsid w:val="002A559F"/>
    <w:rsid w:val="002A6831"/>
    <w:rsid w:val="002A6C41"/>
    <w:rsid w:val="002A6EBA"/>
    <w:rsid w:val="002B056E"/>
    <w:rsid w:val="002B1DDA"/>
    <w:rsid w:val="002B2188"/>
    <w:rsid w:val="002B40A8"/>
    <w:rsid w:val="002B4393"/>
    <w:rsid w:val="002B4F72"/>
    <w:rsid w:val="002B5196"/>
    <w:rsid w:val="002B5588"/>
    <w:rsid w:val="002B6671"/>
    <w:rsid w:val="002B68DB"/>
    <w:rsid w:val="002C0F20"/>
    <w:rsid w:val="002C1553"/>
    <w:rsid w:val="002C1A5C"/>
    <w:rsid w:val="002C3247"/>
    <w:rsid w:val="002C6804"/>
    <w:rsid w:val="002C7E54"/>
    <w:rsid w:val="002D1F9C"/>
    <w:rsid w:val="002D25F9"/>
    <w:rsid w:val="002D2929"/>
    <w:rsid w:val="002D4EDF"/>
    <w:rsid w:val="002D4FAA"/>
    <w:rsid w:val="002D51C2"/>
    <w:rsid w:val="002D575C"/>
    <w:rsid w:val="002D584E"/>
    <w:rsid w:val="002D5DFC"/>
    <w:rsid w:val="002D6272"/>
    <w:rsid w:val="002D643B"/>
    <w:rsid w:val="002D6521"/>
    <w:rsid w:val="002D759A"/>
    <w:rsid w:val="002D7D2C"/>
    <w:rsid w:val="002E0A33"/>
    <w:rsid w:val="002E1488"/>
    <w:rsid w:val="002E2ECA"/>
    <w:rsid w:val="002E4C12"/>
    <w:rsid w:val="002E5D58"/>
    <w:rsid w:val="002E6BE4"/>
    <w:rsid w:val="002E6D27"/>
    <w:rsid w:val="002E75B1"/>
    <w:rsid w:val="002F0224"/>
    <w:rsid w:val="002F0F77"/>
    <w:rsid w:val="002F13B8"/>
    <w:rsid w:val="002F1B7E"/>
    <w:rsid w:val="002F357D"/>
    <w:rsid w:val="002F37D3"/>
    <w:rsid w:val="002F40F9"/>
    <w:rsid w:val="002F4EFC"/>
    <w:rsid w:val="002F670B"/>
    <w:rsid w:val="002F6CD0"/>
    <w:rsid w:val="00300DC0"/>
    <w:rsid w:val="00301AFE"/>
    <w:rsid w:val="00301DAF"/>
    <w:rsid w:val="00301FB4"/>
    <w:rsid w:val="003027D9"/>
    <w:rsid w:val="00302EF1"/>
    <w:rsid w:val="00302F67"/>
    <w:rsid w:val="0030347F"/>
    <w:rsid w:val="00303B13"/>
    <w:rsid w:val="00303E3C"/>
    <w:rsid w:val="003044CA"/>
    <w:rsid w:val="00305AC5"/>
    <w:rsid w:val="00305E3F"/>
    <w:rsid w:val="00306BF5"/>
    <w:rsid w:val="0030788E"/>
    <w:rsid w:val="00307AB3"/>
    <w:rsid w:val="003109C8"/>
    <w:rsid w:val="00312477"/>
    <w:rsid w:val="00312776"/>
    <w:rsid w:val="00313C24"/>
    <w:rsid w:val="00313E9E"/>
    <w:rsid w:val="00313FE4"/>
    <w:rsid w:val="00314B1C"/>
    <w:rsid w:val="00315F4A"/>
    <w:rsid w:val="00316676"/>
    <w:rsid w:val="00317932"/>
    <w:rsid w:val="00317CD8"/>
    <w:rsid w:val="00320457"/>
    <w:rsid w:val="00320AA0"/>
    <w:rsid w:val="0032174D"/>
    <w:rsid w:val="003221E9"/>
    <w:rsid w:val="00324589"/>
    <w:rsid w:val="00326E4B"/>
    <w:rsid w:val="0033097B"/>
    <w:rsid w:val="00331DB2"/>
    <w:rsid w:val="00332146"/>
    <w:rsid w:val="00332DEA"/>
    <w:rsid w:val="00332E68"/>
    <w:rsid w:val="00332FE3"/>
    <w:rsid w:val="00333101"/>
    <w:rsid w:val="00334581"/>
    <w:rsid w:val="00334B42"/>
    <w:rsid w:val="00335582"/>
    <w:rsid w:val="003355C5"/>
    <w:rsid w:val="0033589D"/>
    <w:rsid w:val="00336783"/>
    <w:rsid w:val="00336821"/>
    <w:rsid w:val="003400D8"/>
    <w:rsid w:val="003403EE"/>
    <w:rsid w:val="00341CAD"/>
    <w:rsid w:val="0034274A"/>
    <w:rsid w:val="00342BA4"/>
    <w:rsid w:val="00343C06"/>
    <w:rsid w:val="00343CC8"/>
    <w:rsid w:val="00344FDC"/>
    <w:rsid w:val="00345AB0"/>
    <w:rsid w:val="00345C64"/>
    <w:rsid w:val="00345E83"/>
    <w:rsid w:val="00345EE1"/>
    <w:rsid w:val="00347339"/>
    <w:rsid w:val="00347AC4"/>
    <w:rsid w:val="00351769"/>
    <w:rsid w:val="00351960"/>
    <w:rsid w:val="00351DF5"/>
    <w:rsid w:val="003521E9"/>
    <w:rsid w:val="00352A27"/>
    <w:rsid w:val="003532D0"/>
    <w:rsid w:val="00353B20"/>
    <w:rsid w:val="00354303"/>
    <w:rsid w:val="0035487C"/>
    <w:rsid w:val="003557B1"/>
    <w:rsid w:val="00357570"/>
    <w:rsid w:val="0035786F"/>
    <w:rsid w:val="00361D9D"/>
    <w:rsid w:val="00361EF1"/>
    <w:rsid w:val="00362030"/>
    <w:rsid w:val="0036358F"/>
    <w:rsid w:val="00363FE9"/>
    <w:rsid w:val="0036435A"/>
    <w:rsid w:val="00364D1F"/>
    <w:rsid w:val="003650F6"/>
    <w:rsid w:val="003656A5"/>
    <w:rsid w:val="00367461"/>
    <w:rsid w:val="00367606"/>
    <w:rsid w:val="00367DB8"/>
    <w:rsid w:val="00367F60"/>
    <w:rsid w:val="0037034E"/>
    <w:rsid w:val="0037037A"/>
    <w:rsid w:val="00370EB1"/>
    <w:rsid w:val="003711F3"/>
    <w:rsid w:val="003725EB"/>
    <w:rsid w:val="00373A12"/>
    <w:rsid w:val="00373F22"/>
    <w:rsid w:val="0037542B"/>
    <w:rsid w:val="00377752"/>
    <w:rsid w:val="003806D4"/>
    <w:rsid w:val="00380C14"/>
    <w:rsid w:val="00380C64"/>
    <w:rsid w:val="00381BC2"/>
    <w:rsid w:val="00381EB7"/>
    <w:rsid w:val="00382814"/>
    <w:rsid w:val="00382DF8"/>
    <w:rsid w:val="00383DEB"/>
    <w:rsid w:val="0038437A"/>
    <w:rsid w:val="00384F2F"/>
    <w:rsid w:val="00386096"/>
    <w:rsid w:val="003869DF"/>
    <w:rsid w:val="00386E89"/>
    <w:rsid w:val="0039020C"/>
    <w:rsid w:val="00390BC2"/>
    <w:rsid w:val="00390D19"/>
    <w:rsid w:val="003920ED"/>
    <w:rsid w:val="003932E4"/>
    <w:rsid w:val="00396E2F"/>
    <w:rsid w:val="003971AB"/>
    <w:rsid w:val="0039798D"/>
    <w:rsid w:val="00397BC7"/>
    <w:rsid w:val="003A016A"/>
    <w:rsid w:val="003A0F21"/>
    <w:rsid w:val="003A16DE"/>
    <w:rsid w:val="003A2237"/>
    <w:rsid w:val="003A26BF"/>
    <w:rsid w:val="003A2AA8"/>
    <w:rsid w:val="003A2BCC"/>
    <w:rsid w:val="003A4FC7"/>
    <w:rsid w:val="003A6CCA"/>
    <w:rsid w:val="003B0780"/>
    <w:rsid w:val="003B1367"/>
    <w:rsid w:val="003B1414"/>
    <w:rsid w:val="003B1610"/>
    <w:rsid w:val="003B1A71"/>
    <w:rsid w:val="003B2B57"/>
    <w:rsid w:val="003B3218"/>
    <w:rsid w:val="003B34A9"/>
    <w:rsid w:val="003B36EB"/>
    <w:rsid w:val="003B4359"/>
    <w:rsid w:val="003B44D0"/>
    <w:rsid w:val="003B491F"/>
    <w:rsid w:val="003B5723"/>
    <w:rsid w:val="003B5816"/>
    <w:rsid w:val="003B7007"/>
    <w:rsid w:val="003B7A36"/>
    <w:rsid w:val="003C0517"/>
    <w:rsid w:val="003C0723"/>
    <w:rsid w:val="003C1852"/>
    <w:rsid w:val="003C1A6D"/>
    <w:rsid w:val="003C1BBC"/>
    <w:rsid w:val="003C1E4D"/>
    <w:rsid w:val="003C22DF"/>
    <w:rsid w:val="003C2CC2"/>
    <w:rsid w:val="003C3E96"/>
    <w:rsid w:val="003C4214"/>
    <w:rsid w:val="003C457B"/>
    <w:rsid w:val="003C4891"/>
    <w:rsid w:val="003C4CAC"/>
    <w:rsid w:val="003C5511"/>
    <w:rsid w:val="003C5E58"/>
    <w:rsid w:val="003C5F88"/>
    <w:rsid w:val="003C6AB2"/>
    <w:rsid w:val="003C6C98"/>
    <w:rsid w:val="003C7489"/>
    <w:rsid w:val="003C7E62"/>
    <w:rsid w:val="003D0281"/>
    <w:rsid w:val="003D0359"/>
    <w:rsid w:val="003D1B28"/>
    <w:rsid w:val="003D2864"/>
    <w:rsid w:val="003D2A7E"/>
    <w:rsid w:val="003D3103"/>
    <w:rsid w:val="003D3527"/>
    <w:rsid w:val="003D41D8"/>
    <w:rsid w:val="003D42CC"/>
    <w:rsid w:val="003D5877"/>
    <w:rsid w:val="003D5AB3"/>
    <w:rsid w:val="003D5E50"/>
    <w:rsid w:val="003D5EBC"/>
    <w:rsid w:val="003D6504"/>
    <w:rsid w:val="003D685E"/>
    <w:rsid w:val="003D7D58"/>
    <w:rsid w:val="003E0757"/>
    <w:rsid w:val="003E0B53"/>
    <w:rsid w:val="003E0CEE"/>
    <w:rsid w:val="003E0F78"/>
    <w:rsid w:val="003E16D8"/>
    <w:rsid w:val="003E1B16"/>
    <w:rsid w:val="003E1F14"/>
    <w:rsid w:val="003E4575"/>
    <w:rsid w:val="003E550B"/>
    <w:rsid w:val="003E6F43"/>
    <w:rsid w:val="003E7FD7"/>
    <w:rsid w:val="003F030F"/>
    <w:rsid w:val="003F0B70"/>
    <w:rsid w:val="003F2A86"/>
    <w:rsid w:val="003F2A95"/>
    <w:rsid w:val="003F3607"/>
    <w:rsid w:val="003F3CB5"/>
    <w:rsid w:val="003F40E4"/>
    <w:rsid w:val="003F4B90"/>
    <w:rsid w:val="003F4C18"/>
    <w:rsid w:val="003F663C"/>
    <w:rsid w:val="00400717"/>
    <w:rsid w:val="004010EF"/>
    <w:rsid w:val="0040113F"/>
    <w:rsid w:val="00401721"/>
    <w:rsid w:val="004028D5"/>
    <w:rsid w:val="004045E4"/>
    <w:rsid w:val="00405D8A"/>
    <w:rsid w:val="0040651B"/>
    <w:rsid w:val="004078F4"/>
    <w:rsid w:val="00407A93"/>
    <w:rsid w:val="00407AB2"/>
    <w:rsid w:val="00410414"/>
    <w:rsid w:val="00410FEA"/>
    <w:rsid w:val="00411B12"/>
    <w:rsid w:val="00411E73"/>
    <w:rsid w:val="004126FA"/>
    <w:rsid w:val="00412F4D"/>
    <w:rsid w:val="00413790"/>
    <w:rsid w:val="004142E7"/>
    <w:rsid w:val="0041458E"/>
    <w:rsid w:val="00415742"/>
    <w:rsid w:val="004168E4"/>
    <w:rsid w:val="00416ED8"/>
    <w:rsid w:val="00416FC8"/>
    <w:rsid w:val="0041749E"/>
    <w:rsid w:val="004208F8"/>
    <w:rsid w:val="00420FB8"/>
    <w:rsid w:val="00421B40"/>
    <w:rsid w:val="00422258"/>
    <w:rsid w:val="004226A8"/>
    <w:rsid w:val="0042584E"/>
    <w:rsid w:val="00426CDA"/>
    <w:rsid w:val="00426FD6"/>
    <w:rsid w:val="004304C7"/>
    <w:rsid w:val="00430E90"/>
    <w:rsid w:val="00432081"/>
    <w:rsid w:val="00433909"/>
    <w:rsid w:val="00433CFE"/>
    <w:rsid w:val="00434F19"/>
    <w:rsid w:val="00435C42"/>
    <w:rsid w:val="00435CF2"/>
    <w:rsid w:val="00436AEA"/>
    <w:rsid w:val="00436BE7"/>
    <w:rsid w:val="0043781F"/>
    <w:rsid w:val="00437BD1"/>
    <w:rsid w:val="0044017A"/>
    <w:rsid w:val="0044018C"/>
    <w:rsid w:val="004428DE"/>
    <w:rsid w:val="00442EE0"/>
    <w:rsid w:val="00443C36"/>
    <w:rsid w:val="00443D57"/>
    <w:rsid w:val="00444994"/>
    <w:rsid w:val="00444DFE"/>
    <w:rsid w:val="00445337"/>
    <w:rsid w:val="004458F5"/>
    <w:rsid w:val="00445B29"/>
    <w:rsid w:val="00445D55"/>
    <w:rsid w:val="00446636"/>
    <w:rsid w:val="00447064"/>
    <w:rsid w:val="00447C58"/>
    <w:rsid w:val="00450385"/>
    <w:rsid w:val="004503D6"/>
    <w:rsid w:val="004504EA"/>
    <w:rsid w:val="004504FB"/>
    <w:rsid w:val="0045172D"/>
    <w:rsid w:val="00453424"/>
    <w:rsid w:val="00453452"/>
    <w:rsid w:val="00453981"/>
    <w:rsid w:val="0045542C"/>
    <w:rsid w:val="00455F90"/>
    <w:rsid w:val="0045624B"/>
    <w:rsid w:val="00456A7D"/>
    <w:rsid w:val="00456F60"/>
    <w:rsid w:val="004570AC"/>
    <w:rsid w:val="004579CF"/>
    <w:rsid w:val="0046001A"/>
    <w:rsid w:val="00461063"/>
    <w:rsid w:val="004611AC"/>
    <w:rsid w:val="0046131C"/>
    <w:rsid w:val="00461C2F"/>
    <w:rsid w:val="004632CB"/>
    <w:rsid w:val="00463EF6"/>
    <w:rsid w:val="00463F8C"/>
    <w:rsid w:val="00464782"/>
    <w:rsid w:val="004656AE"/>
    <w:rsid w:val="0046650B"/>
    <w:rsid w:val="00466569"/>
    <w:rsid w:val="00466EDE"/>
    <w:rsid w:val="004679C4"/>
    <w:rsid w:val="00467ECD"/>
    <w:rsid w:val="00467EFE"/>
    <w:rsid w:val="00467FF9"/>
    <w:rsid w:val="00470405"/>
    <w:rsid w:val="00473053"/>
    <w:rsid w:val="00473AB7"/>
    <w:rsid w:val="00473B9D"/>
    <w:rsid w:val="00474038"/>
    <w:rsid w:val="00474090"/>
    <w:rsid w:val="00474DED"/>
    <w:rsid w:val="004751D6"/>
    <w:rsid w:val="004801C1"/>
    <w:rsid w:val="00480F9A"/>
    <w:rsid w:val="004821A8"/>
    <w:rsid w:val="0048245D"/>
    <w:rsid w:val="00486269"/>
    <w:rsid w:val="0048657A"/>
    <w:rsid w:val="00486D94"/>
    <w:rsid w:val="00487D8C"/>
    <w:rsid w:val="00490F6C"/>
    <w:rsid w:val="004915BA"/>
    <w:rsid w:val="00492D24"/>
    <w:rsid w:val="00493D84"/>
    <w:rsid w:val="00494730"/>
    <w:rsid w:val="004948C3"/>
    <w:rsid w:val="0049502B"/>
    <w:rsid w:val="004958FC"/>
    <w:rsid w:val="00497792"/>
    <w:rsid w:val="004A0E5A"/>
    <w:rsid w:val="004A105A"/>
    <w:rsid w:val="004A22E8"/>
    <w:rsid w:val="004A3386"/>
    <w:rsid w:val="004A40E5"/>
    <w:rsid w:val="004A5970"/>
    <w:rsid w:val="004A5E25"/>
    <w:rsid w:val="004A631D"/>
    <w:rsid w:val="004A7451"/>
    <w:rsid w:val="004A7D51"/>
    <w:rsid w:val="004B0369"/>
    <w:rsid w:val="004B0A39"/>
    <w:rsid w:val="004B0EA7"/>
    <w:rsid w:val="004B0FF5"/>
    <w:rsid w:val="004B140F"/>
    <w:rsid w:val="004B1B5D"/>
    <w:rsid w:val="004B21FD"/>
    <w:rsid w:val="004B23A8"/>
    <w:rsid w:val="004B27FB"/>
    <w:rsid w:val="004B2B94"/>
    <w:rsid w:val="004B318C"/>
    <w:rsid w:val="004B376C"/>
    <w:rsid w:val="004B3A17"/>
    <w:rsid w:val="004B53C8"/>
    <w:rsid w:val="004B687A"/>
    <w:rsid w:val="004B7ABF"/>
    <w:rsid w:val="004C1134"/>
    <w:rsid w:val="004C1C10"/>
    <w:rsid w:val="004C1C8F"/>
    <w:rsid w:val="004C2170"/>
    <w:rsid w:val="004C2609"/>
    <w:rsid w:val="004C262E"/>
    <w:rsid w:val="004C29B3"/>
    <w:rsid w:val="004C3B1D"/>
    <w:rsid w:val="004C4371"/>
    <w:rsid w:val="004C4481"/>
    <w:rsid w:val="004C5B73"/>
    <w:rsid w:val="004C5F98"/>
    <w:rsid w:val="004C6117"/>
    <w:rsid w:val="004C66D0"/>
    <w:rsid w:val="004C7521"/>
    <w:rsid w:val="004D09F0"/>
    <w:rsid w:val="004D0C85"/>
    <w:rsid w:val="004D0D74"/>
    <w:rsid w:val="004D149E"/>
    <w:rsid w:val="004D1BD6"/>
    <w:rsid w:val="004D1CB3"/>
    <w:rsid w:val="004D365B"/>
    <w:rsid w:val="004D430C"/>
    <w:rsid w:val="004D47B8"/>
    <w:rsid w:val="004D736C"/>
    <w:rsid w:val="004D7688"/>
    <w:rsid w:val="004D76D4"/>
    <w:rsid w:val="004E15A3"/>
    <w:rsid w:val="004E22B2"/>
    <w:rsid w:val="004E2468"/>
    <w:rsid w:val="004E5503"/>
    <w:rsid w:val="004E59D7"/>
    <w:rsid w:val="004E6124"/>
    <w:rsid w:val="004E7303"/>
    <w:rsid w:val="004E7F4D"/>
    <w:rsid w:val="004F044F"/>
    <w:rsid w:val="004F07C9"/>
    <w:rsid w:val="004F1565"/>
    <w:rsid w:val="004F2F5A"/>
    <w:rsid w:val="004F358E"/>
    <w:rsid w:val="004F3DAC"/>
    <w:rsid w:val="004F47D0"/>
    <w:rsid w:val="004F4A12"/>
    <w:rsid w:val="004F5794"/>
    <w:rsid w:val="00500534"/>
    <w:rsid w:val="00500707"/>
    <w:rsid w:val="005009D2"/>
    <w:rsid w:val="00500FA2"/>
    <w:rsid w:val="0050212A"/>
    <w:rsid w:val="005023B5"/>
    <w:rsid w:val="00502763"/>
    <w:rsid w:val="00503444"/>
    <w:rsid w:val="00503791"/>
    <w:rsid w:val="00504125"/>
    <w:rsid w:val="00504E6C"/>
    <w:rsid w:val="00506678"/>
    <w:rsid w:val="0050697B"/>
    <w:rsid w:val="005075C5"/>
    <w:rsid w:val="005079E0"/>
    <w:rsid w:val="00507C5F"/>
    <w:rsid w:val="00507F17"/>
    <w:rsid w:val="00510C5E"/>
    <w:rsid w:val="0051120C"/>
    <w:rsid w:val="00511414"/>
    <w:rsid w:val="00511F34"/>
    <w:rsid w:val="00512070"/>
    <w:rsid w:val="00512B50"/>
    <w:rsid w:val="00512DA5"/>
    <w:rsid w:val="00513062"/>
    <w:rsid w:val="00513631"/>
    <w:rsid w:val="00514B40"/>
    <w:rsid w:val="00515357"/>
    <w:rsid w:val="005153EB"/>
    <w:rsid w:val="0051566C"/>
    <w:rsid w:val="005171DE"/>
    <w:rsid w:val="005177DA"/>
    <w:rsid w:val="0052097D"/>
    <w:rsid w:val="00521E18"/>
    <w:rsid w:val="005228E5"/>
    <w:rsid w:val="005243F0"/>
    <w:rsid w:val="005251AD"/>
    <w:rsid w:val="0052541E"/>
    <w:rsid w:val="005255AF"/>
    <w:rsid w:val="005256F1"/>
    <w:rsid w:val="00526F8D"/>
    <w:rsid w:val="00527889"/>
    <w:rsid w:val="005301DD"/>
    <w:rsid w:val="00530391"/>
    <w:rsid w:val="005309E2"/>
    <w:rsid w:val="00530B5C"/>
    <w:rsid w:val="00530D7C"/>
    <w:rsid w:val="005310CC"/>
    <w:rsid w:val="00531B35"/>
    <w:rsid w:val="00531B6F"/>
    <w:rsid w:val="005322E6"/>
    <w:rsid w:val="00533C32"/>
    <w:rsid w:val="0053467B"/>
    <w:rsid w:val="00534FFB"/>
    <w:rsid w:val="005352A6"/>
    <w:rsid w:val="0053572C"/>
    <w:rsid w:val="005357A0"/>
    <w:rsid w:val="00536A25"/>
    <w:rsid w:val="00537010"/>
    <w:rsid w:val="00537519"/>
    <w:rsid w:val="005376CF"/>
    <w:rsid w:val="00537793"/>
    <w:rsid w:val="00540357"/>
    <w:rsid w:val="00542444"/>
    <w:rsid w:val="00542FB4"/>
    <w:rsid w:val="00543AD9"/>
    <w:rsid w:val="005443B7"/>
    <w:rsid w:val="005443C4"/>
    <w:rsid w:val="005445B1"/>
    <w:rsid w:val="0054531B"/>
    <w:rsid w:val="0054675B"/>
    <w:rsid w:val="005468F2"/>
    <w:rsid w:val="005469C0"/>
    <w:rsid w:val="00546E7D"/>
    <w:rsid w:val="005477D0"/>
    <w:rsid w:val="0055068A"/>
    <w:rsid w:val="00551BF6"/>
    <w:rsid w:val="0055363F"/>
    <w:rsid w:val="00554B13"/>
    <w:rsid w:val="00554CF5"/>
    <w:rsid w:val="00555F2A"/>
    <w:rsid w:val="00555FEE"/>
    <w:rsid w:val="00556070"/>
    <w:rsid w:val="00556420"/>
    <w:rsid w:val="0055672D"/>
    <w:rsid w:val="00556C12"/>
    <w:rsid w:val="005606AB"/>
    <w:rsid w:val="00560E9D"/>
    <w:rsid w:val="00560EF2"/>
    <w:rsid w:val="0056167C"/>
    <w:rsid w:val="00561B4F"/>
    <w:rsid w:val="00561E21"/>
    <w:rsid w:val="00561E84"/>
    <w:rsid w:val="005648F9"/>
    <w:rsid w:val="005649CA"/>
    <w:rsid w:val="00565775"/>
    <w:rsid w:val="00565D82"/>
    <w:rsid w:val="0056694C"/>
    <w:rsid w:val="00566E8C"/>
    <w:rsid w:val="005672BF"/>
    <w:rsid w:val="00567E67"/>
    <w:rsid w:val="00570056"/>
    <w:rsid w:val="005703B3"/>
    <w:rsid w:val="00570471"/>
    <w:rsid w:val="00571550"/>
    <w:rsid w:val="00571BDA"/>
    <w:rsid w:val="00572088"/>
    <w:rsid w:val="0057243F"/>
    <w:rsid w:val="00572916"/>
    <w:rsid w:val="005734BD"/>
    <w:rsid w:val="00573F58"/>
    <w:rsid w:val="0057419F"/>
    <w:rsid w:val="0057445F"/>
    <w:rsid w:val="00574742"/>
    <w:rsid w:val="00574CE8"/>
    <w:rsid w:val="00576125"/>
    <w:rsid w:val="00580218"/>
    <w:rsid w:val="005802E4"/>
    <w:rsid w:val="00580FA4"/>
    <w:rsid w:val="005818E5"/>
    <w:rsid w:val="00581E6F"/>
    <w:rsid w:val="00583C1F"/>
    <w:rsid w:val="005841FD"/>
    <w:rsid w:val="005857FC"/>
    <w:rsid w:val="00586610"/>
    <w:rsid w:val="0058670D"/>
    <w:rsid w:val="00586C26"/>
    <w:rsid w:val="00587C12"/>
    <w:rsid w:val="00587E1E"/>
    <w:rsid w:val="00590164"/>
    <w:rsid w:val="00591E9B"/>
    <w:rsid w:val="00593CD2"/>
    <w:rsid w:val="005941B7"/>
    <w:rsid w:val="00595168"/>
    <w:rsid w:val="00595B7B"/>
    <w:rsid w:val="005962B5"/>
    <w:rsid w:val="005967C2"/>
    <w:rsid w:val="00597D29"/>
    <w:rsid w:val="00597E76"/>
    <w:rsid w:val="005A0143"/>
    <w:rsid w:val="005A05D3"/>
    <w:rsid w:val="005A0CE1"/>
    <w:rsid w:val="005A113C"/>
    <w:rsid w:val="005A1758"/>
    <w:rsid w:val="005A1866"/>
    <w:rsid w:val="005A1E00"/>
    <w:rsid w:val="005A21BE"/>
    <w:rsid w:val="005A326F"/>
    <w:rsid w:val="005A3C03"/>
    <w:rsid w:val="005A4046"/>
    <w:rsid w:val="005A4F5D"/>
    <w:rsid w:val="005A6174"/>
    <w:rsid w:val="005A6B03"/>
    <w:rsid w:val="005A70A8"/>
    <w:rsid w:val="005A7145"/>
    <w:rsid w:val="005B04F5"/>
    <w:rsid w:val="005B0B30"/>
    <w:rsid w:val="005B105E"/>
    <w:rsid w:val="005B18D2"/>
    <w:rsid w:val="005B3435"/>
    <w:rsid w:val="005B378E"/>
    <w:rsid w:val="005B3B26"/>
    <w:rsid w:val="005B4385"/>
    <w:rsid w:val="005B4763"/>
    <w:rsid w:val="005B4965"/>
    <w:rsid w:val="005B4ABC"/>
    <w:rsid w:val="005B54EF"/>
    <w:rsid w:val="005B675B"/>
    <w:rsid w:val="005B6848"/>
    <w:rsid w:val="005B7BD2"/>
    <w:rsid w:val="005C1077"/>
    <w:rsid w:val="005C2175"/>
    <w:rsid w:val="005C22EF"/>
    <w:rsid w:val="005C23DC"/>
    <w:rsid w:val="005C57E3"/>
    <w:rsid w:val="005D148F"/>
    <w:rsid w:val="005D152A"/>
    <w:rsid w:val="005D403B"/>
    <w:rsid w:val="005D4418"/>
    <w:rsid w:val="005D4631"/>
    <w:rsid w:val="005D4958"/>
    <w:rsid w:val="005D4A2B"/>
    <w:rsid w:val="005D4C81"/>
    <w:rsid w:val="005D5CA9"/>
    <w:rsid w:val="005D5CAC"/>
    <w:rsid w:val="005D5F2E"/>
    <w:rsid w:val="005D6C4B"/>
    <w:rsid w:val="005D71EC"/>
    <w:rsid w:val="005D72CA"/>
    <w:rsid w:val="005E0601"/>
    <w:rsid w:val="005E0B24"/>
    <w:rsid w:val="005E0C62"/>
    <w:rsid w:val="005E103C"/>
    <w:rsid w:val="005E249F"/>
    <w:rsid w:val="005E3915"/>
    <w:rsid w:val="005E5B70"/>
    <w:rsid w:val="005E661A"/>
    <w:rsid w:val="005E675B"/>
    <w:rsid w:val="005E78FC"/>
    <w:rsid w:val="005E7981"/>
    <w:rsid w:val="005F0CD3"/>
    <w:rsid w:val="005F22A7"/>
    <w:rsid w:val="005F2345"/>
    <w:rsid w:val="005F2628"/>
    <w:rsid w:val="005F2A22"/>
    <w:rsid w:val="005F2D11"/>
    <w:rsid w:val="005F3932"/>
    <w:rsid w:val="005F4AE3"/>
    <w:rsid w:val="005F4C63"/>
    <w:rsid w:val="005F4CD7"/>
    <w:rsid w:val="005F5231"/>
    <w:rsid w:val="005F6350"/>
    <w:rsid w:val="005F6626"/>
    <w:rsid w:val="005F746E"/>
    <w:rsid w:val="005F7B68"/>
    <w:rsid w:val="00600756"/>
    <w:rsid w:val="00600B78"/>
    <w:rsid w:val="006011C8"/>
    <w:rsid w:val="00603BB7"/>
    <w:rsid w:val="0060442F"/>
    <w:rsid w:val="00605458"/>
    <w:rsid w:val="0060712D"/>
    <w:rsid w:val="0060719C"/>
    <w:rsid w:val="006076BF"/>
    <w:rsid w:val="00610A1C"/>
    <w:rsid w:val="00610C8D"/>
    <w:rsid w:val="00611514"/>
    <w:rsid w:val="00611CA8"/>
    <w:rsid w:val="00613074"/>
    <w:rsid w:val="00614017"/>
    <w:rsid w:val="00614076"/>
    <w:rsid w:val="0061580F"/>
    <w:rsid w:val="0061622B"/>
    <w:rsid w:val="006165E7"/>
    <w:rsid w:val="006168CD"/>
    <w:rsid w:val="00617B79"/>
    <w:rsid w:val="006202A5"/>
    <w:rsid w:val="0062062A"/>
    <w:rsid w:val="00621AA6"/>
    <w:rsid w:val="00621E6E"/>
    <w:rsid w:val="006220E4"/>
    <w:rsid w:val="00622259"/>
    <w:rsid w:val="0062257F"/>
    <w:rsid w:val="00622DC8"/>
    <w:rsid w:val="00623022"/>
    <w:rsid w:val="00623127"/>
    <w:rsid w:val="00623D38"/>
    <w:rsid w:val="006243EB"/>
    <w:rsid w:val="00624F4F"/>
    <w:rsid w:val="00624FA6"/>
    <w:rsid w:val="00625017"/>
    <w:rsid w:val="00626A98"/>
    <w:rsid w:val="00626C70"/>
    <w:rsid w:val="00626FB1"/>
    <w:rsid w:val="00627983"/>
    <w:rsid w:val="00630B7B"/>
    <w:rsid w:val="00630F15"/>
    <w:rsid w:val="00631710"/>
    <w:rsid w:val="0063186C"/>
    <w:rsid w:val="0063192F"/>
    <w:rsid w:val="00631EBB"/>
    <w:rsid w:val="006334AB"/>
    <w:rsid w:val="00633A54"/>
    <w:rsid w:val="006361BA"/>
    <w:rsid w:val="006361D2"/>
    <w:rsid w:val="00636220"/>
    <w:rsid w:val="00636CB7"/>
    <w:rsid w:val="00636EA8"/>
    <w:rsid w:val="00636F50"/>
    <w:rsid w:val="006377B6"/>
    <w:rsid w:val="00637CD6"/>
    <w:rsid w:val="00640592"/>
    <w:rsid w:val="00642260"/>
    <w:rsid w:val="006446DD"/>
    <w:rsid w:val="00645423"/>
    <w:rsid w:val="00645C23"/>
    <w:rsid w:val="00647135"/>
    <w:rsid w:val="00647335"/>
    <w:rsid w:val="00650186"/>
    <w:rsid w:val="00650277"/>
    <w:rsid w:val="00650F1C"/>
    <w:rsid w:val="00651626"/>
    <w:rsid w:val="006517CC"/>
    <w:rsid w:val="00652C43"/>
    <w:rsid w:val="00652D78"/>
    <w:rsid w:val="00652EB9"/>
    <w:rsid w:val="00652F6C"/>
    <w:rsid w:val="006533C3"/>
    <w:rsid w:val="006551B8"/>
    <w:rsid w:val="006554C6"/>
    <w:rsid w:val="00655A2C"/>
    <w:rsid w:val="00660286"/>
    <w:rsid w:val="00661F00"/>
    <w:rsid w:val="006620BC"/>
    <w:rsid w:val="006622BA"/>
    <w:rsid w:val="00662972"/>
    <w:rsid w:val="00662C4E"/>
    <w:rsid w:val="0066300A"/>
    <w:rsid w:val="00663A0C"/>
    <w:rsid w:val="00663DEC"/>
    <w:rsid w:val="006640D3"/>
    <w:rsid w:val="00664485"/>
    <w:rsid w:val="0066493A"/>
    <w:rsid w:val="00664949"/>
    <w:rsid w:val="00665358"/>
    <w:rsid w:val="006653B5"/>
    <w:rsid w:val="006655EF"/>
    <w:rsid w:val="006655F5"/>
    <w:rsid w:val="00667C29"/>
    <w:rsid w:val="006711CD"/>
    <w:rsid w:val="00671410"/>
    <w:rsid w:val="00672FE8"/>
    <w:rsid w:val="00673806"/>
    <w:rsid w:val="0067455A"/>
    <w:rsid w:val="00674659"/>
    <w:rsid w:val="0067483D"/>
    <w:rsid w:val="006750AD"/>
    <w:rsid w:val="006774F4"/>
    <w:rsid w:val="006806F3"/>
    <w:rsid w:val="006808BF"/>
    <w:rsid w:val="00681505"/>
    <w:rsid w:val="00681D80"/>
    <w:rsid w:val="006825F7"/>
    <w:rsid w:val="0068315E"/>
    <w:rsid w:val="006835B3"/>
    <w:rsid w:val="00684433"/>
    <w:rsid w:val="00685A52"/>
    <w:rsid w:val="00686125"/>
    <w:rsid w:val="00686835"/>
    <w:rsid w:val="006876B6"/>
    <w:rsid w:val="006906ED"/>
    <w:rsid w:val="00691A06"/>
    <w:rsid w:val="00691D11"/>
    <w:rsid w:val="00691FCD"/>
    <w:rsid w:val="00692067"/>
    <w:rsid w:val="00692950"/>
    <w:rsid w:val="0069348C"/>
    <w:rsid w:val="00694865"/>
    <w:rsid w:val="006949DF"/>
    <w:rsid w:val="0069537B"/>
    <w:rsid w:val="00697683"/>
    <w:rsid w:val="006A0652"/>
    <w:rsid w:val="006A0767"/>
    <w:rsid w:val="006A14BF"/>
    <w:rsid w:val="006A2CA2"/>
    <w:rsid w:val="006A348B"/>
    <w:rsid w:val="006A42B3"/>
    <w:rsid w:val="006A5279"/>
    <w:rsid w:val="006A7983"/>
    <w:rsid w:val="006B027F"/>
    <w:rsid w:val="006B1883"/>
    <w:rsid w:val="006B2512"/>
    <w:rsid w:val="006B2DB6"/>
    <w:rsid w:val="006B586A"/>
    <w:rsid w:val="006B68D8"/>
    <w:rsid w:val="006B6C2B"/>
    <w:rsid w:val="006B6C32"/>
    <w:rsid w:val="006B6D16"/>
    <w:rsid w:val="006B6D83"/>
    <w:rsid w:val="006B75CB"/>
    <w:rsid w:val="006B7E95"/>
    <w:rsid w:val="006C1619"/>
    <w:rsid w:val="006C1856"/>
    <w:rsid w:val="006C2737"/>
    <w:rsid w:val="006C3C75"/>
    <w:rsid w:val="006C3EF4"/>
    <w:rsid w:val="006C5683"/>
    <w:rsid w:val="006C6343"/>
    <w:rsid w:val="006C701C"/>
    <w:rsid w:val="006C736F"/>
    <w:rsid w:val="006D0800"/>
    <w:rsid w:val="006D0CC1"/>
    <w:rsid w:val="006D0DAA"/>
    <w:rsid w:val="006D0DD3"/>
    <w:rsid w:val="006D0E98"/>
    <w:rsid w:val="006D0FB6"/>
    <w:rsid w:val="006D1979"/>
    <w:rsid w:val="006D1F16"/>
    <w:rsid w:val="006D239C"/>
    <w:rsid w:val="006D304F"/>
    <w:rsid w:val="006D3676"/>
    <w:rsid w:val="006D61C1"/>
    <w:rsid w:val="006D62F9"/>
    <w:rsid w:val="006D75CD"/>
    <w:rsid w:val="006E3949"/>
    <w:rsid w:val="006E3E11"/>
    <w:rsid w:val="006E42B2"/>
    <w:rsid w:val="006E544F"/>
    <w:rsid w:val="006E6353"/>
    <w:rsid w:val="006E6595"/>
    <w:rsid w:val="006E7049"/>
    <w:rsid w:val="006E7327"/>
    <w:rsid w:val="006E7560"/>
    <w:rsid w:val="006E7A7E"/>
    <w:rsid w:val="006E7CA8"/>
    <w:rsid w:val="006F000A"/>
    <w:rsid w:val="006F19E3"/>
    <w:rsid w:val="006F1FE8"/>
    <w:rsid w:val="006F4689"/>
    <w:rsid w:val="006F4798"/>
    <w:rsid w:val="006F69D3"/>
    <w:rsid w:val="006F70B3"/>
    <w:rsid w:val="007002CA"/>
    <w:rsid w:val="007015FF"/>
    <w:rsid w:val="00701CE7"/>
    <w:rsid w:val="00701D85"/>
    <w:rsid w:val="00701E18"/>
    <w:rsid w:val="007021E2"/>
    <w:rsid w:val="00703818"/>
    <w:rsid w:val="007042D6"/>
    <w:rsid w:val="007044B2"/>
    <w:rsid w:val="007044BE"/>
    <w:rsid w:val="007052C8"/>
    <w:rsid w:val="00706916"/>
    <w:rsid w:val="0070732B"/>
    <w:rsid w:val="00707ACD"/>
    <w:rsid w:val="00707C10"/>
    <w:rsid w:val="007105B3"/>
    <w:rsid w:val="0071071F"/>
    <w:rsid w:val="00710E92"/>
    <w:rsid w:val="00710EA0"/>
    <w:rsid w:val="0071122B"/>
    <w:rsid w:val="0071215B"/>
    <w:rsid w:val="00712FB9"/>
    <w:rsid w:val="0071495A"/>
    <w:rsid w:val="007150F1"/>
    <w:rsid w:val="0071547D"/>
    <w:rsid w:val="00715D30"/>
    <w:rsid w:val="007168F3"/>
    <w:rsid w:val="0071735E"/>
    <w:rsid w:val="007173BB"/>
    <w:rsid w:val="00717896"/>
    <w:rsid w:val="0072073F"/>
    <w:rsid w:val="00721D36"/>
    <w:rsid w:val="00722FCE"/>
    <w:rsid w:val="0072385C"/>
    <w:rsid w:val="00724DD6"/>
    <w:rsid w:val="0072597D"/>
    <w:rsid w:val="00726171"/>
    <w:rsid w:val="007316D5"/>
    <w:rsid w:val="00731B99"/>
    <w:rsid w:val="007326BF"/>
    <w:rsid w:val="00733D46"/>
    <w:rsid w:val="00733F4B"/>
    <w:rsid w:val="007341BA"/>
    <w:rsid w:val="00734630"/>
    <w:rsid w:val="00735074"/>
    <w:rsid w:val="00735A6B"/>
    <w:rsid w:val="00735BA7"/>
    <w:rsid w:val="00735CDD"/>
    <w:rsid w:val="007362EC"/>
    <w:rsid w:val="00736739"/>
    <w:rsid w:val="00736F56"/>
    <w:rsid w:val="007374B9"/>
    <w:rsid w:val="00740587"/>
    <w:rsid w:val="007405F7"/>
    <w:rsid w:val="00740A8F"/>
    <w:rsid w:val="00741691"/>
    <w:rsid w:val="0074187E"/>
    <w:rsid w:val="007420DA"/>
    <w:rsid w:val="00742876"/>
    <w:rsid w:val="00743B0B"/>
    <w:rsid w:val="007443A5"/>
    <w:rsid w:val="007443FF"/>
    <w:rsid w:val="00744CBA"/>
    <w:rsid w:val="00745AEE"/>
    <w:rsid w:val="00747180"/>
    <w:rsid w:val="00747A24"/>
    <w:rsid w:val="007511CF"/>
    <w:rsid w:val="007512FF"/>
    <w:rsid w:val="00751D6E"/>
    <w:rsid w:val="00751EB3"/>
    <w:rsid w:val="00751F87"/>
    <w:rsid w:val="00752124"/>
    <w:rsid w:val="007531B6"/>
    <w:rsid w:val="007532EB"/>
    <w:rsid w:val="00753462"/>
    <w:rsid w:val="00757CC6"/>
    <w:rsid w:val="00757ED7"/>
    <w:rsid w:val="0076023E"/>
    <w:rsid w:val="007607E8"/>
    <w:rsid w:val="007608FF"/>
    <w:rsid w:val="00760BD6"/>
    <w:rsid w:val="00760E7D"/>
    <w:rsid w:val="00761C1F"/>
    <w:rsid w:val="007624B8"/>
    <w:rsid w:val="007626D9"/>
    <w:rsid w:val="00763F63"/>
    <w:rsid w:val="00764579"/>
    <w:rsid w:val="00764949"/>
    <w:rsid w:val="007653B2"/>
    <w:rsid w:val="00766225"/>
    <w:rsid w:val="00771ACE"/>
    <w:rsid w:val="00772942"/>
    <w:rsid w:val="007746DE"/>
    <w:rsid w:val="00774F15"/>
    <w:rsid w:val="00775496"/>
    <w:rsid w:val="00775DCA"/>
    <w:rsid w:val="00775EF4"/>
    <w:rsid w:val="00775FB2"/>
    <w:rsid w:val="0077711B"/>
    <w:rsid w:val="00777603"/>
    <w:rsid w:val="0078004B"/>
    <w:rsid w:val="00780130"/>
    <w:rsid w:val="007806BA"/>
    <w:rsid w:val="0078090B"/>
    <w:rsid w:val="007816D5"/>
    <w:rsid w:val="007820D6"/>
    <w:rsid w:val="00782A59"/>
    <w:rsid w:val="00783847"/>
    <w:rsid w:val="00784486"/>
    <w:rsid w:val="007848CB"/>
    <w:rsid w:val="00785F41"/>
    <w:rsid w:val="00786988"/>
    <w:rsid w:val="0078738F"/>
    <w:rsid w:val="00790D81"/>
    <w:rsid w:val="0079113B"/>
    <w:rsid w:val="00792539"/>
    <w:rsid w:val="00794664"/>
    <w:rsid w:val="00794D0B"/>
    <w:rsid w:val="00794D7B"/>
    <w:rsid w:val="00795764"/>
    <w:rsid w:val="00795E98"/>
    <w:rsid w:val="00796348"/>
    <w:rsid w:val="00797893"/>
    <w:rsid w:val="00797AA8"/>
    <w:rsid w:val="007A0FB2"/>
    <w:rsid w:val="007A208E"/>
    <w:rsid w:val="007A3283"/>
    <w:rsid w:val="007A4402"/>
    <w:rsid w:val="007A4F58"/>
    <w:rsid w:val="007A5603"/>
    <w:rsid w:val="007A6725"/>
    <w:rsid w:val="007A794B"/>
    <w:rsid w:val="007A7ADD"/>
    <w:rsid w:val="007B002D"/>
    <w:rsid w:val="007B0171"/>
    <w:rsid w:val="007B2930"/>
    <w:rsid w:val="007B2962"/>
    <w:rsid w:val="007B4476"/>
    <w:rsid w:val="007B4DC7"/>
    <w:rsid w:val="007B4E51"/>
    <w:rsid w:val="007B50B4"/>
    <w:rsid w:val="007B5851"/>
    <w:rsid w:val="007B78B4"/>
    <w:rsid w:val="007C00DA"/>
    <w:rsid w:val="007C0929"/>
    <w:rsid w:val="007C0E16"/>
    <w:rsid w:val="007C2BB1"/>
    <w:rsid w:val="007C3F94"/>
    <w:rsid w:val="007C4E06"/>
    <w:rsid w:val="007C6B33"/>
    <w:rsid w:val="007C7291"/>
    <w:rsid w:val="007D0720"/>
    <w:rsid w:val="007D11E3"/>
    <w:rsid w:val="007D1EAD"/>
    <w:rsid w:val="007D200B"/>
    <w:rsid w:val="007D2270"/>
    <w:rsid w:val="007D4C12"/>
    <w:rsid w:val="007D4DDE"/>
    <w:rsid w:val="007D55F8"/>
    <w:rsid w:val="007D5919"/>
    <w:rsid w:val="007D5F56"/>
    <w:rsid w:val="007D728E"/>
    <w:rsid w:val="007D7C47"/>
    <w:rsid w:val="007E145D"/>
    <w:rsid w:val="007E1A43"/>
    <w:rsid w:val="007E2EF2"/>
    <w:rsid w:val="007E3836"/>
    <w:rsid w:val="007E3C0E"/>
    <w:rsid w:val="007E506D"/>
    <w:rsid w:val="007E54F0"/>
    <w:rsid w:val="007E572E"/>
    <w:rsid w:val="007E5EDD"/>
    <w:rsid w:val="007E61F4"/>
    <w:rsid w:val="007E6CD9"/>
    <w:rsid w:val="007E718E"/>
    <w:rsid w:val="007F1D57"/>
    <w:rsid w:val="007F326A"/>
    <w:rsid w:val="007F39CE"/>
    <w:rsid w:val="007F41DB"/>
    <w:rsid w:val="007F43B6"/>
    <w:rsid w:val="007F53AA"/>
    <w:rsid w:val="007F5606"/>
    <w:rsid w:val="007F5EBB"/>
    <w:rsid w:val="008001B9"/>
    <w:rsid w:val="0080171D"/>
    <w:rsid w:val="00801F2D"/>
    <w:rsid w:val="008033D8"/>
    <w:rsid w:val="00803A82"/>
    <w:rsid w:val="0080414B"/>
    <w:rsid w:val="00805EF4"/>
    <w:rsid w:val="00807410"/>
    <w:rsid w:val="00810D18"/>
    <w:rsid w:val="00810DA2"/>
    <w:rsid w:val="008115C5"/>
    <w:rsid w:val="00811A13"/>
    <w:rsid w:val="00811CD7"/>
    <w:rsid w:val="008122AD"/>
    <w:rsid w:val="008129A5"/>
    <w:rsid w:val="00812C70"/>
    <w:rsid w:val="008135BE"/>
    <w:rsid w:val="0081418A"/>
    <w:rsid w:val="008142EC"/>
    <w:rsid w:val="00814382"/>
    <w:rsid w:val="008147C1"/>
    <w:rsid w:val="008149B0"/>
    <w:rsid w:val="00815EE1"/>
    <w:rsid w:val="00816C9A"/>
    <w:rsid w:val="008172D1"/>
    <w:rsid w:val="008177D7"/>
    <w:rsid w:val="00817F7C"/>
    <w:rsid w:val="008217B4"/>
    <w:rsid w:val="00822007"/>
    <w:rsid w:val="00822293"/>
    <w:rsid w:val="00822D9F"/>
    <w:rsid w:val="00823F6F"/>
    <w:rsid w:val="00824CB4"/>
    <w:rsid w:val="00824D2A"/>
    <w:rsid w:val="00825635"/>
    <w:rsid w:val="00826203"/>
    <w:rsid w:val="008272A5"/>
    <w:rsid w:val="008273DE"/>
    <w:rsid w:val="008277A6"/>
    <w:rsid w:val="008310F5"/>
    <w:rsid w:val="00831644"/>
    <w:rsid w:val="00832C29"/>
    <w:rsid w:val="008330F7"/>
    <w:rsid w:val="00833183"/>
    <w:rsid w:val="00833AA2"/>
    <w:rsid w:val="008344CE"/>
    <w:rsid w:val="0083599D"/>
    <w:rsid w:val="00835B15"/>
    <w:rsid w:val="0083696E"/>
    <w:rsid w:val="008414D9"/>
    <w:rsid w:val="008423A3"/>
    <w:rsid w:val="00842DCE"/>
    <w:rsid w:val="0084381D"/>
    <w:rsid w:val="00843D2C"/>
    <w:rsid w:val="00844251"/>
    <w:rsid w:val="00844967"/>
    <w:rsid w:val="00844F2B"/>
    <w:rsid w:val="00845FD4"/>
    <w:rsid w:val="00845FE1"/>
    <w:rsid w:val="00846C1D"/>
    <w:rsid w:val="00846D9D"/>
    <w:rsid w:val="00846F90"/>
    <w:rsid w:val="00847FDD"/>
    <w:rsid w:val="00851838"/>
    <w:rsid w:val="00851F8B"/>
    <w:rsid w:val="00852043"/>
    <w:rsid w:val="0085211A"/>
    <w:rsid w:val="0085254A"/>
    <w:rsid w:val="008533C2"/>
    <w:rsid w:val="00853657"/>
    <w:rsid w:val="00855474"/>
    <w:rsid w:val="0085587F"/>
    <w:rsid w:val="008563CC"/>
    <w:rsid w:val="00856C0B"/>
    <w:rsid w:val="00856E46"/>
    <w:rsid w:val="008572FB"/>
    <w:rsid w:val="00860FF0"/>
    <w:rsid w:val="0086142A"/>
    <w:rsid w:val="008617C5"/>
    <w:rsid w:val="00861D88"/>
    <w:rsid w:val="00862111"/>
    <w:rsid w:val="00862D16"/>
    <w:rsid w:val="008638D7"/>
    <w:rsid w:val="0086473B"/>
    <w:rsid w:val="008647B0"/>
    <w:rsid w:val="00865300"/>
    <w:rsid w:val="00865B73"/>
    <w:rsid w:val="008667CC"/>
    <w:rsid w:val="008709BE"/>
    <w:rsid w:val="00870DAC"/>
    <w:rsid w:val="00871323"/>
    <w:rsid w:val="00871EEB"/>
    <w:rsid w:val="008727C0"/>
    <w:rsid w:val="0087280E"/>
    <w:rsid w:val="00872B81"/>
    <w:rsid w:val="00872ED3"/>
    <w:rsid w:val="00872F09"/>
    <w:rsid w:val="0087362B"/>
    <w:rsid w:val="00873EA1"/>
    <w:rsid w:val="00875365"/>
    <w:rsid w:val="00875747"/>
    <w:rsid w:val="008763F5"/>
    <w:rsid w:val="00876442"/>
    <w:rsid w:val="00876FA4"/>
    <w:rsid w:val="00880168"/>
    <w:rsid w:val="00881042"/>
    <w:rsid w:val="008810C5"/>
    <w:rsid w:val="008825E4"/>
    <w:rsid w:val="00882D3C"/>
    <w:rsid w:val="00884155"/>
    <w:rsid w:val="008847C9"/>
    <w:rsid w:val="008847ED"/>
    <w:rsid w:val="008860ED"/>
    <w:rsid w:val="0088770E"/>
    <w:rsid w:val="00887D24"/>
    <w:rsid w:val="008902DE"/>
    <w:rsid w:val="0089061C"/>
    <w:rsid w:val="00891C4E"/>
    <w:rsid w:val="00891D24"/>
    <w:rsid w:val="00892CAC"/>
    <w:rsid w:val="00892D3B"/>
    <w:rsid w:val="00895154"/>
    <w:rsid w:val="00895E2A"/>
    <w:rsid w:val="008975D4"/>
    <w:rsid w:val="00897EDC"/>
    <w:rsid w:val="008A17EB"/>
    <w:rsid w:val="008A2824"/>
    <w:rsid w:val="008A2C2E"/>
    <w:rsid w:val="008A2F12"/>
    <w:rsid w:val="008A3853"/>
    <w:rsid w:val="008A38AE"/>
    <w:rsid w:val="008A3C48"/>
    <w:rsid w:val="008A3C81"/>
    <w:rsid w:val="008A44D8"/>
    <w:rsid w:val="008A4878"/>
    <w:rsid w:val="008A5134"/>
    <w:rsid w:val="008A51AD"/>
    <w:rsid w:val="008B1393"/>
    <w:rsid w:val="008B2539"/>
    <w:rsid w:val="008B3D74"/>
    <w:rsid w:val="008B3F7D"/>
    <w:rsid w:val="008B42D6"/>
    <w:rsid w:val="008B4953"/>
    <w:rsid w:val="008B4B0B"/>
    <w:rsid w:val="008B5349"/>
    <w:rsid w:val="008B547E"/>
    <w:rsid w:val="008B55D7"/>
    <w:rsid w:val="008B5841"/>
    <w:rsid w:val="008B5C02"/>
    <w:rsid w:val="008B5F34"/>
    <w:rsid w:val="008B6CCD"/>
    <w:rsid w:val="008B75EE"/>
    <w:rsid w:val="008B7BC0"/>
    <w:rsid w:val="008C2C25"/>
    <w:rsid w:val="008C2E6B"/>
    <w:rsid w:val="008C3137"/>
    <w:rsid w:val="008C4DF6"/>
    <w:rsid w:val="008C5774"/>
    <w:rsid w:val="008C579E"/>
    <w:rsid w:val="008C74F7"/>
    <w:rsid w:val="008C78ED"/>
    <w:rsid w:val="008D01C6"/>
    <w:rsid w:val="008D0FCF"/>
    <w:rsid w:val="008D2600"/>
    <w:rsid w:val="008D37F6"/>
    <w:rsid w:val="008D5B54"/>
    <w:rsid w:val="008D6266"/>
    <w:rsid w:val="008D7983"/>
    <w:rsid w:val="008E1893"/>
    <w:rsid w:val="008E1D51"/>
    <w:rsid w:val="008E31CB"/>
    <w:rsid w:val="008E34D4"/>
    <w:rsid w:val="008E3A68"/>
    <w:rsid w:val="008E51E0"/>
    <w:rsid w:val="008E54F0"/>
    <w:rsid w:val="008E5AD8"/>
    <w:rsid w:val="008F09A9"/>
    <w:rsid w:val="008F0B32"/>
    <w:rsid w:val="008F2DFC"/>
    <w:rsid w:val="008F2E36"/>
    <w:rsid w:val="008F3A34"/>
    <w:rsid w:val="008F3B20"/>
    <w:rsid w:val="008F3D78"/>
    <w:rsid w:val="008F3EF8"/>
    <w:rsid w:val="008F511A"/>
    <w:rsid w:val="008F79B5"/>
    <w:rsid w:val="008F7A1A"/>
    <w:rsid w:val="008F7AFB"/>
    <w:rsid w:val="009008E5"/>
    <w:rsid w:val="00900963"/>
    <w:rsid w:val="00900D5B"/>
    <w:rsid w:val="0090221B"/>
    <w:rsid w:val="0090295C"/>
    <w:rsid w:val="00902EE1"/>
    <w:rsid w:val="009047F7"/>
    <w:rsid w:val="0090492C"/>
    <w:rsid w:val="009106D7"/>
    <w:rsid w:val="009116F5"/>
    <w:rsid w:val="00911C80"/>
    <w:rsid w:val="00911D07"/>
    <w:rsid w:val="00911F6A"/>
    <w:rsid w:val="009121FF"/>
    <w:rsid w:val="009129DC"/>
    <w:rsid w:val="00912D7B"/>
    <w:rsid w:val="00912FCC"/>
    <w:rsid w:val="00913148"/>
    <w:rsid w:val="0091320F"/>
    <w:rsid w:val="009133C2"/>
    <w:rsid w:val="00913542"/>
    <w:rsid w:val="0091375F"/>
    <w:rsid w:val="009139D9"/>
    <w:rsid w:val="00914F64"/>
    <w:rsid w:val="009161E3"/>
    <w:rsid w:val="00916F82"/>
    <w:rsid w:val="00917A68"/>
    <w:rsid w:val="009208D8"/>
    <w:rsid w:val="00921908"/>
    <w:rsid w:val="00921C50"/>
    <w:rsid w:val="00921E6E"/>
    <w:rsid w:val="00922066"/>
    <w:rsid w:val="00922DBD"/>
    <w:rsid w:val="00922FD6"/>
    <w:rsid w:val="0092387F"/>
    <w:rsid w:val="0092423A"/>
    <w:rsid w:val="00924490"/>
    <w:rsid w:val="00925F3A"/>
    <w:rsid w:val="00926505"/>
    <w:rsid w:val="009265C0"/>
    <w:rsid w:val="0092693B"/>
    <w:rsid w:val="00926A67"/>
    <w:rsid w:val="00926F0E"/>
    <w:rsid w:val="009273E9"/>
    <w:rsid w:val="00927651"/>
    <w:rsid w:val="00927699"/>
    <w:rsid w:val="00927D31"/>
    <w:rsid w:val="0093012E"/>
    <w:rsid w:val="00930817"/>
    <w:rsid w:val="00930BA2"/>
    <w:rsid w:val="0093109F"/>
    <w:rsid w:val="00932058"/>
    <w:rsid w:val="00932102"/>
    <w:rsid w:val="0093327C"/>
    <w:rsid w:val="00933405"/>
    <w:rsid w:val="00933735"/>
    <w:rsid w:val="00933891"/>
    <w:rsid w:val="00933D60"/>
    <w:rsid w:val="0093440A"/>
    <w:rsid w:val="00935573"/>
    <w:rsid w:val="009356A2"/>
    <w:rsid w:val="00935AC1"/>
    <w:rsid w:val="00935BC6"/>
    <w:rsid w:val="00937BF8"/>
    <w:rsid w:val="00937FF7"/>
    <w:rsid w:val="00942AD0"/>
    <w:rsid w:val="00942D68"/>
    <w:rsid w:val="00943951"/>
    <w:rsid w:val="009443D8"/>
    <w:rsid w:val="009444AC"/>
    <w:rsid w:val="00944F44"/>
    <w:rsid w:val="009452F1"/>
    <w:rsid w:val="0094537B"/>
    <w:rsid w:val="00945537"/>
    <w:rsid w:val="009456EB"/>
    <w:rsid w:val="009469BE"/>
    <w:rsid w:val="0094797C"/>
    <w:rsid w:val="00947DC2"/>
    <w:rsid w:val="00951FDE"/>
    <w:rsid w:val="009543C3"/>
    <w:rsid w:val="00954BF8"/>
    <w:rsid w:val="00954FC6"/>
    <w:rsid w:val="00957609"/>
    <w:rsid w:val="00957FBC"/>
    <w:rsid w:val="00960420"/>
    <w:rsid w:val="00960714"/>
    <w:rsid w:val="0096255F"/>
    <w:rsid w:val="00962DE1"/>
    <w:rsid w:val="009637BE"/>
    <w:rsid w:val="00964645"/>
    <w:rsid w:val="00964788"/>
    <w:rsid w:val="009647C5"/>
    <w:rsid w:val="009660CE"/>
    <w:rsid w:val="00967253"/>
    <w:rsid w:val="009675F1"/>
    <w:rsid w:val="00967C6A"/>
    <w:rsid w:val="009704FB"/>
    <w:rsid w:val="00971A39"/>
    <w:rsid w:val="00971CE0"/>
    <w:rsid w:val="0097328C"/>
    <w:rsid w:val="0097527E"/>
    <w:rsid w:val="00976A2B"/>
    <w:rsid w:val="00976ABB"/>
    <w:rsid w:val="009809D3"/>
    <w:rsid w:val="00981942"/>
    <w:rsid w:val="00981ABD"/>
    <w:rsid w:val="00981EF7"/>
    <w:rsid w:val="00982384"/>
    <w:rsid w:val="009832ED"/>
    <w:rsid w:val="00984A75"/>
    <w:rsid w:val="00985FC1"/>
    <w:rsid w:val="009862D5"/>
    <w:rsid w:val="00986DFB"/>
    <w:rsid w:val="00987D02"/>
    <w:rsid w:val="00990586"/>
    <w:rsid w:val="009906C8"/>
    <w:rsid w:val="009908CD"/>
    <w:rsid w:val="009914B0"/>
    <w:rsid w:val="00991785"/>
    <w:rsid w:val="00992746"/>
    <w:rsid w:val="009931F1"/>
    <w:rsid w:val="00993E9F"/>
    <w:rsid w:val="00994B34"/>
    <w:rsid w:val="00994EF3"/>
    <w:rsid w:val="0099574F"/>
    <w:rsid w:val="009972E2"/>
    <w:rsid w:val="0099751F"/>
    <w:rsid w:val="00997577"/>
    <w:rsid w:val="00997EBB"/>
    <w:rsid w:val="009A03A4"/>
    <w:rsid w:val="009A0990"/>
    <w:rsid w:val="009A12A0"/>
    <w:rsid w:val="009A16F4"/>
    <w:rsid w:val="009A1852"/>
    <w:rsid w:val="009A200B"/>
    <w:rsid w:val="009A30F1"/>
    <w:rsid w:val="009A3F61"/>
    <w:rsid w:val="009A583A"/>
    <w:rsid w:val="009A7A67"/>
    <w:rsid w:val="009B1E5F"/>
    <w:rsid w:val="009B1EE0"/>
    <w:rsid w:val="009B5BC7"/>
    <w:rsid w:val="009B675D"/>
    <w:rsid w:val="009B6BC1"/>
    <w:rsid w:val="009B7F79"/>
    <w:rsid w:val="009C0855"/>
    <w:rsid w:val="009C0FE4"/>
    <w:rsid w:val="009C1C52"/>
    <w:rsid w:val="009C1C56"/>
    <w:rsid w:val="009C1F0A"/>
    <w:rsid w:val="009C2EA4"/>
    <w:rsid w:val="009C32EB"/>
    <w:rsid w:val="009C349D"/>
    <w:rsid w:val="009C7049"/>
    <w:rsid w:val="009C7CDB"/>
    <w:rsid w:val="009D1067"/>
    <w:rsid w:val="009D173D"/>
    <w:rsid w:val="009D1A9A"/>
    <w:rsid w:val="009D309D"/>
    <w:rsid w:val="009D4377"/>
    <w:rsid w:val="009D507A"/>
    <w:rsid w:val="009D59D0"/>
    <w:rsid w:val="009D7913"/>
    <w:rsid w:val="009D7B56"/>
    <w:rsid w:val="009E10BD"/>
    <w:rsid w:val="009E197C"/>
    <w:rsid w:val="009E1987"/>
    <w:rsid w:val="009E1A09"/>
    <w:rsid w:val="009E1B84"/>
    <w:rsid w:val="009E2089"/>
    <w:rsid w:val="009E258E"/>
    <w:rsid w:val="009E318C"/>
    <w:rsid w:val="009E3572"/>
    <w:rsid w:val="009E421E"/>
    <w:rsid w:val="009E4D2D"/>
    <w:rsid w:val="009E5847"/>
    <w:rsid w:val="009E63A4"/>
    <w:rsid w:val="009E73C2"/>
    <w:rsid w:val="009E745D"/>
    <w:rsid w:val="009E7589"/>
    <w:rsid w:val="009E78BD"/>
    <w:rsid w:val="009F049C"/>
    <w:rsid w:val="009F0C97"/>
    <w:rsid w:val="009F1A1F"/>
    <w:rsid w:val="009F2FC3"/>
    <w:rsid w:val="009F3981"/>
    <w:rsid w:val="009F4D87"/>
    <w:rsid w:val="009F4E49"/>
    <w:rsid w:val="009F70E9"/>
    <w:rsid w:val="00A00B4A"/>
    <w:rsid w:val="00A03097"/>
    <w:rsid w:val="00A03187"/>
    <w:rsid w:val="00A04ABD"/>
    <w:rsid w:val="00A04E36"/>
    <w:rsid w:val="00A05001"/>
    <w:rsid w:val="00A05926"/>
    <w:rsid w:val="00A06979"/>
    <w:rsid w:val="00A0777B"/>
    <w:rsid w:val="00A07D72"/>
    <w:rsid w:val="00A10251"/>
    <w:rsid w:val="00A117C1"/>
    <w:rsid w:val="00A12602"/>
    <w:rsid w:val="00A13230"/>
    <w:rsid w:val="00A141A8"/>
    <w:rsid w:val="00A152FD"/>
    <w:rsid w:val="00A16360"/>
    <w:rsid w:val="00A16C9A"/>
    <w:rsid w:val="00A16D4C"/>
    <w:rsid w:val="00A20154"/>
    <w:rsid w:val="00A201B1"/>
    <w:rsid w:val="00A2174A"/>
    <w:rsid w:val="00A21884"/>
    <w:rsid w:val="00A21A1D"/>
    <w:rsid w:val="00A2236A"/>
    <w:rsid w:val="00A226FC"/>
    <w:rsid w:val="00A22B6C"/>
    <w:rsid w:val="00A22F25"/>
    <w:rsid w:val="00A23C06"/>
    <w:rsid w:val="00A25D84"/>
    <w:rsid w:val="00A261C2"/>
    <w:rsid w:val="00A262F8"/>
    <w:rsid w:val="00A2711F"/>
    <w:rsid w:val="00A315A5"/>
    <w:rsid w:val="00A31751"/>
    <w:rsid w:val="00A31D12"/>
    <w:rsid w:val="00A3335F"/>
    <w:rsid w:val="00A35DF5"/>
    <w:rsid w:val="00A372FA"/>
    <w:rsid w:val="00A40474"/>
    <w:rsid w:val="00A40674"/>
    <w:rsid w:val="00A41785"/>
    <w:rsid w:val="00A41BE6"/>
    <w:rsid w:val="00A42C55"/>
    <w:rsid w:val="00A42D73"/>
    <w:rsid w:val="00A4337D"/>
    <w:rsid w:val="00A4378B"/>
    <w:rsid w:val="00A43AFD"/>
    <w:rsid w:val="00A43CEA"/>
    <w:rsid w:val="00A43E58"/>
    <w:rsid w:val="00A44923"/>
    <w:rsid w:val="00A453BA"/>
    <w:rsid w:val="00A46C04"/>
    <w:rsid w:val="00A471C9"/>
    <w:rsid w:val="00A4786E"/>
    <w:rsid w:val="00A50814"/>
    <w:rsid w:val="00A50878"/>
    <w:rsid w:val="00A50E6E"/>
    <w:rsid w:val="00A51787"/>
    <w:rsid w:val="00A51BFA"/>
    <w:rsid w:val="00A5287E"/>
    <w:rsid w:val="00A52897"/>
    <w:rsid w:val="00A52F37"/>
    <w:rsid w:val="00A564E8"/>
    <w:rsid w:val="00A56ED0"/>
    <w:rsid w:val="00A579D3"/>
    <w:rsid w:val="00A57E69"/>
    <w:rsid w:val="00A60FF1"/>
    <w:rsid w:val="00A615FC"/>
    <w:rsid w:val="00A622C7"/>
    <w:rsid w:val="00A632F8"/>
    <w:rsid w:val="00A6583B"/>
    <w:rsid w:val="00A66894"/>
    <w:rsid w:val="00A66EE3"/>
    <w:rsid w:val="00A673A1"/>
    <w:rsid w:val="00A706D2"/>
    <w:rsid w:val="00A72A8E"/>
    <w:rsid w:val="00A72CE9"/>
    <w:rsid w:val="00A73D5A"/>
    <w:rsid w:val="00A74A50"/>
    <w:rsid w:val="00A74F9B"/>
    <w:rsid w:val="00A7500A"/>
    <w:rsid w:val="00A75701"/>
    <w:rsid w:val="00A760D3"/>
    <w:rsid w:val="00A76433"/>
    <w:rsid w:val="00A774A4"/>
    <w:rsid w:val="00A77EF8"/>
    <w:rsid w:val="00A77FCF"/>
    <w:rsid w:val="00A8097F"/>
    <w:rsid w:val="00A809BC"/>
    <w:rsid w:val="00A80EE0"/>
    <w:rsid w:val="00A81AA5"/>
    <w:rsid w:val="00A825CC"/>
    <w:rsid w:val="00A825FD"/>
    <w:rsid w:val="00A82C73"/>
    <w:rsid w:val="00A83C22"/>
    <w:rsid w:val="00A847CD"/>
    <w:rsid w:val="00A84E88"/>
    <w:rsid w:val="00A85694"/>
    <w:rsid w:val="00A85B74"/>
    <w:rsid w:val="00A8650D"/>
    <w:rsid w:val="00A867BF"/>
    <w:rsid w:val="00A86CB1"/>
    <w:rsid w:val="00A86EBB"/>
    <w:rsid w:val="00A90157"/>
    <w:rsid w:val="00A9038F"/>
    <w:rsid w:val="00A905FB"/>
    <w:rsid w:val="00A90B9B"/>
    <w:rsid w:val="00A91E2F"/>
    <w:rsid w:val="00A931AA"/>
    <w:rsid w:val="00A93BF0"/>
    <w:rsid w:val="00A94306"/>
    <w:rsid w:val="00A94C94"/>
    <w:rsid w:val="00A96295"/>
    <w:rsid w:val="00A968AB"/>
    <w:rsid w:val="00A976D6"/>
    <w:rsid w:val="00A97DD5"/>
    <w:rsid w:val="00AA1B05"/>
    <w:rsid w:val="00AA219F"/>
    <w:rsid w:val="00AA2416"/>
    <w:rsid w:val="00AA28C2"/>
    <w:rsid w:val="00AA3F02"/>
    <w:rsid w:val="00AA460E"/>
    <w:rsid w:val="00AA463E"/>
    <w:rsid w:val="00AA52BA"/>
    <w:rsid w:val="00AA64B1"/>
    <w:rsid w:val="00AA67B9"/>
    <w:rsid w:val="00AA69EF"/>
    <w:rsid w:val="00AA7E89"/>
    <w:rsid w:val="00AB1F35"/>
    <w:rsid w:val="00AB2DA2"/>
    <w:rsid w:val="00AB3915"/>
    <w:rsid w:val="00AB4A38"/>
    <w:rsid w:val="00AB5786"/>
    <w:rsid w:val="00AB5D58"/>
    <w:rsid w:val="00AB7F32"/>
    <w:rsid w:val="00AC0309"/>
    <w:rsid w:val="00AC0716"/>
    <w:rsid w:val="00AC3E28"/>
    <w:rsid w:val="00AC4E9D"/>
    <w:rsid w:val="00AC5365"/>
    <w:rsid w:val="00AC5BEF"/>
    <w:rsid w:val="00AC68BE"/>
    <w:rsid w:val="00AC6A15"/>
    <w:rsid w:val="00AC6DBD"/>
    <w:rsid w:val="00AD0028"/>
    <w:rsid w:val="00AD1D36"/>
    <w:rsid w:val="00AD62C2"/>
    <w:rsid w:val="00AD6FCF"/>
    <w:rsid w:val="00AE32F4"/>
    <w:rsid w:val="00AE3389"/>
    <w:rsid w:val="00AE4FA9"/>
    <w:rsid w:val="00AE5E8E"/>
    <w:rsid w:val="00AE5F4A"/>
    <w:rsid w:val="00AE61E5"/>
    <w:rsid w:val="00AE696A"/>
    <w:rsid w:val="00AE7C82"/>
    <w:rsid w:val="00AF0634"/>
    <w:rsid w:val="00AF30A5"/>
    <w:rsid w:val="00AF3186"/>
    <w:rsid w:val="00AF3A82"/>
    <w:rsid w:val="00AF43A6"/>
    <w:rsid w:val="00AF4BD7"/>
    <w:rsid w:val="00AF5B6E"/>
    <w:rsid w:val="00AF6188"/>
    <w:rsid w:val="00AF63D8"/>
    <w:rsid w:val="00AF6813"/>
    <w:rsid w:val="00AF7A9C"/>
    <w:rsid w:val="00B00582"/>
    <w:rsid w:val="00B013CA"/>
    <w:rsid w:val="00B0229C"/>
    <w:rsid w:val="00B02551"/>
    <w:rsid w:val="00B032D3"/>
    <w:rsid w:val="00B03309"/>
    <w:rsid w:val="00B0532B"/>
    <w:rsid w:val="00B057CB"/>
    <w:rsid w:val="00B06419"/>
    <w:rsid w:val="00B06A27"/>
    <w:rsid w:val="00B10136"/>
    <w:rsid w:val="00B11769"/>
    <w:rsid w:val="00B12015"/>
    <w:rsid w:val="00B12A72"/>
    <w:rsid w:val="00B13197"/>
    <w:rsid w:val="00B155FD"/>
    <w:rsid w:val="00B164F0"/>
    <w:rsid w:val="00B16EF9"/>
    <w:rsid w:val="00B17972"/>
    <w:rsid w:val="00B23506"/>
    <w:rsid w:val="00B23FC4"/>
    <w:rsid w:val="00B24593"/>
    <w:rsid w:val="00B25D79"/>
    <w:rsid w:val="00B275CC"/>
    <w:rsid w:val="00B3156C"/>
    <w:rsid w:val="00B31A9F"/>
    <w:rsid w:val="00B320DC"/>
    <w:rsid w:val="00B32474"/>
    <w:rsid w:val="00B3300F"/>
    <w:rsid w:val="00B330E0"/>
    <w:rsid w:val="00B33327"/>
    <w:rsid w:val="00B335DF"/>
    <w:rsid w:val="00B343CD"/>
    <w:rsid w:val="00B344B0"/>
    <w:rsid w:val="00B35A8E"/>
    <w:rsid w:val="00B36F20"/>
    <w:rsid w:val="00B378FE"/>
    <w:rsid w:val="00B400E2"/>
    <w:rsid w:val="00B4014F"/>
    <w:rsid w:val="00B414DE"/>
    <w:rsid w:val="00B41508"/>
    <w:rsid w:val="00B41A9B"/>
    <w:rsid w:val="00B41E33"/>
    <w:rsid w:val="00B4352A"/>
    <w:rsid w:val="00B43B13"/>
    <w:rsid w:val="00B44126"/>
    <w:rsid w:val="00B45180"/>
    <w:rsid w:val="00B45635"/>
    <w:rsid w:val="00B46A47"/>
    <w:rsid w:val="00B46B3F"/>
    <w:rsid w:val="00B476CB"/>
    <w:rsid w:val="00B47B3F"/>
    <w:rsid w:val="00B52044"/>
    <w:rsid w:val="00B52A9E"/>
    <w:rsid w:val="00B5328B"/>
    <w:rsid w:val="00B533B3"/>
    <w:rsid w:val="00B53898"/>
    <w:rsid w:val="00B539A1"/>
    <w:rsid w:val="00B53C15"/>
    <w:rsid w:val="00B55F2D"/>
    <w:rsid w:val="00B55FC1"/>
    <w:rsid w:val="00B57BC3"/>
    <w:rsid w:val="00B60224"/>
    <w:rsid w:val="00B60B93"/>
    <w:rsid w:val="00B615CC"/>
    <w:rsid w:val="00B62170"/>
    <w:rsid w:val="00B62809"/>
    <w:rsid w:val="00B6291B"/>
    <w:rsid w:val="00B63CBC"/>
    <w:rsid w:val="00B658A1"/>
    <w:rsid w:val="00B67555"/>
    <w:rsid w:val="00B67BD8"/>
    <w:rsid w:val="00B67CA3"/>
    <w:rsid w:val="00B7023F"/>
    <w:rsid w:val="00B70384"/>
    <w:rsid w:val="00B7116D"/>
    <w:rsid w:val="00B71C4A"/>
    <w:rsid w:val="00B71F82"/>
    <w:rsid w:val="00B741D4"/>
    <w:rsid w:val="00B7424B"/>
    <w:rsid w:val="00B7433C"/>
    <w:rsid w:val="00B75765"/>
    <w:rsid w:val="00B75C7D"/>
    <w:rsid w:val="00B7630C"/>
    <w:rsid w:val="00B77AA0"/>
    <w:rsid w:val="00B804A4"/>
    <w:rsid w:val="00B80A15"/>
    <w:rsid w:val="00B81F70"/>
    <w:rsid w:val="00B82081"/>
    <w:rsid w:val="00B82AFC"/>
    <w:rsid w:val="00B83423"/>
    <w:rsid w:val="00B8561F"/>
    <w:rsid w:val="00B8694C"/>
    <w:rsid w:val="00B86D16"/>
    <w:rsid w:val="00B87262"/>
    <w:rsid w:val="00B873AB"/>
    <w:rsid w:val="00B90431"/>
    <w:rsid w:val="00B9336C"/>
    <w:rsid w:val="00B938AE"/>
    <w:rsid w:val="00B9451F"/>
    <w:rsid w:val="00B9694A"/>
    <w:rsid w:val="00B96CD8"/>
    <w:rsid w:val="00B9749E"/>
    <w:rsid w:val="00BA0C5D"/>
    <w:rsid w:val="00BA1082"/>
    <w:rsid w:val="00BA10DF"/>
    <w:rsid w:val="00BA1A97"/>
    <w:rsid w:val="00BA2F39"/>
    <w:rsid w:val="00BA5262"/>
    <w:rsid w:val="00BA7375"/>
    <w:rsid w:val="00BA7A77"/>
    <w:rsid w:val="00BB006E"/>
    <w:rsid w:val="00BB0145"/>
    <w:rsid w:val="00BB023B"/>
    <w:rsid w:val="00BB139A"/>
    <w:rsid w:val="00BB16BF"/>
    <w:rsid w:val="00BB32F0"/>
    <w:rsid w:val="00BB36E1"/>
    <w:rsid w:val="00BB473F"/>
    <w:rsid w:val="00BB6D62"/>
    <w:rsid w:val="00BB7AFF"/>
    <w:rsid w:val="00BC05A6"/>
    <w:rsid w:val="00BC0E0F"/>
    <w:rsid w:val="00BC10C2"/>
    <w:rsid w:val="00BC168F"/>
    <w:rsid w:val="00BC1899"/>
    <w:rsid w:val="00BC1CFB"/>
    <w:rsid w:val="00BC29DB"/>
    <w:rsid w:val="00BC4875"/>
    <w:rsid w:val="00BC58B6"/>
    <w:rsid w:val="00BC5A06"/>
    <w:rsid w:val="00BC6107"/>
    <w:rsid w:val="00BC6D18"/>
    <w:rsid w:val="00BC7000"/>
    <w:rsid w:val="00BD10A6"/>
    <w:rsid w:val="00BD15E4"/>
    <w:rsid w:val="00BD1915"/>
    <w:rsid w:val="00BD334C"/>
    <w:rsid w:val="00BD3540"/>
    <w:rsid w:val="00BD38A4"/>
    <w:rsid w:val="00BD3AAB"/>
    <w:rsid w:val="00BD3E31"/>
    <w:rsid w:val="00BD5372"/>
    <w:rsid w:val="00BD78DB"/>
    <w:rsid w:val="00BE0070"/>
    <w:rsid w:val="00BE0FD0"/>
    <w:rsid w:val="00BE36BD"/>
    <w:rsid w:val="00BE50AA"/>
    <w:rsid w:val="00BE688E"/>
    <w:rsid w:val="00BE72F8"/>
    <w:rsid w:val="00BE7316"/>
    <w:rsid w:val="00BE7C55"/>
    <w:rsid w:val="00BE7DEE"/>
    <w:rsid w:val="00BF00E3"/>
    <w:rsid w:val="00BF046F"/>
    <w:rsid w:val="00BF0C5F"/>
    <w:rsid w:val="00BF0D54"/>
    <w:rsid w:val="00BF0F9B"/>
    <w:rsid w:val="00BF109F"/>
    <w:rsid w:val="00BF3DEC"/>
    <w:rsid w:val="00BF4669"/>
    <w:rsid w:val="00BF4F5B"/>
    <w:rsid w:val="00BF510E"/>
    <w:rsid w:val="00BF5A4E"/>
    <w:rsid w:val="00BF7313"/>
    <w:rsid w:val="00C0103F"/>
    <w:rsid w:val="00C016AC"/>
    <w:rsid w:val="00C01E04"/>
    <w:rsid w:val="00C02387"/>
    <w:rsid w:val="00C0249B"/>
    <w:rsid w:val="00C024DA"/>
    <w:rsid w:val="00C02641"/>
    <w:rsid w:val="00C02830"/>
    <w:rsid w:val="00C03DFF"/>
    <w:rsid w:val="00C053A3"/>
    <w:rsid w:val="00C06043"/>
    <w:rsid w:val="00C060A6"/>
    <w:rsid w:val="00C0659E"/>
    <w:rsid w:val="00C0764B"/>
    <w:rsid w:val="00C1060C"/>
    <w:rsid w:val="00C10827"/>
    <w:rsid w:val="00C10C34"/>
    <w:rsid w:val="00C11964"/>
    <w:rsid w:val="00C119AE"/>
    <w:rsid w:val="00C12EEA"/>
    <w:rsid w:val="00C13359"/>
    <w:rsid w:val="00C14277"/>
    <w:rsid w:val="00C14FD7"/>
    <w:rsid w:val="00C166E6"/>
    <w:rsid w:val="00C178CF"/>
    <w:rsid w:val="00C2093B"/>
    <w:rsid w:val="00C20B18"/>
    <w:rsid w:val="00C20CB9"/>
    <w:rsid w:val="00C2280B"/>
    <w:rsid w:val="00C236F4"/>
    <w:rsid w:val="00C242C4"/>
    <w:rsid w:val="00C27AC6"/>
    <w:rsid w:val="00C30E75"/>
    <w:rsid w:val="00C31A20"/>
    <w:rsid w:val="00C32246"/>
    <w:rsid w:val="00C3321C"/>
    <w:rsid w:val="00C34472"/>
    <w:rsid w:val="00C3466E"/>
    <w:rsid w:val="00C34C2D"/>
    <w:rsid w:val="00C356E8"/>
    <w:rsid w:val="00C361DE"/>
    <w:rsid w:val="00C36829"/>
    <w:rsid w:val="00C409C3"/>
    <w:rsid w:val="00C41286"/>
    <w:rsid w:val="00C421B4"/>
    <w:rsid w:val="00C4358E"/>
    <w:rsid w:val="00C44025"/>
    <w:rsid w:val="00C471ED"/>
    <w:rsid w:val="00C47892"/>
    <w:rsid w:val="00C479AA"/>
    <w:rsid w:val="00C502F6"/>
    <w:rsid w:val="00C50525"/>
    <w:rsid w:val="00C5056D"/>
    <w:rsid w:val="00C50F95"/>
    <w:rsid w:val="00C52027"/>
    <w:rsid w:val="00C526FD"/>
    <w:rsid w:val="00C53213"/>
    <w:rsid w:val="00C5380C"/>
    <w:rsid w:val="00C555C9"/>
    <w:rsid w:val="00C55DC7"/>
    <w:rsid w:val="00C56F68"/>
    <w:rsid w:val="00C577A8"/>
    <w:rsid w:val="00C57B17"/>
    <w:rsid w:val="00C57F0B"/>
    <w:rsid w:val="00C607C9"/>
    <w:rsid w:val="00C6088E"/>
    <w:rsid w:val="00C6181A"/>
    <w:rsid w:val="00C62072"/>
    <w:rsid w:val="00C6236A"/>
    <w:rsid w:val="00C625FD"/>
    <w:rsid w:val="00C637AF"/>
    <w:rsid w:val="00C64677"/>
    <w:rsid w:val="00C6472A"/>
    <w:rsid w:val="00C64B15"/>
    <w:rsid w:val="00C652EE"/>
    <w:rsid w:val="00C6542D"/>
    <w:rsid w:val="00C65823"/>
    <w:rsid w:val="00C66011"/>
    <w:rsid w:val="00C66B36"/>
    <w:rsid w:val="00C67F24"/>
    <w:rsid w:val="00C70E2A"/>
    <w:rsid w:val="00C7115B"/>
    <w:rsid w:val="00C71FEF"/>
    <w:rsid w:val="00C72554"/>
    <w:rsid w:val="00C72782"/>
    <w:rsid w:val="00C72B56"/>
    <w:rsid w:val="00C730A2"/>
    <w:rsid w:val="00C73591"/>
    <w:rsid w:val="00C736BA"/>
    <w:rsid w:val="00C73FA2"/>
    <w:rsid w:val="00C74172"/>
    <w:rsid w:val="00C750EB"/>
    <w:rsid w:val="00C75154"/>
    <w:rsid w:val="00C754B2"/>
    <w:rsid w:val="00C76D9F"/>
    <w:rsid w:val="00C76E1D"/>
    <w:rsid w:val="00C80AF1"/>
    <w:rsid w:val="00C817AB"/>
    <w:rsid w:val="00C819D2"/>
    <w:rsid w:val="00C82565"/>
    <w:rsid w:val="00C82A60"/>
    <w:rsid w:val="00C83898"/>
    <w:rsid w:val="00C867BC"/>
    <w:rsid w:val="00C86C85"/>
    <w:rsid w:val="00C87587"/>
    <w:rsid w:val="00C87746"/>
    <w:rsid w:val="00C90A25"/>
    <w:rsid w:val="00C924ED"/>
    <w:rsid w:val="00C93861"/>
    <w:rsid w:val="00C94678"/>
    <w:rsid w:val="00C94E7B"/>
    <w:rsid w:val="00C954D7"/>
    <w:rsid w:val="00C96043"/>
    <w:rsid w:val="00C96E17"/>
    <w:rsid w:val="00C97A17"/>
    <w:rsid w:val="00C97B0D"/>
    <w:rsid w:val="00CA1FE7"/>
    <w:rsid w:val="00CA2483"/>
    <w:rsid w:val="00CA2B98"/>
    <w:rsid w:val="00CA3005"/>
    <w:rsid w:val="00CA3763"/>
    <w:rsid w:val="00CA3D18"/>
    <w:rsid w:val="00CA4D1D"/>
    <w:rsid w:val="00CA4EA1"/>
    <w:rsid w:val="00CA61AF"/>
    <w:rsid w:val="00CA6F12"/>
    <w:rsid w:val="00CA75DC"/>
    <w:rsid w:val="00CA7800"/>
    <w:rsid w:val="00CA7D25"/>
    <w:rsid w:val="00CB1D66"/>
    <w:rsid w:val="00CB297C"/>
    <w:rsid w:val="00CB3D61"/>
    <w:rsid w:val="00CB5D46"/>
    <w:rsid w:val="00CB5E98"/>
    <w:rsid w:val="00CB6211"/>
    <w:rsid w:val="00CB6330"/>
    <w:rsid w:val="00CB65F2"/>
    <w:rsid w:val="00CB7BD7"/>
    <w:rsid w:val="00CC01E0"/>
    <w:rsid w:val="00CC1532"/>
    <w:rsid w:val="00CC1C4C"/>
    <w:rsid w:val="00CC27DD"/>
    <w:rsid w:val="00CC28BF"/>
    <w:rsid w:val="00CC39D2"/>
    <w:rsid w:val="00CC3F3C"/>
    <w:rsid w:val="00CC5F30"/>
    <w:rsid w:val="00CC6151"/>
    <w:rsid w:val="00CC656A"/>
    <w:rsid w:val="00CC6A6A"/>
    <w:rsid w:val="00CC7F72"/>
    <w:rsid w:val="00CD1F14"/>
    <w:rsid w:val="00CD282F"/>
    <w:rsid w:val="00CD2DD8"/>
    <w:rsid w:val="00CD3401"/>
    <w:rsid w:val="00CD4346"/>
    <w:rsid w:val="00CD5537"/>
    <w:rsid w:val="00CD6C60"/>
    <w:rsid w:val="00CD70EB"/>
    <w:rsid w:val="00CD719F"/>
    <w:rsid w:val="00CD7B9B"/>
    <w:rsid w:val="00CE19AC"/>
    <w:rsid w:val="00CE2DE2"/>
    <w:rsid w:val="00CE33B5"/>
    <w:rsid w:val="00CE363A"/>
    <w:rsid w:val="00CE4344"/>
    <w:rsid w:val="00CE4B2B"/>
    <w:rsid w:val="00CE5938"/>
    <w:rsid w:val="00CE641A"/>
    <w:rsid w:val="00CE7F33"/>
    <w:rsid w:val="00CF023C"/>
    <w:rsid w:val="00CF0DA5"/>
    <w:rsid w:val="00CF0E2F"/>
    <w:rsid w:val="00CF270B"/>
    <w:rsid w:val="00CF3691"/>
    <w:rsid w:val="00CF41CB"/>
    <w:rsid w:val="00CF45B0"/>
    <w:rsid w:val="00CF4715"/>
    <w:rsid w:val="00CF4CA5"/>
    <w:rsid w:val="00CF549A"/>
    <w:rsid w:val="00CF7B27"/>
    <w:rsid w:val="00D00307"/>
    <w:rsid w:val="00D00C88"/>
    <w:rsid w:val="00D00F2A"/>
    <w:rsid w:val="00D02255"/>
    <w:rsid w:val="00D027E8"/>
    <w:rsid w:val="00D03EF5"/>
    <w:rsid w:val="00D056CA"/>
    <w:rsid w:val="00D05CFD"/>
    <w:rsid w:val="00D05FC8"/>
    <w:rsid w:val="00D06875"/>
    <w:rsid w:val="00D077B3"/>
    <w:rsid w:val="00D10914"/>
    <w:rsid w:val="00D10D96"/>
    <w:rsid w:val="00D10E24"/>
    <w:rsid w:val="00D110CB"/>
    <w:rsid w:val="00D115D8"/>
    <w:rsid w:val="00D122BE"/>
    <w:rsid w:val="00D13343"/>
    <w:rsid w:val="00D1530C"/>
    <w:rsid w:val="00D1591A"/>
    <w:rsid w:val="00D1601E"/>
    <w:rsid w:val="00D1613E"/>
    <w:rsid w:val="00D16A62"/>
    <w:rsid w:val="00D17A14"/>
    <w:rsid w:val="00D20872"/>
    <w:rsid w:val="00D20C24"/>
    <w:rsid w:val="00D210AA"/>
    <w:rsid w:val="00D220E1"/>
    <w:rsid w:val="00D2287B"/>
    <w:rsid w:val="00D22CEB"/>
    <w:rsid w:val="00D24EDD"/>
    <w:rsid w:val="00D2501C"/>
    <w:rsid w:val="00D253BF"/>
    <w:rsid w:val="00D25431"/>
    <w:rsid w:val="00D275F2"/>
    <w:rsid w:val="00D30BA7"/>
    <w:rsid w:val="00D311A8"/>
    <w:rsid w:val="00D3146C"/>
    <w:rsid w:val="00D3173F"/>
    <w:rsid w:val="00D31A05"/>
    <w:rsid w:val="00D324D5"/>
    <w:rsid w:val="00D33BDB"/>
    <w:rsid w:val="00D344CE"/>
    <w:rsid w:val="00D34E70"/>
    <w:rsid w:val="00D35A55"/>
    <w:rsid w:val="00D35D77"/>
    <w:rsid w:val="00D363E8"/>
    <w:rsid w:val="00D366BC"/>
    <w:rsid w:val="00D369CB"/>
    <w:rsid w:val="00D3710F"/>
    <w:rsid w:val="00D41486"/>
    <w:rsid w:val="00D4173D"/>
    <w:rsid w:val="00D42CA7"/>
    <w:rsid w:val="00D42FCD"/>
    <w:rsid w:val="00D43B70"/>
    <w:rsid w:val="00D44010"/>
    <w:rsid w:val="00D443B9"/>
    <w:rsid w:val="00D459C8"/>
    <w:rsid w:val="00D460B5"/>
    <w:rsid w:val="00D463C0"/>
    <w:rsid w:val="00D50089"/>
    <w:rsid w:val="00D50F20"/>
    <w:rsid w:val="00D5119D"/>
    <w:rsid w:val="00D519A7"/>
    <w:rsid w:val="00D51B61"/>
    <w:rsid w:val="00D5243F"/>
    <w:rsid w:val="00D526C4"/>
    <w:rsid w:val="00D526E8"/>
    <w:rsid w:val="00D538E7"/>
    <w:rsid w:val="00D53DC4"/>
    <w:rsid w:val="00D5408C"/>
    <w:rsid w:val="00D54568"/>
    <w:rsid w:val="00D564B6"/>
    <w:rsid w:val="00D5727F"/>
    <w:rsid w:val="00D61210"/>
    <w:rsid w:val="00D6177C"/>
    <w:rsid w:val="00D620D5"/>
    <w:rsid w:val="00D62DE4"/>
    <w:rsid w:val="00D631CC"/>
    <w:rsid w:val="00D635CE"/>
    <w:rsid w:val="00D65F3F"/>
    <w:rsid w:val="00D66732"/>
    <w:rsid w:val="00D708F4"/>
    <w:rsid w:val="00D7092D"/>
    <w:rsid w:val="00D70F00"/>
    <w:rsid w:val="00D7272F"/>
    <w:rsid w:val="00D72B64"/>
    <w:rsid w:val="00D72F3C"/>
    <w:rsid w:val="00D73D5C"/>
    <w:rsid w:val="00D74579"/>
    <w:rsid w:val="00D750D7"/>
    <w:rsid w:val="00D755AC"/>
    <w:rsid w:val="00D757E5"/>
    <w:rsid w:val="00D77699"/>
    <w:rsid w:val="00D80A33"/>
    <w:rsid w:val="00D80A98"/>
    <w:rsid w:val="00D84E01"/>
    <w:rsid w:val="00D851DE"/>
    <w:rsid w:val="00D853AA"/>
    <w:rsid w:val="00D86289"/>
    <w:rsid w:val="00D8769C"/>
    <w:rsid w:val="00D905CF"/>
    <w:rsid w:val="00D90EB1"/>
    <w:rsid w:val="00D90F5D"/>
    <w:rsid w:val="00D91DE7"/>
    <w:rsid w:val="00D923AB"/>
    <w:rsid w:val="00D93526"/>
    <w:rsid w:val="00D94885"/>
    <w:rsid w:val="00D97C55"/>
    <w:rsid w:val="00DA0FA7"/>
    <w:rsid w:val="00DA16B0"/>
    <w:rsid w:val="00DA2846"/>
    <w:rsid w:val="00DA3F89"/>
    <w:rsid w:val="00DA457A"/>
    <w:rsid w:val="00DA5F89"/>
    <w:rsid w:val="00DA6586"/>
    <w:rsid w:val="00DA6810"/>
    <w:rsid w:val="00DA6C89"/>
    <w:rsid w:val="00DA7E9E"/>
    <w:rsid w:val="00DB04F4"/>
    <w:rsid w:val="00DB0B76"/>
    <w:rsid w:val="00DB270A"/>
    <w:rsid w:val="00DB2CFB"/>
    <w:rsid w:val="00DB3140"/>
    <w:rsid w:val="00DB34D9"/>
    <w:rsid w:val="00DB370E"/>
    <w:rsid w:val="00DB385A"/>
    <w:rsid w:val="00DB4126"/>
    <w:rsid w:val="00DB5096"/>
    <w:rsid w:val="00DB5D6E"/>
    <w:rsid w:val="00DB5DF8"/>
    <w:rsid w:val="00DB743B"/>
    <w:rsid w:val="00DB78C8"/>
    <w:rsid w:val="00DB7B5B"/>
    <w:rsid w:val="00DC0575"/>
    <w:rsid w:val="00DC1F2A"/>
    <w:rsid w:val="00DC2AA7"/>
    <w:rsid w:val="00DC3087"/>
    <w:rsid w:val="00DC316A"/>
    <w:rsid w:val="00DC3562"/>
    <w:rsid w:val="00DC3A95"/>
    <w:rsid w:val="00DC46F4"/>
    <w:rsid w:val="00DC5BBB"/>
    <w:rsid w:val="00DC5DF9"/>
    <w:rsid w:val="00DC6125"/>
    <w:rsid w:val="00DC769E"/>
    <w:rsid w:val="00DC7855"/>
    <w:rsid w:val="00DC7B09"/>
    <w:rsid w:val="00DD18DD"/>
    <w:rsid w:val="00DD1AC3"/>
    <w:rsid w:val="00DD1D46"/>
    <w:rsid w:val="00DD269D"/>
    <w:rsid w:val="00DD2A30"/>
    <w:rsid w:val="00DD304C"/>
    <w:rsid w:val="00DD4483"/>
    <w:rsid w:val="00DD5B03"/>
    <w:rsid w:val="00DD7C82"/>
    <w:rsid w:val="00DE1518"/>
    <w:rsid w:val="00DE2027"/>
    <w:rsid w:val="00DE2088"/>
    <w:rsid w:val="00DE2B9E"/>
    <w:rsid w:val="00DE2F2F"/>
    <w:rsid w:val="00DE347E"/>
    <w:rsid w:val="00DE38AF"/>
    <w:rsid w:val="00DE51E3"/>
    <w:rsid w:val="00DE61C3"/>
    <w:rsid w:val="00DE6608"/>
    <w:rsid w:val="00DE6A97"/>
    <w:rsid w:val="00DF184E"/>
    <w:rsid w:val="00DF4A51"/>
    <w:rsid w:val="00DF4FDE"/>
    <w:rsid w:val="00DF55EF"/>
    <w:rsid w:val="00DF5653"/>
    <w:rsid w:val="00DF65AD"/>
    <w:rsid w:val="00DF6672"/>
    <w:rsid w:val="00DF6863"/>
    <w:rsid w:val="00DF7C2D"/>
    <w:rsid w:val="00E02A79"/>
    <w:rsid w:val="00E02F60"/>
    <w:rsid w:val="00E04772"/>
    <w:rsid w:val="00E057E4"/>
    <w:rsid w:val="00E05E1F"/>
    <w:rsid w:val="00E06086"/>
    <w:rsid w:val="00E070F1"/>
    <w:rsid w:val="00E0757A"/>
    <w:rsid w:val="00E07BA5"/>
    <w:rsid w:val="00E10A8C"/>
    <w:rsid w:val="00E10CA5"/>
    <w:rsid w:val="00E115E7"/>
    <w:rsid w:val="00E1281D"/>
    <w:rsid w:val="00E13EB0"/>
    <w:rsid w:val="00E13EED"/>
    <w:rsid w:val="00E14BD4"/>
    <w:rsid w:val="00E15ED8"/>
    <w:rsid w:val="00E15F8D"/>
    <w:rsid w:val="00E16337"/>
    <w:rsid w:val="00E16620"/>
    <w:rsid w:val="00E16FC7"/>
    <w:rsid w:val="00E1701D"/>
    <w:rsid w:val="00E1704C"/>
    <w:rsid w:val="00E173E5"/>
    <w:rsid w:val="00E179E9"/>
    <w:rsid w:val="00E17A81"/>
    <w:rsid w:val="00E20AF3"/>
    <w:rsid w:val="00E2106E"/>
    <w:rsid w:val="00E21449"/>
    <w:rsid w:val="00E21853"/>
    <w:rsid w:val="00E24232"/>
    <w:rsid w:val="00E24BDF"/>
    <w:rsid w:val="00E2562B"/>
    <w:rsid w:val="00E25E4A"/>
    <w:rsid w:val="00E264B9"/>
    <w:rsid w:val="00E2789D"/>
    <w:rsid w:val="00E27BA0"/>
    <w:rsid w:val="00E27D12"/>
    <w:rsid w:val="00E27FED"/>
    <w:rsid w:val="00E324DF"/>
    <w:rsid w:val="00E33ED9"/>
    <w:rsid w:val="00E33FC2"/>
    <w:rsid w:val="00E347D3"/>
    <w:rsid w:val="00E36468"/>
    <w:rsid w:val="00E40304"/>
    <w:rsid w:val="00E411C0"/>
    <w:rsid w:val="00E41BB9"/>
    <w:rsid w:val="00E425ED"/>
    <w:rsid w:val="00E42A87"/>
    <w:rsid w:val="00E42D5E"/>
    <w:rsid w:val="00E4348E"/>
    <w:rsid w:val="00E436E0"/>
    <w:rsid w:val="00E43899"/>
    <w:rsid w:val="00E45049"/>
    <w:rsid w:val="00E45140"/>
    <w:rsid w:val="00E46460"/>
    <w:rsid w:val="00E50E32"/>
    <w:rsid w:val="00E510C9"/>
    <w:rsid w:val="00E518A1"/>
    <w:rsid w:val="00E5192F"/>
    <w:rsid w:val="00E52118"/>
    <w:rsid w:val="00E52970"/>
    <w:rsid w:val="00E547B2"/>
    <w:rsid w:val="00E54D1E"/>
    <w:rsid w:val="00E55068"/>
    <w:rsid w:val="00E55706"/>
    <w:rsid w:val="00E55C4A"/>
    <w:rsid w:val="00E55D7B"/>
    <w:rsid w:val="00E56091"/>
    <w:rsid w:val="00E5773F"/>
    <w:rsid w:val="00E602D4"/>
    <w:rsid w:val="00E60912"/>
    <w:rsid w:val="00E615CA"/>
    <w:rsid w:val="00E618E2"/>
    <w:rsid w:val="00E620AE"/>
    <w:rsid w:val="00E6212D"/>
    <w:rsid w:val="00E64101"/>
    <w:rsid w:val="00E643BA"/>
    <w:rsid w:val="00E64783"/>
    <w:rsid w:val="00E64991"/>
    <w:rsid w:val="00E6554A"/>
    <w:rsid w:val="00E661E5"/>
    <w:rsid w:val="00E666BF"/>
    <w:rsid w:val="00E70BE7"/>
    <w:rsid w:val="00E712DA"/>
    <w:rsid w:val="00E723B7"/>
    <w:rsid w:val="00E736D0"/>
    <w:rsid w:val="00E73C42"/>
    <w:rsid w:val="00E74111"/>
    <w:rsid w:val="00E76A4D"/>
    <w:rsid w:val="00E7731E"/>
    <w:rsid w:val="00E81739"/>
    <w:rsid w:val="00E82BDD"/>
    <w:rsid w:val="00E8341B"/>
    <w:rsid w:val="00E84276"/>
    <w:rsid w:val="00E844CC"/>
    <w:rsid w:val="00E84FF0"/>
    <w:rsid w:val="00E852CE"/>
    <w:rsid w:val="00E855A5"/>
    <w:rsid w:val="00E86DF5"/>
    <w:rsid w:val="00E90285"/>
    <w:rsid w:val="00E904D0"/>
    <w:rsid w:val="00E90709"/>
    <w:rsid w:val="00E91400"/>
    <w:rsid w:val="00E9293F"/>
    <w:rsid w:val="00E93359"/>
    <w:rsid w:val="00E962B1"/>
    <w:rsid w:val="00E9715B"/>
    <w:rsid w:val="00E9736F"/>
    <w:rsid w:val="00E97986"/>
    <w:rsid w:val="00E97DB3"/>
    <w:rsid w:val="00E97E44"/>
    <w:rsid w:val="00E97ECA"/>
    <w:rsid w:val="00E97F03"/>
    <w:rsid w:val="00EA04C0"/>
    <w:rsid w:val="00EA0A08"/>
    <w:rsid w:val="00EA1C2B"/>
    <w:rsid w:val="00EA1FF1"/>
    <w:rsid w:val="00EA2475"/>
    <w:rsid w:val="00EA34F8"/>
    <w:rsid w:val="00EA3F0B"/>
    <w:rsid w:val="00EA4674"/>
    <w:rsid w:val="00EA632D"/>
    <w:rsid w:val="00EA662B"/>
    <w:rsid w:val="00EA6B89"/>
    <w:rsid w:val="00EA6BCD"/>
    <w:rsid w:val="00EA70B5"/>
    <w:rsid w:val="00EB181B"/>
    <w:rsid w:val="00EB1A20"/>
    <w:rsid w:val="00EB1FF2"/>
    <w:rsid w:val="00EB32BB"/>
    <w:rsid w:val="00EB362B"/>
    <w:rsid w:val="00EB45DC"/>
    <w:rsid w:val="00EB4B37"/>
    <w:rsid w:val="00EB5CAD"/>
    <w:rsid w:val="00EB7FE2"/>
    <w:rsid w:val="00EC16B7"/>
    <w:rsid w:val="00EC20C7"/>
    <w:rsid w:val="00EC34BF"/>
    <w:rsid w:val="00EC39ED"/>
    <w:rsid w:val="00EC55A9"/>
    <w:rsid w:val="00EC55B7"/>
    <w:rsid w:val="00EC647D"/>
    <w:rsid w:val="00EC6B20"/>
    <w:rsid w:val="00EC710E"/>
    <w:rsid w:val="00ED025F"/>
    <w:rsid w:val="00ED083B"/>
    <w:rsid w:val="00ED0EFC"/>
    <w:rsid w:val="00ED2D5C"/>
    <w:rsid w:val="00ED32D7"/>
    <w:rsid w:val="00ED503E"/>
    <w:rsid w:val="00ED5D66"/>
    <w:rsid w:val="00ED7D5E"/>
    <w:rsid w:val="00EE01DA"/>
    <w:rsid w:val="00EE049D"/>
    <w:rsid w:val="00EE07AA"/>
    <w:rsid w:val="00EE0C7A"/>
    <w:rsid w:val="00EE1190"/>
    <w:rsid w:val="00EE2334"/>
    <w:rsid w:val="00EE2569"/>
    <w:rsid w:val="00EE3815"/>
    <w:rsid w:val="00EE3A30"/>
    <w:rsid w:val="00EE40D3"/>
    <w:rsid w:val="00EE4519"/>
    <w:rsid w:val="00EE4866"/>
    <w:rsid w:val="00EE4B05"/>
    <w:rsid w:val="00EE5264"/>
    <w:rsid w:val="00EE5C4C"/>
    <w:rsid w:val="00EE5CD9"/>
    <w:rsid w:val="00EE5E12"/>
    <w:rsid w:val="00EE6A58"/>
    <w:rsid w:val="00EE6DDF"/>
    <w:rsid w:val="00EE72D9"/>
    <w:rsid w:val="00EE7AF2"/>
    <w:rsid w:val="00EF016B"/>
    <w:rsid w:val="00EF07BF"/>
    <w:rsid w:val="00EF0CE5"/>
    <w:rsid w:val="00EF1750"/>
    <w:rsid w:val="00EF19E4"/>
    <w:rsid w:val="00EF2042"/>
    <w:rsid w:val="00EF2873"/>
    <w:rsid w:val="00EF3B59"/>
    <w:rsid w:val="00EF423E"/>
    <w:rsid w:val="00EF42A9"/>
    <w:rsid w:val="00EF473F"/>
    <w:rsid w:val="00EF5391"/>
    <w:rsid w:val="00EF5AB0"/>
    <w:rsid w:val="00EF6CC8"/>
    <w:rsid w:val="00EF789C"/>
    <w:rsid w:val="00F007A0"/>
    <w:rsid w:val="00F03FD2"/>
    <w:rsid w:val="00F04DA2"/>
    <w:rsid w:val="00F05713"/>
    <w:rsid w:val="00F07927"/>
    <w:rsid w:val="00F07ECD"/>
    <w:rsid w:val="00F1043A"/>
    <w:rsid w:val="00F10CAD"/>
    <w:rsid w:val="00F10E14"/>
    <w:rsid w:val="00F1132A"/>
    <w:rsid w:val="00F1175C"/>
    <w:rsid w:val="00F11D3C"/>
    <w:rsid w:val="00F13DB2"/>
    <w:rsid w:val="00F14070"/>
    <w:rsid w:val="00F142B9"/>
    <w:rsid w:val="00F146E8"/>
    <w:rsid w:val="00F14A61"/>
    <w:rsid w:val="00F14EC4"/>
    <w:rsid w:val="00F15498"/>
    <w:rsid w:val="00F15B0E"/>
    <w:rsid w:val="00F15D8F"/>
    <w:rsid w:val="00F161AD"/>
    <w:rsid w:val="00F1629B"/>
    <w:rsid w:val="00F16EF0"/>
    <w:rsid w:val="00F17AE5"/>
    <w:rsid w:val="00F17B9C"/>
    <w:rsid w:val="00F20FAB"/>
    <w:rsid w:val="00F212C1"/>
    <w:rsid w:val="00F21657"/>
    <w:rsid w:val="00F21CE9"/>
    <w:rsid w:val="00F22FB5"/>
    <w:rsid w:val="00F2301C"/>
    <w:rsid w:val="00F238A4"/>
    <w:rsid w:val="00F2444A"/>
    <w:rsid w:val="00F2548F"/>
    <w:rsid w:val="00F26AC4"/>
    <w:rsid w:val="00F274AD"/>
    <w:rsid w:val="00F305B5"/>
    <w:rsid w:val="00F306DA"/>
    <w:rsid w:val="00F31A3A"/>
    <w:rsid w:val="00F32C5D"/>
    <w:rsid w:val="00F33FFB"/>
    <w:rsid w:val="00F3432A"/>
    <w:rsid w:val="00F34BB6"/>
    <w:rsid w:val="00F3555D"/>
    <w:rsid w:val="00F356F5"/>
    <w:rsid w:val="00F3630B"/>
    <w:rsid w:val="00F402D7"/>
    <w:rsid w:val="00F41768"/>
    <w:rsid w:val="00F41C41"/>
    <w:rsid w:val="00F4220D"/>
    <w:rsid w:val="00F42F29"/>
    <w:rsid w:val="00F4356A"/>
    <w:rsid w:val="00F443F8"/>
    <w:rsid w:val="00F450E7"/>
    <w:rsid w:val="00F463A1"/>
    <w:rsid w:val="00F471CB"/>
    <w:rsid w:val="00F4779C"/>
    <w:rsid w:val="00F47C7D"/>
    <w:rsid w:val="00F504AF"/>
    <w:rsid w:val="00F50C02"/>
    <w:rsid w:val="00F511D1"/>
    <w:rsid w:val="00F51302"/>
    <w:rsid w:val="00F516D9"/>
    <w:rsid w:val="00F51FCB"/>
    <w:rsid w:val="00F5211F"/>
    <w:rsid w:val="00F52680"/>
    <w:rsid w:val="00F52D6E"/>
    <w:rsid w:val="00F53A74"/>
    <w:rsid w:val="00F54327"/>
    <w:rsid w:val="00F55965"/>
    <w:rsid w:val="00F56EDE"/>
    <w:rsid w:val="00F57A16"/>
    <w:rsid w:val="00F57DF4"/>
    <w:rsid w:val="00F61549"/>
    <w:rsid w:val="00F619BD"/>
    <w:rsid w:val="00F62E4B"/>
    <w:rsid w:val="00F65B06"/>
    <w:rsid w:val="00F662EB"/>
    <w:rsid w:val="00F664EF"/>
    <w:rsid w:val="00F66A89"/>
    <w:rsid w:val="00F670D8"/>
    <w:rsid w:val="00F676C6"/>
    <w:rsid w:val="00F70118"/>
    <w:rsid w:val="00F71499"/>
    <w:rsid w:val="00F726D8"/>
    <w:rsid w:val="00F73690"/>
    <w:rsid w:val="00F73FD6"/>
    <w:rsid w:val="00F748DA"/>
    <w:rsid w:val="00F751E8"/>
    <w:rsid w:val="00F75F38"/>
    <w:rsid w:val="00F7603C"/>
    <w:rsid w:val="00F766F2"/>
    <w:rsid w:val="00F80207"/>
    <w:rsid w:val="00F80510"/>
    <w:rsid w:val="00F80B3B"/>
    <w:rsid w:val="00F81314"/>
    <w:rsid w:val="00F81FA6"/>
    <w:rsid w:val="00F83AE9"/>
    <w:rsid w:val="00F841C7"/>
    <w:rsid w:val="00F841E8"/>
    <w:rsid w:val="00F846BF"/>
    <w:rsid w:val="00F847DE"/>
    <w:rsid w:val="00F90082"/>
    <w:rsid w:val="00F90B7D"/>
    <w:rsid w:val="00F91453"/>
    <w:rsid w:val="00F9193C"/>
    <w:rsid w:val="00F91C0D"/>
    <w:rsid w:val="00F925D4"/>
    <w:rsid w:val="00F930BB"/>
    <w:rsid w:val="00F930EB"/>
    <w:rsid w:val="00F940B1"/>
    <w:rsid w:val="00F94961"/>
    <w:rsid w:val="00F94F84"/>
    <w:rsid w:val="00F94F85"/>
    <w:rsid w:val="00F96131"/>
    <w:rsid w:val="00F96201"/>
    <w:rsid w:val="00F962B5"/>
    <w:rsid w:val="00F96A9F"/>
    <w:rsid w:val="00FA0646"/>
    <w:rsid w:val="00FA1CA9"/>
    <w:rsid w:val="00FA22E9"/>
    <w:rsid w:val="00FA2757"/>
    <w:rsid w:val="00FA49F4"/>
    <w:rsid w:val="00FA4A1C"/>
    <w:rsid w:val="00FA4B61"/>
    <w:rsid w:val="00FA6A4C"/>
    <w:rsid w:val="00FB1EF3"/>
    <w:rsid w:val="00FB2AB7"/>
    <w:rsid w:val="00FB3016"/>
    <w:rsid w:val="00FB3238"/>
    <w:rsid w:val="00FB3B14"/>
    <w:rsid w:val="00FB41E9"/>
    <w:rsid w:val="00FB44B2"/>
    <w:rsid w:val="00FB4511"/>
    <w:rsid w:val="00FB452B"/>
    <w:rsid w:val="00FB48F1"/>
    <w:rsid w:val="00FB53B9"/>
    <w:rsid w:val="00FB5630"/>
    <w:rsid w:val="00FB67E8"/>
    <w:rsid w:val="00FB71C1"/>
    <w:rsid w:val="00FB773A"/>
    <w:rsid w:val="00FB7A66"/>
    <w:rsid w:val="00FC03D9"/>
    <w:rsid w:val="00FC1065"/>
    <w:rsid w:val="00FC29A9"/>
    <w:rsid w:val="00FC387F"/>
    <w:rsid w:val="00FC416A"/>
    <w:rsid w:val="00FC46DC"/>
    <w:rsid w:val="00FC493B"/>
    <w:rsid w:val="00FC58F2"/>
    <w:rsid w:val="00FC755B"/>
    <w:rsid w:val="00FC7BA4"/>
    <w:rsid w:val="00FD009C"/>
    <w:rsid w:val="00FD0396"/>
    <w:rsid w:val="00FD0418"/>
    <w:rsid w:val="00FD05AB"/>
    <w:rsid w:val="00FD0EBF"/>
    <w:rsid w:val="00FD0EF7"/>
    <w:rsid w:val="00FD2230"/>
    <w:rsid w:val="00FD2407"/>
    <w:rsid w:val="00FD25CF"/>
    <w:rsid w:val="00FD288D"/>
    <w:rsid w:val="00FD29A2"/>
    <w:rsid w:val="00FD2B1E"/>
    <w:rsid w:val="00FD2BFB"/>
    <w:rsid w:val="00FD2D25"/>
    <w:rsid w:val="00FD32A2"/>
    <w:rsid w:val="00FD363E"/>
    <w:rsid w:val="00FD48F8"/>
    <w:rsid w:val="00FD60CA"/>
    <w:rsid w:val="00FD64CC"/>
    <w:rsid w:val="00FD6EA7"/>
    <w:rsid w:val="00FD7099"/>
    <w:rsid w:val="00FD713D"/>
    <w:rsid w:val="00FD7D63"/>
    <w:rsid w:val="00FD7FFA"/>
    <w:rsid w:val="00FE004A"/>
    <w:rsid w:val="00FE1928"/>
    <w:rsid w:val="00FE22DA"/>
    <w:rsid w:val="00FE3169"/>
    <w:rsid w:val="00FE4A41"/>
    <w:rsid w:val="00FE5A17"/>
    <w:rsid w:val="00FF02A5"/>
    <w:rsid w:val="00FF0673"/>
    <w:rsid w:val="00FF0C32"/>
    <w:rsid w:val="00FF1572"/>
    <w:rsid w:val="00FF1B5E"/>
    <w:rsid w:val="00FF252A"/>
    <w:rsid w:val="00FF328C"/>
    <w:rsid w:val="00FF46A3"/>
    <w:rsid w:val="00FF53F2"/>
    <w:rsid w:val="00FF617A"/>
    <w:rsid w:val="00FF67BD"/>
    <w:rsid w:val="00FF6880"/>
    <w:rsid w:val="00FF6BED"/>
    <w:rsid w:val="00FF6C79"/>
    <w:rsid w:val="00FF746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174164"/>
  <w15:docId w15:val="{5EA9EBB2-06BC-4AF8-BBC4-117DB9BD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74172"/>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6D62F9"/>
    <w:pPr>
      <w:numPr>
        <w:numId w:val="14"/>
      </w:numPr>
      <w:pBdr>
        <w:top w:val="single" w:sz="48" w:space="1" w:color="00B274"/>
        <w:left w:val="single" w:sz="48" w:space="4" w:color="00B274"/>
        <w:bottom w:val="single" w:sz="48" w:space="1" w:color="00B274"/>
        <w:right w:val="single" w:sz="48" w:space="4" w:color="00B274"/>
      </w:pBdr>
      <w:shd w:val="clear" w:color="auto" w:fill="00B274"/>
      <w:spacing w:before="240" w:after="240" w:line="240" w:lineRule="auto"/>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autoRedefine/>
    <w:qFormat/>
    <w:rsid w:val="001B3B7B"/>
    <w:pPr>
      <w:spacing w:line="360" w:lineRule="auto"/>
      <w:ind w:left="576" w:hanging="576"/>
      <w:jc w:val="both"/>
      <w:outlineLvl w:val="2"/>
    </w:pPr>
  </w:style>
  <w:style w:type="paragraph" w:styleId="Heading4">
    <w:name w:val="heading 4"/>
    <w:basedOn w:val="Normal"/>
    <w:next w:val="Heading3"/>
    <w:link w:val="Heading4Char"/>
    <w:qFormat/>
    <w:rsid w:val="00E45140"/>
    <w:pPr>
      <w:keepNext/>
      <w:spacing w:before="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6D62F9"/>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E45140"/>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1B3B7B"/>
    <w:rPr>
      <w:rFonts w:ascii="Arial" w:eastAsia="Times New Roman" w:hAnsi="Arial"/>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57243F"/>
    <w:pPr>
      <w:framePr w:wrap="around"/>
      <w:tabs>
        <w:tab w:val="clear" w:pos="7655"/>
        <w:tab w:val="right" w:pos="7399"/>
      </w:tabs>
      <w:ind w:right="600"/>
    </w:pPr>
  </w:style>
  <w:style w:type="table" w:styleId="TableGrid">
    <w:name w:val="Table Grid"/>
    <w:basedOn w:val="TableNormal"/>
    <w:uiPriority w:val="3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1E6639"/>
    <w:rPr>
      <w:rFonts w:ascii="Arial" w:hAnsi="Arial" w:cs="Arial"/>
      <w:i/>
      <w:color w:val="00B274"/>
      <w:sz w:val="20"/>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uiPriority w:val="99"/>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link w:val="QuestionChar"/>
    <w:rsid w:val="00845FD4"/>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left="567"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Heading4"/>
    <w:qFormat/>
    <w:rsid w:val="00E45140"/>
    <w:pPr>
      <w:numPr>
        <w:numId w:val="19"/>
      </w:num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Revision">
    <w:name w:val="Revision"/>
    <w:hidden/>
    <w:rsid w:val="00845FD4"/>
    <w:rPr>
      <w:rFonts w:ascii="Arial" w:eastAsia="Times New Roman" w:hAnsi="Arial"/>
      <w:szCs w:val="24"/>
    </w:rPr>
  </w:style>
  <w:style w:type="paragraph" w:styleId="FootnoteText">
    <w:name w:val="footnote text"/>
    <w:basedOn w:val="Normal"/>
    <w:link w:val="FootnoteTextChar"/>
    <w:uiPriority w:val="99"/>
    <w:unhideWhenUsed/>
    <w:rsid w:val="00062418"/>
    <w:pPr>
      <w:spacing w:before="0" w:after="0" w:line="240" w:lineRule="auto"/>
    </w:pPr>
    <w:rPr>
      <w:szCs w:val="20"/>
    </w:rPr>
  </w:style>
  <w:style w:type="character" w:customStyle="1" w:styleId="FootnoteTextChar">
    <w:name w:val="Footnote Text Char"/>
    <w:link w:val="FootnoteText"/>
    <w:uiPriority w:val="99"/>
    <w:rsid w:val="00062418"/>
    <w:rPr>
      <w:rFonts w:ascii="Arial" w:eastAsia="Times New Roman" w:hAnsi="Arial"/>
    </w:rPr>
  </w:style>
  <w:style w:type="character" w:styleId="FootnoteReference">
    <w:name w:val="footnote reference"/>
    <w:uiPriority w:val="99"/>
    <w:unhideWhenUsed/>
    <w:rsid w:val="00062418"/>
    <w:rPr>
      <w:vertAlign w:val="superscript"/>
    </w:rPr>
  </w:style>
  <w:style w:type="paragraph" w:customStyle="1" w:styleId="GSBodyPara">
    <w:name w:val="GS Body Para"/>
    <w:basedOn w:val="Normal"/>
    <w:link w:val="GSBodyParaChar"/>
    <w:qFormat/>
    <w:rsid w:val="00062418"/>
    <w:pPr>
      <w:spacing w:before="40" w:after="40" w:line="240" w:lineRule="exact"/>
      <w:outlineLvl w:val="1"/>
    </w:pPr>
    <w:rPr>
      <w:rFonts w:ascii="Calibri" w:eastAsia="Calibri" w:hAnsi="Calibri" w:cs="Arial"/>
      <w:color w:val="4D4D4D"/>
      <w:sz w:val="22"/>
      <w:szCs w:val="22"/>
      <w:lang w:eastAsia="en-US"/>
    </w:rPr>
  </w:style>
  <w:style w:type="character" w:customStyle="1" w:styleId="GSBodyParaChar">
    <w:name w:val="GS Body Para Char"/>
    <w:link w:val="GSBodyPara"/>
    <w:rsid w:val="00062418"/>
    <w:rPr>
      <w:rFonts w:ascii="Calibri" w:eastAsia="Calibri" w:hAnsi="Calibri" w:cs="Arial"/>
      <w:color w:val="4D4D4D"/>
      <w:sz w:val="22"/>
      <w:szCs w:val="22"/>
      <w:lang w:eastAsia="en-US"/>
    </w:rPr>
  </w:style>
  <w:style w:type="paragraph" w:styleId="ListParagraph">
    <w:name w:val="List Paragraph"/>
    <w:basedOn w:val="Normal"/>
    <w:link w:val="ListParagraphChar"/>
    <w:uiPriority w:val="34"/>
    <w:qFormat/>
    <w:rsid w:val="00062418"/>
    <w:pPr>
      <w:ind w:left="720"/>
    </w:pPr>
  </w:style>
  <w:style w:type="table" w:customStyle="1" w:styleId="TableList21">
    <w:name w:val="Table List 21"/>
    <w:basedOn w:val="TableNormal"/>
    <w:next w:val="TableList2"/>
    <w:rsid w:val="00F4220D"/>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egds">
    <w:name w:val="legds"/>
    <w:basedOn w:val="DefaultParagraphFont"/>
    <w:rsid w:val="00F4220D"/>
  </w:style>
  <w:style w:type="character" w:customStyle="1" w:styleId="DCUSATableTextChar">
    <w:name w:val="DCUSA Table Text Char"/>
    <w:link w:val="DCUSATableText"/>
    <w:locked/>
    <w:rsid w:val="00F4220D"/>
    <w:rPr>
      <w:rFonts w:ascii="Times New Roman" w:hAnsi="Times New Roman"/>
      <w:sz w:val="24"/>
    </w:rPr>
  </w:style>
  <w:style w:type="paragraph" w:customStyle="1" w:styleId="DCUSATableText">
    <w:name w:val="DCUSA Table Text"/>
    <w:basedOn w:val="Normal"/>
    <w:link w:val="DCUSATableTextChar"/>
    <w:qFormat/>
    <w:rsid w:val="00F4220D"/>
    <w:pPr>
      <w:spacing w:line="264" w:lineRule="auto"/>
    </w:pPr>
    <w:rPr>
      <w:rFonts w:ascii="Times New Roman" w:eastAsia="Cambria" w:hAnsi="Times New Roman"/>
      <w:sz w:val="24"/>
      <w:szCs w:val="20"/>
    </w:rPr>
  </w:style>
  <w:style w:type="paragraph" w:customStyle="1" w:styleId="DCUSATableTexta">
    <w:name w:val="DCUSA Table Text a)"/>
    <w:basedOn w:val="Normal"/>
    <w:qFormat/>
    <w:rsid w:val="00F4220D"/>
    <w:pPr>
      <w:numPr>
        <w:numId w:val="15"/>
      </w:numPr>
      <w:tabs>
        <w:tab w:val="num" w:pos="360"/>
      </w:tabs>
      <w:spacing w:line="240" w:lineRule="auto"/>
      <w:ind w:left="0" w:firstLine="0"/>
    </w:pPr>
    <w:rPr>
      <w:rFonts w:ascii="Times New Roman" w:eastAsia="Calibri" w:hAnsi="Times New Roman"/>
      <w:sz w:val="24"/>
      <w:szCs w:val="22"/>
      <w:lang w:eastAsia="en-US"/>
    </w:rPr>
  </w:style>
  <w:style w:type="paragraph" w:customStyle="1" w:styleId="DCUSATableTextbulletpt">
    <w:name w:val="DCUSA Table Text bullet pt"/>
    <w:basedOn w:val="DCUSATableText"/>
    <w:qFormat/>
    <w:rsid w:val="00F4220D"/>
    <w:pPr>
      <w:numPr>
        <w:ilvl w:val="1"/>
        <w:numId w:val="15"/>
      </w:numPr>
      <w:tabs>
        <w:tab w:val="num" w:pos="360"/>
        <w:tab w:val="num" w:pos="454"/>
      </w:tabs>
      <w:spacing w:line="360" w:lineRule="auto"/>
      <w:ind w:left="0" w:firstLine="0"/>
    </w:pPr>
  </w:style>
  <w:style w:type="character" w:customStyle="1" w:styleId="DCUSATabletextnumbersChar">
    <w:name w:val="DCUSA Table text numbers Char"/>
    <w:link w:val="DCUSATabletextnumbers"/>
    <w:locked/>
    <w:rsid w:val="00F4220D"/>
    <w:rPr>
      <w:rFonts w:ascii="Times New Roman" w:hAnsi="Times New Roman"/>
      <w:b/>
      <w:sz w:val="24"/>
    </w:rPr>
  </w:style>
  <w:style w:type="paragraph" w:customStyle="1" w:styleId="DCUSATabletextnumbers">
    <w:name w:val="DCUSA Table text numbers"/>
    <w:basedOn w:val="DCUSATableText"/>
    <w:link w:val="DCUSATabletextnumbersChar"/>
    <w:qFormat/>
    <w:rsid w:val="00F4220D"/>
    <w:pPr>
      <w:spacing w:line="240" w:lineRule="auto"/>
    </w:pPr>
    <w:rPr>
      <w:b/>
    </w:rPr>
  </w:style>
  <w:style w:type="paragraph" w:customStyle="1" w:styleId="xxmsonormal">
    <w:name w:val="x_xmsonormal"/>
    <w:basedOn w:val="Normal"/>
    <w:rsid w:val="00C242C4"/>
    <w:pPr>
      <w:spacing w:before="0" w:after="0" w:line="240" w:lineRule="auto"/>
    </w:pPr>
    <w:rPr>
      <w:rFonts w:ascii="Calibri" w:eastAsia="Calibri" w:hAnsi="Calibri" w:cs="Calibri"/>
      <w:szCs w:val="20"/>
    </w:rPr>
  </w:style>
  <w:style w:type="paragraph" w:styleId="NoSpacing">
    <w:name w:val="No Spacing"/>
    <w:qFormat/>
    <w:rsid w:val="001021F6"/>
    <w:rPr>
      <w:rFonts w:ascii="Arial" w:eastAsia="Times New Roman" w:hAnsi="Arial"/>
      <w:szCs w:val="24"/>
    </w:rPr>
  </w:style>
  <w:style w:type="paragraph" w:customStyle="1" w:styleId="legp1paratext">
    <w:name w:val="legp1paratext"/>
    <w:basedOn w:val="Normal"/>
    <w:rsid w:val="001021F6"/>
    <w:pPr>
      <w:spacing w:before="100" w:beforeAutospacing="1" w:after="100" w:afterAutospacing="1" w:line="240" w:lineRule="auto"/>
    </w:pPr>
    <w:rPr>
      <w:rFonts w:ascii="Times New Roman" w:hAnsi="Times New Roman"/>
      <w:sz w:val="24"/>
    </w:rPr>
  </w:style>
  <w:style w:type="table" w:styleId="GridTable4">
    <w:name w:val="Grid Table 4"/>
    <w:basedOn w:val="TableNormal"/>
    <w:uiPriority w:val="49"/>
    <w:rsid w:val="001021F6"/>
    <w:rPr>
      <w:rFonts w:ascii="Arial" w:eastAsia="Calibri" w:hAnsi="Arial"/>
      <w:sz w:val="22"/>
      <w:szCs w:val="22"/>
      <w:lang w:val="en-US"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egclearfix">
    <w:name w:val="legclearfix"/>
    <w:basedOn w:val="Normal"/>
    <w:rsid w:val="001021F6"/>
    <w:pPr>
      <w:spacing w:before="100" w:beforeAutospacing="1" w:after="100" w:afterAutospacing="1" w:line="240" w:lineRule="auto"/>
    </w:pPr>
    <w:rPr>
      <w:rFonts w:ascii="Times New Roman" w:hAnsi="Times New Roman"/>
      <w:sz w:val="24"/>
    </w:rPr>
  </w:style>
  <w:style w:type="table" w:styleId="MediumGrid2-Accent6">
    <w:name w:val="Medium Grid 2 Accent 6"/>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2-Accent3">
    <w:name w:val="Medium Grid 2 Accent 3"/>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character" w:styleId="UnresolvedMention">
    <w:name w:val="Unresolved Mention"/>
    <w:basedOn w:val="DefaultParagraphFont"/>
    <w:uiPriority w:val="99"/>
    <w:semiHidden/>
    <w:unhideWhenUsed/>
    <w:rsid w:val="0054531B"/>
    <w:rPr>
      <w:color w:val="605E5C"/>
      <w:shd w:val="clear" w:color="auto" w:fill="E1DFDD"/>
    </w:rPr>
  </w:style>
  <w:style w:type="paragraph" w:customStyle="1" w:styleId="GSBodyParawithnumb">
    <w:name w:val="GS Body Para with numb"/>
    <w:basedOn w:val="Normal"/>
    <w:link w:val="GSBodyParawithnumbChar"/>
    <w:qFormat/>
    <w:rsid w:val="00E25E4A"/>
    <w:pPr>
      <w:numPr>
        <w:ilvl w:val="1"/>
        <w:numId w:val="16"/>
      </w:numPr>
      <w:spacing w:after="240" w:line="280" w:lineRule="exact"/>
      <w:outlineLvl w:val="1"/>
    </w:pPr>
    <w:rPr>
      <w:rFonts w:asciiTheme="minorHAnsi" w:eastAsiaTheme="minorHAnsi" w:hAnsiTheme="minorHAnsi" w:cs="Arial"/>
      <w:color w:val="4D4D4D"/>
      <w:sz w:val="22"/>
      <w:szCs w:val="22"/>
      <w:lang w:eastAsia="en-US"/>
    </w:rPr>
  </w:style>
  <w:style w:type="character" w:customStyle="1" w:styleId="GSBodyParawithnumbChar">
    <w:name w:val="GS Body Para with numb Char"/>
    <w:basedOn w:val="DefaultParagraphFont"/>
    <w:link w:val="GSBodyParawithnumb"/>
    <w:rsid w:val="00E25E4A"/>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E25E4A"/>
    <w:pPr>
      <w:numPr>
        <w:ilvl w:val="0"/>
        <w:numId w:val="16"/>
      </w:numPr>
      <w:pBdr>
        <w:bottom w:val="single" w:sz="2" w:space="5" w:color="CEE0CC"/>
      </w:pBdr>
      <w:tabs>
        <w:tab w:val="clear" w:pos="567"/>
        <w:tab w:val="num" w:pos="720"/>
      </w:tabs>
      <w:spacing w:before="40" w:after="80" w:line="300" w:lineRule="exact"/>
      <w:ind w:left="720" w:hanging="720"/>
      <w:outlineLvl w:val="1"/>
    </w:pPr>
    <w:rPr>
      <w:rFonts w:cs="Arial"/>
      <w:color w:val="3B9164"/>
      <w:sz w:val="28"/>
      <w:szCs w:val="40"/>
    </w:rPr>
  </w:style>
  <w:style w:type="paragraph" w:styleId="Subtitle">
    <w:name w:val="Subtitle"/>
    <w:basedOn w:val="Normal"/>
    <w:next w:val="Normal"/>
    <w:link w:val="SubtitleChar"/>
    <w:qFormat/>
    <w:rsid w:val="00E25E4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25E4A"/>
    <w:rPr>
      <w:rFonts w:asciiTheme="minorHAnsi" w:eastAsiaTheme="minorEastAsia" w:hAnsiTheme="minorHAnsi" w:cstheme="minorBidi"/>
      <w:color w:val="5A5A5A" w:themeColor="text1" w:themeTint="A5"/>
      <w:spacing w:val="15"/>
      <w:sz w:val="22"/>
      <w:szCs w:val="22"/>
    </w:rPr>
  </w:style>
  <w:style w:type="character" w:customStyle="1" w:styleId="legp1no">
    <w:name w:val="legp1no"/>
    <w:basedOn w:val="DefaultParagraphFont"/>
    <w:rsid w:val="00735A6B"/>
  </w:style>
  <w:style w:type="paragraph" w:customStyle="1" w:styleId="legp2paratext">
    <w:name w:val="legp2paratext"/>
    <w:basedOn w:val="Normal"/>
    <w:rsid w:val="00735A6B"/>
    <w:pPr>
      <w:spacing w:before="100" w:beforeAutospacing="1" w:after="100" w:afterAutospacing="1" w:line="240" w:lineRule="auto"/>
    </w:pPr>
    <w:rPr>
      <w:rFonts w:cs="Arial"/>
      <w:sz w:val="24"/>
    </w:rPr>
  </w:style>
  <w:style w:type="paragraph" w:customStyle="1" w:styleId="leglisttextstandard">
    <w:name w:val="leglisttextstandard"/>
    <w:basedOn w:val="Normal"/>
    <w:rsid w:val="00735A6B"/>
    <w:pPr>
      <w:spacing w:before="100" w:beforeAutospacing="1" w:after="100" w:afterAutospacing="1" w:line="240" w:lineRule="auto"/>
    </w:pPr>
    <w:rPr>
      <w:rFonts w:cs="Arial"/>
      <w:sz w:val="24"/>
    </w:rPr>
  </w:style>
  <w:style w:type="character" w:styleId="BookTitle">
    <w:name w:val="Book Title"/>
    <w:basedOn w:val="DefaultParagraphFont"/>
    <w:qFormat/>
    <w:rsid w:val="00527889"/>
    <w:rPr>
      <w:b/>
      <w:bCs/>
      <w:i/>
      <w:iCs/>
      <w:spacing w:val="5"/>
    </w:rPr>
  </w:style>
  <w:style w:type="table" w:customStyle="1" w:styleId="PlainTable31">
    <w:name w:val="Plain Table 31"/>
    <w:basedOn w:val="TableNormal"/>
    <w:rsid w:val="00AD6FCF"/>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Quote">
    <w:name w:val="Quote"/>
    <w:basedOn w:val="Normal"/>
    <w:next w:val="Normal"/>
    <w:link w:val="QuoteChar"/>
    <w:qFormat/>
    <w:rsid w:val="00CA1FE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A1FE7"/>
    <w:rPr>
      <w:rFonts w:ascii="Arial" w:eastAsia="Times New Roman" w:hAnsi="Arial"/>
      <w:i/>
      <w:iCs/>
      <w:color w:val="404040" w:themeColor="text1" w:themeTint="BF"/>
      <w:szCs w:val="24"/>
    </w:rPr>
  </w:style>
  <w:style w:type="character" w:customStyle="1" w:styleId="ListParagraphChar">
    <w:name w:val="List Paragraph Char"/>
    <w:link w:val="ListParagraph"/>
    <w:uiPriority w:val="34"/>
    <w:rsid w:val="00237861"/>
    <w:rPr>
      <w:rFonts w:ascii="Arial" w:eastAsia="Times New Roman" w:hAnsi="Arial"/>
      <w:szCs w:val="24"/>
    </w:rPr>
  </w:style>
  <w:style w:type="paragraph" w:customStyle="1" w:styleId="pf0">
    <w:name w:val="pf0"/>
    <w:basedOn w:val="Normal"/>
    <w:rsid w:val="00C555C9"/>
    <w:pPr>
      <w:spacing w:before="100" w:beforeAutospacing="1" w:after="100" w:afterAutospacing="1" w:line="240" w:lineRule="auto"/>
    </w:pPr>
    <w:rPr>
      <w:rFonts w:ascii="Times New Roman" w:hAnsi="Times New Roman"/>
      <w:sz w:val="24"/>
    </w:rPr>
  </w:style>
  <w:style w:type="character" w:customStyle="1" w:styleId="cf01">
    <w:name w:val="cf01"/>
    <w:basedOn w:val="DefaultParagraphFont"/>
    <w:rsid w:val="00C555C9"/>
    <w:rPr>
      <w:rFonts w:ascii="Segoe UI" w:hAnsi="Segoe UI" w:cs="Segoe UI" w:hint="default"/>
      <w:sz w:val="18"/>
      <w:szCs w:val="18"/>
    </w:rPr>
  </w:style>
  <w:style w:type="character" w:customStyle="1" w:styleId="TemplateFill">
    <w:name w:val="Template Fill"/>
    <w:uiPriority w:val="1"/>
    <w:rsid w:val="00312776"/>
    <w:rPr>
      <w:rFonts w:ascii="Calibri" w:hAnsi="Calibri" w:cs="Calibri" w:hint="default"/>
      <w:color w:val="auto"/>
      <w:sz w:val="22"/>
    </w:rPr>
  </w:style>
  <w:style w:type="paragraph" w:customStyle="1" w:styleId="Default">
    <w:name w:val="Default"/>
    <w:rsid w:val="006806F3"/>
    <w:pPr>
      <w:autoSpaceDE w:val="0"/>
      <w:autoSpaceDN w:val="0"/>
      <w:adjustRightInd w:val="0"/>
    </w:pPr>
    <w:rPr>
      <w:rFonts w:ascii="Arial" w:hAnsi="Arial" w:cs="Arial"/>
      <w:color w:val="000000"/>
      <w:sz w:val="24"/>
      <w:szCs w:val="24"/>
    </w:rPr>
  </w:style>
  <w:style w:type="character" w:customStyle="1" w:styleId="QuestionChar">
    <w:name w:val="Question Char"/>
    <w:basedOn w:val="DefaultParagraphFont"/>
    <w:link w:val="Question"/>
    <w:rsid w:val="004F5794"/>
    <w:rPr>
      <w:rFonts w:ascii="Arial" w:eastAsia="Times New Roman" w:hAnsi="Arial" w:cs="Arial"/>
      <w:b/>
      <w:bCs/>
      <w:color w:val="FFFFFF"/>
      <w:kern w:val="32"/>
      <w:szCs w:val="32"/>
      <w:shd w:val="clear" w:color="auto" w:fill="339966"/>
    </w:rPr>
  </w:style>
  <w:style w:type="table" w:customStyle="1" w:styleId="GSTable2">
    <w:name w:val="GS Table2"/>
    <w:basedOn w:val="TableNormal"/>
    <w:uiPriority w:val="99"/>
    <w:rsid w:val="00F664EF"/>
    <w:pPr>
      <w:spacing w:before="60" w:after="120"/>
    </w:pPr>
    <w:rPr>
      <w:rFonts w:ascii="Calibri" w:eastAsiaTheme="minorHAnsi" w:hAnsi="Calibri" w:cstheme="minorBidi"/>
      <w:sz w:val="24"/>
      <w:szCs w:val="22"/>
      <w:lang w:eastAsia="en-US"/>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6039">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430274819">
      <w:bodyDiv w:val="1"/>
      <w:marLeft w:val="0"/>
      <w:marRight w:val="0"/>
      <w:marTop w:val="0"/>
      <w:marBottom w:val="0"/>
      <w:divBdr>
        <w:top w:val="none" w:sz="0" w:space="0" w:color="auto"/>
        <w:left w:val="none" w:sz="0" w:space="0" w:color="auto"/>
        <w:bottom w:val="none" w:sz="0" w:space="0" w:color="auto"/>
        <w:right w:val="none" w:sz="0" w:space="0" w:color="auto"/>
      </w:divBdr>
    </w:div>
    <w:div w:id="512764206">
      <w:bodyDiv w:val="1"/>
      <w:marLeft w:val="0"/>
      <w:marRight w:val="0"/>
      <w:marTop w:val="0"/>
      <w:marBottom w:val="0"/>
      <w:divBdr>
        <w:top w:val="none" w:sz="0" w:space="0" w:color="auto"/>
        <w:left w:val="none" w:sz="0" w:space="0" w:color="auto"/>
        <w:bottom w:val="none" w:sz="0" w:space="0" w:color="auto"/>
        <w:right w:val="none" w:sz="0" w:space="0" w:color="auto"/>
      </w:divBdr>
    </w:div>
    <w:div w:id="60407346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38090452">
      <w:bodyDiv w:val="1"/>
      <w:marLeft w:val="0"/>
      <w:marRight w:val="0"/>
      <w:marTop w:val="0"/>
      <w:marBottom w:val="0"/>
      <w:divBdr>
        <w:top w:val="none" w:sz="0" w:space="0" w:color="auto"/>
        <w:left w:val="none" w:sz="0" w:space="0" w:color="auto"/>
        <w:bottom w:val="none" w:sz="0" w:space="0" w:color="auto"/>
        <w:right w:val="none" w:sz="0" w:space="0" w:color="auto"/>
      </w:divBdr>
    </w:div>
    <w:div w:id="910389128">
      <w:bodyDiv w:val="1"/>
      <w:marLeft w:val="0"/>
      <w:marRight w:val="0"/>
      <w:marTop w:val="0"/>
      <w:marBottom w:val="0"/>
      <w:divBdr>
        <w:top w:val="none" w:sz="0" w:space="0" w:color="auto"/>
        <w:left w:val="none" w:sz="0" w:space="0" w:color="auto"/>
        <w:bottom w:val="none" w:sz="0" w:space="0" w:color="auto"/>
        <w:right w:val="none" w:sz="0" w:space="0" w:color="auto"/>
      </w:divBdr>
    </w:div>
    <w:div w:id="958298978">
      <w:bodyDiv w:val="1"/>
      <w:marLeft w:val="0"/>
      <w:marRight w:val="0"/>
      <w:marTop w:val="0"/>
      <w:marBottom w:val="0"/>
      <w:divBdr>
        <w:top w:val="none" w:sz="0" w:space="0" w:color="auto"/>
        <w:left w:val="none" w:sz="0" w:space="0" w:color="auto"/>
        <w:bottom w:val="none" w:sz="0" w:space="0" w:color="auto"/>
        <w:right w:val="none" w:sz="0" w:space="0" w:color="auto"/>
      </w:divBdr>
    </w:div>
    <w:div w:id="1229725814">
      <w:bodyDiv w:val="1"/>
      <w:marLeft w:val="0"/>
      <w:marRight w:val="0"/>
      <w:marTop w:val="0"/>
      <w:marBottom w:val="0"/>
      <w:divBdr>
        <w:top w:val="none" w:sz="0" w:space="0" w:color="auto"/>
        <w:left w:val="none" w:sz="0" w:space="0" w:color="auto"/>
        <w:bottom w:val="none" w:sz="0" w:space="0" w:color="auto"/>
        <w:right w:val="none" w:sz="0" w:space="0" w:color="auto"/>
      </w:divBdr>
    </w:div>
    <w:div w:id="1248923094">
      <w:bodyDiv w:val="1"/>
      <w:marLeft w:val="0"/>
      <w:marRight w:val="0"/>
      <w:marTop w:val="0"/>
      <w:marBottom w:val="0"/>
      <w:divBdr>
        <w:top w:val="none" w:sz="0" w:space="0" w:color="auto"/>
        <w:left w:val="none" w:sz="0" w:space="0" w:color="auto"/>
        <w:bottom w:val="none" w:sz="0" w:space="0" w:color="auto"/>
        <w:right w:val="none" w:sz="0" w:space="0" w:color="auto"/>
      </w:divBdr>
    </w:div>
    <w:div w:id="1281719787">
      <w:bodyDiv w:val="1"/>
      <w:marLeft w:val="0"/>
      <w:marRight w:val="0"/>
      <w:marTop w:val="0"/>
      <w:marBottom w:val="0"/>
      <w:divBdr>
        <w:top w:val="none" w:sz="0" w:space="0" w:color="auto"/>
        <w:left w:val="none" w:sz="0" w:space="0" w:color="auto"/>
        <w:bottom w:val="none" w:sz="0" w:space="0" w:color="auto"/>
        <w:right w:val="none" w:sz="0" w:space="0" w:color="auto"/>
      </w:divBdr>
    </w:div>
    <w:div w:id="1342898541">
      <w:bodyDiv w:val="1"/>
      <w:marLeft w:val="0"/>
      <w:marRight w:val="0"/>
      <w:marTop w:val="0"/>
      <w:marBottom w:val="0"/>
      <w:divBdr>
        <w:top w:val="none" w:sz="0" w:space="0" w:color="auto"/>
        <w:left w:val="none" w:sz="0" w:space="0" w:color="auto"/>
        <w:bottom w:val="none" w:sz="0" w:space="0" w:color="auto"/>
        <w:right w:val="none" w:sz="0" w:space="0" w:color="auto"/>
      </w:divBdr>
    </w:div>
    <w:div w:id="1372614863">
      <w:bodyDiv w:val="1"/>
      <w:marLeft w:val="0"/>
      <w:marRight w:val="0"/>
      <w:marTop w:val="0"/>
      <w:marBottom w:val="0"/>
      <w:divBdr>
        <w:top w:val="none" w:sz="0" w:space="0" w:color="auto"/>
        <w:left w:val="none" w:sz="0" w:space="0" w:color="auto"/>
        <w:bottom w:val="none" w:sz="0" w:space="0" w:color="auto"/>
        <w:right w:val="none" w:sz="0" w:space="0" w:color="auto"/>
      </w:divBdr>
    </w:div>
    <w:div w:id="1377313876">
      <w:bodyDiv w:val="1"/>
      <w:marLeft w:val="0"/>
      <w:marRight w:val="0"/>
      <w:marTop w:val="0"/>
      <w:marBottom w:val="0"/>
      <w:divBdr>
        <w:top w:val="none" w:sz="0" w:space="0" w:color="auto"/>
        <w:left w:val="none" w:sz="0" w:space="0" w:color="auto"/>
        <w:bottom w:val="none" w:sz="0" w:space="0" w:color="auto"/>
        <w:right w:val="none" w:sz="0" w:space="0" w:color="auto"/>
      </w:divBdr>
    </w:div>
    <w:div w:id="1548837447">
      <w:bodyDiv w:val="1"/>
      <w:marLeft w:val="0"/>
      <w:marRight w:val="0"/>
      <w:marTop w:val="0"/>
      <w:marBottom w:val="0"/>
      <w:divBdr>
        <w:top w:val="none" w:sz="0" w:space="0" w:color="auto"/>
        <w:left w:val="none" w:sz="0" w:space="0" w:color="auto"/>
        <w:bottom w:val="none" w:sz="0" w:space="0" w:color="auto"/>
        <w:right w:val="none" w:sz="0" w:space="0" w:color="auto"/>
      </w:divBdr>
      <w:divsChild>
        <w:div w:id="1041975507">
          <w:marLeft w:val="0"/>
          <w:marRight w:val="0"/>
          <w:marTop w:val="0"/>
          <w:marBottom w:val="0"/>
          <w:divBdr>
            <w:top w:val="none" w:sz="0" w:space="0" w:color="auto"/>
            <w:left w:val="none" w:sz="0" w:space="0" w:color="auto"/>
            <w:bottom w:val="none" w:sz="0" w:space="0" w:color="auto"/>
            <w:right w:val="none" w:sz="0" w:space="0" w:color="auto"/>
          </w:divBdr>
          <w:divsChild>
            <w:div w:id="1175346267">
              <w:marLeft w:val="0"/>
              <w:marRight w:val="0"/>
              <w:marTop w:val="0"/>
              <w:marBottom w:val="0"/>
              <w:divBdr>
                <w:top w:val="none" w:sz="0" w:space="0" w:color="auto"/>
                <w:left w:val="none" w:sz="0" w:space="0" w:color="auto"/>
                <w:bottom w:val="none" w:sz="0" w:space="0" w:color="auto"/>
                <w:right w:val="none" w:sz="0" w:space="0" w:color="auto"/>
              </w:divBdr>
              <w:divsChild>
                <w:div w:id="44260678">
                  <w:marLeft w:val="0"/>
                  <w:marRight w:val="0"/>
                  <w:marTop w:val="0"/>
                  <w:marBottom w:val="0"/>
                  <w:divBdr>
                    <w:top w:val="none" w:sz="0" w:space="0" w:color="auto"/>
                    <w:left w:val="none" w:sz="0" w:space="0" w:color="auto"/>
                    <w:bottom w:val="none" w:sz="0" w:space="0" w:color="auto"/>
                    <w:right w:val="none" w:sz="0" w:space="0" w:color="auto"/>
                  </w:divBdr>
                  <w:divsChild>
                    <w:div w:id="2021546817">
                      <w:marLeft w:val="0"/>
                      <w:marRight w:val="0"/>
                      <w:marTop w:val="0"/>
                      <w:marBottom w:val="0"/>
                      <w:divBdr>
                        <w:top w:val="none" w:sz="0" w:space="0" w:color="auto"/>
                        <w:left w:val="none" w:sz="0" w:space="0" w:color="auto"/>
                        <w:bottom w:val="none" w:sz="0" w:space="0" w:color="auto"/>
                        <w:right w:val="none" w:sz="0" w:space="0" w:color="auto"/>
                      </w:divBdr>
                      <w:divsChild>
                        <w:div w:id="773667897">
                          <w:marLeft w:val="0"/>
                          <w:marRight w:val="0"/>
                          <w:marTop w:val="0"/>
                          <w:marBottom w:val="0"/>
                          <w:divBdr>
                            <w:top w:val="none" w:sz="0" w:space="0" w:color="auto"/>
                            <w:left w:val="none" w:sz="0" w:space="0" w:color="auto"/>
                            <w:bottom w:val="none" w:sz="0" w:space="0" w:color="auto"/>
                            <w:right w:val="none" w:sz="0" w:space="0" w:color="auto"/>
                          </w:divBdr>
                          <w:divsChild>
                            <w:div w:id="404647926">
                              <w:marLeft w:val="0"/>
                              <w:marRight w:val="0"/>
                              <w:marTop w:val="0"/>
                              <w:marBottom w:val="0"/>
                              <w:divBdr>
                                <w:top w:val="none" w:sz="0" w:space="0" w:color="auto"/>
                                <w:left w:val="none" w:sz="0" w:space="0" w:color="auto"/>
                                <w:bottom w:val="none" w:sz="0" w:space="0" w:color="auto"/>
                                <w:right w:val="none" w:sz="0" w:space="0" w:color="auto"/>
                              </w:divBdr>
                            </w:div>
                            <w:div w:id="13195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262063">
                  <w:marLeft w:val="0"/>
                  <w:marRight w:val="0"/>
                  <w:marTop w:val="0"/>
                  <w:marBottom w:val="0"/>
                  <w:divBdr>
                    <w:top w:val="none" w:sz="0" w:space="0" w:color="auto"/>
                    <w:left w:val="none" w:sz="0" w:space="0" w:color="auto"/>
                    <w:bottom w:val="none" w:sz="0" w:space="0" w:color="auto"/>
                    <w:right w:val="none" w:sz="0" w:space="0" w:color="auto"/>
                  </w:divBdr>
                  <w:divsChild>
                    <w:div w:id="194852733">
                      <w:marLeft w:val="0"/>
                      <w:marRight w:val="0"/>
                      <w:marTop w:val="0"/>
                      <w:marBottom w:val="0"/>
                      <w:divBdr>
                        <w:top w:val="none" w:sz="0" w:space="0" w:color="auto"/>
                        <w:left w:val="none" w:sz="0" w:space="0" w:color="auto"/>
                        <w:bottom w:val="none" w:sz="0" w:space="0" w:color="auto"/>
                        <w:right w:val="none" w:sz="0" w:space="0" w:color="auto"/>
                      </w:divBdr>
                      <w:divsChild>
                        <w:div w:id="491455372">
                          <w:marLeft w:val="0"/>
                          <w:marRight w:val="0"/>
                          <w:marTop w:val="0"/>
                          <w:marBottom w:val="0"/>
                          <w:divBdr>
                            <w:top w:val="none" w:sz="0" w:space="0" w:color="auto"/>
                            <w:left w:val="none" w:sz="0" w:space="0" w:color="auto"/>
                            <w:bottom w:val="none" w:sz="0" w:space="0" w:color="auto"/>
                            <w:right w:val="none" w:sz="0" w:space="0" w:color="auto"/>
                          </w:divBdr>
                          <w:divsChild>
                            <w:div w:id="1571115745">
                              <w:marLeft w:val="0"/>
                              <w:marRight w:val="0"/>
                              <w:marTop w:val="0"/>
                              <w:marBottom w:val="0"/>
                              <w:divBdr>
                                <w:top w:val="none" w:sz="0" w:space="0" w:color="auto"/>
                                <w:left w:val="none" w:sz="0" w:space="0" w:color="auto"/>
                                <w:bottom w:val="none" w:sz="0" w:space="0" w:color="auto"/>
                                <w:right w:val="none" w:sz="0" w:space="0" w:color="auto"/>
                              </w:divBdr>
                            </w:div>
                            <w:div w:id="80520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046304">
                  <w:marLeft w:val="0"/>
                  <w:marRight w:val="0"/>
                  <w:marTop w:val="0"/>
                  <w:marBottom w:val="0"/>
                  <w:divBdr>
                    <w:top w:val="none" w:sz="0" w:space="0" w:color="auto"/>
                    <w:left w:val="none" w:sz="0" w:space="0" w:color="auto"/>
                    <w:bottom w:val="none" w:sz="0" w:space="0" w:color="auto"/>
                    <w:right w:val="none" w:sz="0" w:space="0" w:color="auto"/>
                  </w:divBdr>
                </w:div>
                <w:div w:id="173152022">
                  <w:marLeft w:val="0"/>
                  <w:marRight w:val="0"/>
                  <w:marTop w:val="0"/>
                  <w:marBottom w:val="0"/>
                  <w:divBdr>
                    <w:top w:val="none" w:sz="0" w:space="0" w:color="auto"/>
                    <w:left w:val="none" w:sz="0" w:space="0" w:color="auto"/>
                    <w:bottom w:val="none" w:sz="0" w:space="0" w:color="auto"/>
                    <w:right w:val="none" w:sz="0" w:space="0" w:color="auto"/>
                  </w:divBdr>
                  <w:divsChild>
                    <w:div w:id="1790783882">
                      <w:marLeft w:val="0"/>
                      <w:marRight w:val="0"/>
                      <w:marTop w:val="0"/>
                      <w:marBottom w:val="0"/>
                      <w:divBdr>
                        <w:top w:val="none" w:sz="0" w:space="0" w:color="auto"/>
                        <w:left w:val="none" w:sz="0" w:space="0" w:color="auto"/>
                        <w:bottom w:val="none" w:sz="0" w:space="0" w:color="auto"/>
                        <w:right w:val="none" w:sz="0" w:space="0" w:color="auto"/>
                      </w:divBdr>
                      <w:divsChild>
                        <w:div w:id="553001659">
                          <w:marLeft w:val="0"/>
                          <w:marRight w:val="0"/>
                          <w:marTop w:val="0"/>
                          <w:marBottom w:val="0"/>
                          <w:divBdr>
                            <w:top w:val="none" w:sz="0" w:space="0" w:color="auto"/>
                            <w:left w:val="none" w:sz="0" w:space="0" w:color="auto"/>
                            <w:bottom w:val="none" w:sz="0" w:space="0" w:color="auto"/>
                            <w:right w:val="none" w:sz="0" w:space="0" w:color="auto"/>
                          </w:divBdr>
                          <w:divsChild>
                            <w:div w:id="2075854147">
                              <w:marLeft w:val="0"/>
                              <w:marRight w:val="0"/>
                              <w:marTop w:val="0"/>
                              <w:marBottom w:val="0"/>
                              <w:divBdr>
                                <w:top w:val="none" w:sz="0" w:space="0" w:color="auto"/>
                                <w:left w:val="none" w:sz="0" w:space="0" w:color="auto"/>
                                <w:bottom w:val="none" w:sz="0" w:space="0" w:color="auto"/>
                                <w:right w:val="none" w:sz="0" w:space="0" w:color="auto"/>
                              </w:divBdr>
                            </w:div>
                            <w:div w:id="1425301582">
                              <w:marLeft w:val="0"/>
                              <w:marRight w:val="0"/>
                              <w:marTop w:val="0"/>
                              <w:marBottom w:val="0"/>
                              <w:divBdr>
                                <w:top w:val="none" w:sz="0" w:space="0" w:color="auto"/>
                                <w:left w:val="none" w:sz="0" w:space="0" w:color="auto"/>
                                <w:bottom w:val="none" w:sz="0" w:space="0" w:color="auto"/>
                                <w:right w:val="none" w:sz="0" w:space="0" w:color="auto"/>
                              </w:divBdr>
                            </w:div>
                            <w:div w:id="1014649879">
                              <w:marLeft w:val="0"/>
                              <w:marRight w:val="0"/>
                              <w:marTop w:val="0"/>
                              <w:marBottom w:val="0"/>
                              <w:divBdr>
                                <w:top w:val="none" w:sz="0" w:space="0" w:color="auto"/>
                                <w:left w:val="none" w:sz="0" w:space="0" w:color="auto"/>
                                <w:bottom w:val="none" w:sz="0" w:space="0" w:color="auto"/>
                                <w:right w:val="none" w:sz="0" w:space="0" w:color="auto"/>
                              </w:divBdr>
                            </w:div>
                            <w:div w:id="280065957">
                              <w:marLeft w:val="0"/>
                              <w:marRight w:val="0"/>
                              <w:marTop w:val="0"/>
                              <w:marBottom w:val="0"/>
                              <w:divBdr>
                                <w:top w:val="none" w:sz="0" w:space="0" w:color="auto"/>
                                <w:left w:val="none" w:sz="0" w:space="0" w:color="auto"/>
                                <w:bottom w:val="none" w:sz="0" w:space="0" w:color="auto"/>
                                <w:right w:val="none" w:sz="0" w:space="0" w:color="auto"/>
                              </w:divBdr>
                            </w:div>
                            <w:div w:id="38857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307097">
      <w:bodyDiv w:val="1"/>
      <w:marLeft w:val="0"/>
      <w:marRight w:val="0"/>
      <w:marTop w:val="0"/>
      <w:marBottom w:val="0"/>
      <w:divBdr>
        <w:top w:val="none" w:sz="0" w:space="0" w:color="auto"/>
        <w:left w:val="none" w:sz="0" w:space="0" w:color="auto"/>
        <w:bottom w:val="none" w:sz="0" w:space="0" w:color="auto"/>
        <w:right w:val="none" w:sz="0" w:space="0" w:color="auto"/>
      </w:divBdr>
    </w:div>
    <w:div w:id="1673677044">
      <w:bodyDiv w:val="1"/>
      <w:marLeft w:val="0"/>
      <w:marRight w:val="0"/>
      <w:marTop w:val="0"/>
      <w:marBottom w:val="0"/>
      <w:divBdr>
        <w:top w:val="none" w:sz="0" w:space="0" w:color="auto"/>
        <w:left w:val="none" w:sz="0" w:space="0" w:color="auto"/>
        <w:bottom w:val="none" w:sz="0" w:space="0" w:color="auto"/>
        <w:right w:val="none" w:sz="0" w:space="0" w:color="auto"/>
      </w:divBdr>
    </w:div>
    <w:div w:id="1682971815">
      <w:bodyDiv w:val="1"/>
      <w:marLeft w:val="0"/>
      <w:marRight w:val="0"/>
      <w:marTop w:val="0"/>
      <w:marBottom w:val="0"/>
      <w:divBdr>
        <w:top w:val="none" w:sz="0" w:space="0" w:color="auto"/>
        <w:left w:val="none" w:sz="0" w:space="0" w:color="auto"/>
        <w:bottom w:val="none" w:sz="0" w:space="0" w:color="auto"/>
        <w:right w:val="none" w:sz="0" w:space="0" w:color="auto"/>
      </w:divBdr>
    </w:div>
    <w:div w:id="1694916682">
      <w:bodyDiv w:val="1"/>
      <w:marLeft w:val="0"/>
      <w:marRight w:val="0"/>
      <w:marTop w:val="0"/>
      <w:marBottom w:val="0"/>
      <w:divBdr>
        <w:top w:val="none" w:sz="0" w:space="0" w:color="auto"/>
        <w:left w:val="none" w:sz="0" w:space="0" w:color="auto"/>
        <w:bottom w:val="none" w:sz="0" w:space="0" w:color="auto"/>
        <w:right w:val="none" w:sz="0" w:space="0" w:color="auto"/>
      </w:divBdr>
    </w:div>
    <w:div w:id="1761830039">
      <w:bodyDiv w:val="1"/>
      <w:marLeft w:val="0"/>
      <w:marRight w:val="0"/>
      <w:marTop w:val="0"/>
      <w:marBottom w:val="0"/>
      <w:divBdr>
        <w:top w:val="none" w:sz="0" w:space="0" w:color="auto"/>
        <w:left w:val="none" w:sz="0" w:space="0" w:color="auto"/>
        <w:bottom w:val="none" w:sz="0" w:space="0" w:color="auto"/>
        <w:right w:val="none" w:sz="0" w:space="0" w:color="auto"/>
      </w:divBdr>
    </w:div>
    <w:div w:id="1798140583">
      <w:bodyDiv w:val="1"/>
      <w:marLeft w:val="0"/>
      <w:marRight w:val="0"/>
      <w:marTop w:val="0"/>
      <w:marBottom w:val="0"/>
      <w:divBdr>
        <w:top w:val="none" w:sz="0" w:space="0" w:color="auto"/>
        <w:left w:val="none" w:sz="0" w:space="0" w:color="auto"/>
        <w:bottom w:val="none" w:sz="0" w:space="0" w:color="auto"/>
        <w:right w:val="none" w:sz="0" w:space="0" w:color="auto"/>
      </w:divBdr>
    </w:div>
    <w:div w:id="1808862201">
      <w:bodyDiv w:val="1"/>
      <w:marLeft w:val="0"/>
      <w:marRight w:val="0"/>
      <w:marTop w:val="0"/>
      <w:marBottom w:val="0"/>
      <w:divBdr>
        <w:top w:val="none" w:sz="0" w:space="0" w:color="auto"/>
        <w:left w:val="none" w:sz="0" w:space="0" w:color="auto"/>
        <w:bottom w:val="none" w:sz="0" w:space="0" w:color="auto"/>
        <w:right w:val="none" w:sz="0" w:space="0" w:color="auto"/>
      </w:divBdr>
    </w:div>
    <w:div w:id="1892305609">
      <w:bodyDiv w:val="1"/>
      <w:marLeft w:val="0"/>
      <w:marRight w:val="0"/>
      <w:marTop w:val="0"/>
      <w:marBottom w:val="0"/>
      <w:divBdr>
        <w:top w:val="none" w:sz="0" w:space="0" w:color="auto"/>
        <w:left w:val="none" w:sz="0" w:space="0" w:color="auto"/>
        <w:bottom w:val="none" w:sz="0" w:space="0" w:color="auto"/>
        <w:right w:val="none" w:sz="0" w:space="0" w:color="auto"/>
      </w:divBdr>
    </w:div>
    <w:div w:id="2119830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hyperlink" Target="http://www.dcusa.co.u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ofgem.gov.uk/publications/decision-proposed-modifications-riio-2-electricity-distribution-licences" TargetMode="External"/><Relationship Id="rId1" Type="http://schemas.openxmlformats.org/officeDocument/2006/relationships/hyperlink" Target="https://www.dcusa.co.uk/change/reviewing-the-requirements-of-sections-35a-provision-of-cost-information-35b-production-of-the-annual-review-pack-schedule-15-cost-information-table-and-schedule-20-production-of-th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B54573D36D4F9A9CA4583DC40A0F30"/>
        <w:category>
          <w:name w:val="General"/>
          <w:gallery w:val="placeholder"/>
        </w:category>
        <w:types>
          <w:type w:val="bbPlcHdr"/>
        </w:types>
        <w:behaviors>
          <w:behavior w:val="content"/>
        </w:behaviors>
        <w:guid w:val="{4DAA96BA-8AB9-434B-892F-D70FD1B6F1DF}"/>
      </w:docPartPr>
      <w:docPartBody>
        <w:p w:rsidR="008F0515" w:rsidRDefault="00082DA2" w:rsidP="00082DA2">
          <w:pPr>
            <w:pStyle w:val="33B54573D36D4F9A9CA4583DC40A0F30"/>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07190BF98AFE4635BD41B02ECC4FC4DC"/>
        <w:category>
          <w:name w:val="General"/>
          <w:gallery w:val="placeholder"/>
        </w:category>
        <w:types>
          <w:type w:val="bbPlcHdr"/>
        </w:types>
        <w:behaviors>
          <w:behavior w:val="content"/>
        </w:behaviors>
        <w:guid w:val="{5184F265-9FBC-4EDB-B2E8-1DFCADFA5AD8}"/>
      </w:docPartPr>
      <w:docPartBody>
        <w:p w:rsidR="00FC40CE" w:rsidRDefault="008F0515" w:rsidP="008F0515">
          <w:pPr>
            <w:pStyle w:val="07190BF98AFE4635BD41B02ECC4FC4DC"/>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1269358FE4F4C158D29EC33B695F1DC"/>
        <w:category>
          <w:name w:val="General"/>
          <w:gallery w:val="placeholder"/>
        </w:category>
        <w:types>
          <w:type w:val="bbPlcHdr"/>
        </w:types>
        <w:behaviors>
          <w:behavior w:val="content"/>
        </w:behaviors>
        <w:guid w:val="{5BF571C2-1751-40E1-B319-20158DFF36A4}"/>
      </w:docPartPr>
      <w:docPartBody>
        <w:p w:rsidR="00FC40CE" w:rsidRDefault="008F0515" w:rsidP="008F0515">
          <w:pPr>
            <w:pStyle w:val="B1269358FE4F4C158D29EC33B695F1DC"/>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16D6C3FFAA941289E55302709A20BBC"/>
        <w:category>
          <w:name w:val="General"/>
          <w:gallery w:val="placeholder"/>
        </w:category>
        <w:types>
          <w:type w:val="bbPlcHdr"/>
        </w:types>
        <w:behaviors>
          <w:behavior w:val="content"/>
        </w:behaviors>
        <w:guid w:val="{F9DC4CBD-D999-4000-8972-8F5D884EB78D}"/>
      </w:docPartPr>
      <w:docPartBody>
        <w:p w:rsidR="00FC40CE" w:rsidRDefault="008F0515" w:rsidP="008F0515">
          <w:pPr>
            <w:pStyle w:val="B16D6C3FFAA941289E55302709A20BBC"/>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8656DCB2F4DE40E9A6041F0D30D67B34"/>
        <w:category>
          <w:name w:val="General"/>
          <w:gallery w:val="placeholder"/>
        </w:category>
        <w:types>
          <w:type w:val="bbPlcHdr"/>
        </w:types>
        <w:behaviors>
          <w:behavior w:val="content"/>
        </w:behaviors>
        <w:guid w:val="{A087CBB3-3CAA-41FE-99C3-C79C821FF381}"/>
      </w:docPartPr>
      <w:docPartBody>
        <w:p w:rsidR="00FC40CE" w:rsidRDefault="008F0515" w:rsidP="008F0515">
          <w:pPr>
            <w:pStyle w:val="8656DCB2F4DE40E9A6041F0D30D67B34"/>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F18655FD86F64426BCA36B3AA78A4AC5"/>
        <w:category>
          <w:name w:val="General"/>
          <w:gallery w:val="placeholder"/>
        </w:category>
        <w:types>
          <w:type w:val="bbPlcHdr"/>
        </w:types>
        <w:behaviors>
          <w:behavior w:val="content"/>
        </w:behaviors>
        <w:guid w:val="{822C5C9B-2AEE-4115-A91E-11A66389FF41}"/>
      </w:docPartPr>
      <w:docPartBody>
        <w:p w:rsidR="00FC40CE" w:rsidRDefault="008F0515" w:rsidP="008F0515">
          <w:pPr>
            <w:pStyle w:val="F18655FD86F64426BCA36B3AA78A4AC5"/>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97089EBA3A0C4E5980E88C5448006F53"/>
        <w:category>
          <w:name w:val="General"/>
          <w:gallery w:val="placeholder"/>
        </w:category>
        <w:types>
          <w:type w:val="bbPlcHdr"/>
        </w:types>
        <w:behaviors>
          <w:behavior w:val="content"/>
        </w:behaviors>
        <w:guid w:val="{262A84BE-8D66-4499-BFC0-E8687B8A5FC3}"/>
      </w:docPartPr>
      <w:docPartBody>
        <w:p w:rsidR="00FC40CE" w:rsidRDefault="008F0515" w:rsidP="008F0515">
          <w:pPr>
            <w:pStyle w:val="97089EBA3A0C4E5980E88C5448006F53"/>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34C918D6EA14B6896D520A184455621"/>
        <w:category>
          <w:name w:val="General"/>
          <w:gallery w:val="placeholder"/>
        </w:category>
        <w:types>
          <w:type w:val="bbPlcHdr"/>
        </w:types>
        <w:behaviors>
          <w:behavior w:val="content"/>
        </w:behaviors>
        <w:guid w:val="{1795C5DF-D99C-4B00-A087-553D14DAE885}"/>
      </w:docPartPr>
      <w:docPartBody>
        <w:p w:rsidR="00FC40CE" w:rsidRDefault="008F0515" w:rsidP="008F0515">
          <w:pPr>
            <w:pStyle w:val="B34C918D6EA14B6896D520A184455621"/>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19EEB2AA98F547009F373F0E7F752897"/>
        <w:category>
          <w:name w:val="General"/>
          <w:gallery w:val="placeholder"/>
        </w:category>
        <w:types>
          <w:type w:val="bbPlcHdr"/>
        </w:types>
        <w:behaviors>
          <w:behavior w:val="content"/>
        </w:behaviors>
        <w:guid w:val="{CE4A9126-EE4E-4B36-B810-27B39E95782C}"/>
      </w:docPartPr>
      <w:docPartBody>
        <w:p w:rsidR="00FC40CE" w:rsidRDefault="008F0515" w:rsidP="008F0515">
          <w:pPr>
            <w:pStyle w:val="19EEB2AA98F547009F373F0E7F752897"/>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9300624ECBED45E0B94410CA3C537C9E"/>
        <w:category>
          <w:name w:val="General"/>
          <w:gallery w:val="placeholder"/>
        </w:category>
        <w:types>
          <w:type w:val="bbPlcHdr"/>
        </w:types>
        <w:behaviors>
          <w:behavior w:val="content"/>
        </w:behaviors>
        <w:guid w:val="{2EB2830B-66A8-4706-8916-F21BF9636CF6}"/>
      </w:docPartPr>
      <w:docPartBody>
        <w:p w:rsidR="00890968" w:rsidRDefault="006068D2" w:rsidP="006068D2">
          <w:pPr>
            <w:pStyle w:val="9300624ECBED45E0B94410CA3C537C9E"/>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DA2"/>
    <w:rsid w:val="00015DAC"/>
    <w:rsid w:val="00082DA2"/>
    <w:rsid w:val="00571200"/>
    <w:rsid w:val="006068D2"/>
    <w:rsid w:val="0061429F"/>
    <w:rsid w:val="00681087"/>
    <w:rsid w:val="00744145"/>
    <w:rsid w:val="007724FB"/>
    <w:rsid w:val="00890968"/>
    <w:rsid w:val="008F0515"/>
    <w:rsid w:val="00A534C9"/>
    <w:rsid w:val="00B24175"/>
    <w:rsid w:val="00CA511E"/>
    <w:rsid w:val="00D81B9D"/>
    <w:rsid w:val="00DA4842"/>
    <w:rsid w:val="00DC72FB"/>
    <w:rsid w:val="00DD59DD"/>
    <w:rsid w:val="00FB1EA9"/>
    <w:rsid w:val="00FC40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6068D2"/>
    <w:rPr>
      <w:rFonts w:ascii="Arial" w:eastAsia="Times New Roman" w:hAnsi="Arial" w:cs="Arial"/>
      <w:i/>
      <w:iCs/>
      <w:color w:val="00B274"/>
      <w:sz w:val="20"/>
      <w:szCs w:val="28"/>
    </w:rPr>
  </w:style>
  <w:style w:type="character" w:styleId="Emphasis">
    <w:name w:val="Emphasis"/>
    <w:basedOn w:val="DefaultParagraphFont"/>
    <w:uiPriority w:val="20"/>
    <w:qFormat/>
    <w:rsid w:val="00082DA2"/>
    <w:rPr>
      <w:i/>
      <w:iCs/>
    </w:rPr>
  </w:style>
  <w:style w:type="paragraph" w:customStyle="1" w:styleId="33B54573D36D4F9A9CA4583DC40A0F30">
    <w:name w:val="33B54573D36D4F9A9CA4583DC40A0F30"/>
    <w:rsid w:val="00082DA2"/>
  </w:style>
  <w:style w:type="character" w:styleId="PlaceholderText">
    <w:name w:val="Placeholder Text"/>
    <w:basedOn w:val="DefaultParagraphFont"/>
    <w:uiPriority w:val="99"/>
    <w:semiHidden/>
    <w:rsid w:val="00082DA2"/>
    <w:rPr>
      <w:color w:val="808080"/>
    </w:rPr>
  </w:style>
  <w:style w:type="paragraph" w:customStyle="1" w:styleId="07190BF98AFE4635BD41B02ECC4FC4DC">
    <w:name w:val="07190BF98AFE4635BD41B02ECC4FC4DC"/>
    <w:rsid w:val="008F0515"/>
  </w:style>
  <w:style w:type="paragraph" w:customStyle="1" w:styleId="B1269358FE4F4C158D29EC33B695F1DC">
    <w:name w:val="B1269358FE4F4C158D29EC33B695F1DC"/>
    <w:rsid w:val="008F0515"/>
  </w:style>
  <w:style w:type="paragraph" w:customStyle="1" w:styleId="B16D6C3FFAA941289E55302709A20BBC">
    <w:name w:val="B16D6C3FFAA941289E55302709A20BBC"/>
    <w:rsid w:val="008F0515"/>
  </w:style>
  <w:style w:type="paragraph" w:customStyle="1" w:styleId="8656DCB2F4DE40E9A6041F0D30D67B34">
    <w:name w:val="8656DCB2F4DE40E9A6041F0D30D67B34"/>
    <w:rsid w:val="008F0515"/>
  </w:style>
  <w:style w:type="paragraph" w:customStyle="1" w:styleId="F18655FD86F64426BCA36B3AA78A4AC5">
    <w:name w:val="F18655FD86F64426BCA36B3AA78A4AC5"/>
    <w:rsid w:val="008F0515"/>
  </w:style>
  <w:style w:type="paragraph" w:customStyle="1" w:styleId="97089EBA3A0C4E5980E88C5448006F53">
    <w:name w:val="97089EBA3A0C4E5980E88C5448006F53"/>
    <w:rsid w:val="008F0515"/>
  </w:style>
  <w:style w:type="paragraph" w:customStyle="1" w:styleId="B34C918D6EA14B6896D520A184455621">
    <w:name w:val="B34C918D6EA14B6896D520A184455621"/>
    <w:rsid w:val="008F0515"/>
  </w:style>
  <w:style w:type="paragraph" w:customStyle="1" w:styleId="19EEB2AA98F547009F373F0E7F752897">
    <w:name w:val="19EEB2AA98F547009F373F0E7F752897"/>
    <w:rsid w:val="008F0515"/>
  </w:style>
  <w:style w:type="paragraph" w:customStyle="1" w:styleId="9300624ECBED45E0B94410CA3C537C9E">
    <w:name w:val="9300624ECBED45E0B94410CA3C537C9E"/>
    <w:rsid w:val="006068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B06F-4389-4F07-A6C2-87D43A265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5526</Words>
  <Characters>31501</Characters>
  <Application>Microsoft Office Word</Application>
  <DocSecurity>4</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Manager/>
  <Company>Joint Office of Gas Transporters</Company>
  <LinksUpToDate>false</LinksUpToDate>
  <CharactersWithSpaces>36954</CharactersWithSpaces>
  <SharedDoc>false</SharedDoc>
  <HyperlinkBase/>
  <HLinks>
    <vt:vector size="66" baseType="variant">
      <vt:variant>
        <vt:i4>8192116</vt:i4>
      </vt:variant>
      <vt:variant>
        <vt:i4>42</vt:i4>
      </vt:variant>
      <vt:variant>
        <vt:i4>0</vt:i4>
      </vt:variant>
      <vt:variant>
        <vt:i4>5</vt:i4>
      </vt:variant>
      <vt:variant>
        <vt:lpwstr>http://www.dcusa.co.uk/</vt:lpwstr>
      </vt:variant>
      <vt:variant>
        <vt:lpwstr/>
      </vt:variant>
      <vt:variant>
        <vt:i4>7798806</vt:i4>
      </vt:variant>
      <vt:variant>
        <vt:i4>39</vt:i4>
      </vt:variant>
      <vt:variant>
        <vt:i4>0</vt:i4>
      </vt:variant>
      <vt:variant>
        <vt:i4>5</vt:i4>
      </vt:variant>
      <vt:variant>
        <vt:lpwstr>mailto:Simon.Vicary@edfenergy.com</vt:lpwstr>
      </vt:variant>
      <vt:variant>
        <vt:lpwstr/>
      </vt:variant>
      <vt:variant>
        <vt:i4>2293841</vt:i4>
      </vt:variant>
      <vt:variant>
        <vt:i4>0</vt:i4>
      </vt:variant>
      <vt:variant>
        <vt:i4>0</vt:i4>
      </vt:variant>
      <vt:variant>
        <vt:i4>5</vt:i4>
      </vt:variant>
      <vt:variant>
        <vt:lpwstr>mailto:dcusa@electralink.co.uk</vt:lpwstr>
      </vt:variant>
      <vt:variant>
        <vt:lpwstr/>
      </vt:variant>
      <vt:variant>
        <vt:i4>3473444</vt:i4>
      </vt:variant>
      <vt:variant>
        <vt:i4>21</vt:i4>
      </vt:variant>
      <vt:variant>
        <vt:i4>0</vt:i4>
      </vt:variant>
      <vt:variant>
        <vt:i4>5</vt:i4>
      </vt:variant>
      <vt:variant>
        <vt:lpwstr>https://www.ofgem.gov.uk/publications/access-and-forward-looking-charges-significant-code-review-decision-and-direction</vt:lpwstr>
      </vt:variant>
      <vt:variant>
        <vt:lpwstr/>
      </vt:variant>
      <vt:variant>
        <vt:i4>1507328</vt:i4>
      </vt:variant>
      <vt:variant>
        <vt:i4>18</vt:i4>
      </vt:variant>
      <vt:variant>
        <vt:i4>0</vt:i4>
      </vt:variant>
      <vt:variant>
        <vt:i4>5</vt:i4>
      </vt:variant>
      <vt:variant>
        <vt:lpwstr>https://www.ofgem.gov.uk/sites/default/files/2022-01/Access SCR - Consultation on Updates to Minded to Positions and Response to June 2021 Consultation Feedback.pdf</vt:lpwstr>
      </vt:variant>
      <vt:variant>
        <vt:lpwstr/>
      </vt:variant>
      <vt:variant>
        <vt:i4>5767189</vt:i4>
      </vt:variant>
      <vt:variant>
        <vt:i4>15</vt:i4>
      </vt:variant>
      <vt:variant>
        <vt:i4>0</vt:i4>
      </vt:variant>
      <vt:variant>
        <vt:i4>5</vt:i4>
      </vt:variant>
      <vt:variant>
        <vt:lpwstr>https://www.dcusa.co.uk/change/charging-of-third-party-dno-works-to-transmission-connected-users/</vt:lpwstr>
      </vt:variant>
      <vt:variant>
        <vt:lpwstr/>
      </vt:variant>
      <vt:variant>
        <vt:i4>2687019</vt:i4>
      </vt:variant>
      <vt:variant>
        <vt:i4>12</vt:i4>
      </vt:variant>
      <vt:variant>
        <vt:i4>0</vt:i4>
      </vt:variant>
      <vt:variant>
        <vt:i4>5</vt:i4>
      </vt:variant>
      <vt:variant>
        <vt:lpwstr>https://www.legislation.gov.uk/uksi/2017/106/contents/made</vt:lpwstr>
      </vt:variant>
      <vt:variant>
        <vt:lpwstr/>
      </vt:variant>
      <vt:variant>
        <vt:i4>6619178</vt:i4>
      </vt:variant>
      <vt:variant>
        <vt:i4>9</vt:i4>
      </vt:variant>
      <vt:variant>
        <vt:i4>0</vt:i4>
      </vt:variant>
      <vt:variant>
        <vt:i4>5</vt:i4>
      </vt:variant>
      <vt:variant>
        <vt:lpwstr>https://www.legislation.gov.uk/uksi/2017/106/pdfs/uksiod_20170106_en.pdf</vt:lpwstr>
      </vt:variant>
      <vt:variant>
        <vt:lpwstr/>
      </vt:variant>
      <vt:variant>
        <vt:i4>4456560</vt:i4>
      </vt:variant>
      <vt:variant>
        <vt:i4>6</vt:i4>
      </vt:variant>
      <vt:variant>
        <vt:i4>0</vt:i4>
      </vt:variant>
      <vt:variant>
        <vt:i4>5</vt:i4>
      </vt:variant>
      <vt:variant>
        <vt:lpwstr>https://beis.fra1.qualtrics.com/jfe/form/SV_9F7LETYTrhmYipw</vt:lpwstr>
      </vt:variant>
      <vt:variant>
        <vt:lpwstr/>
      </vt:variant>
      <vt:variant>
        <vt:i4>2687101</vt:i4>
      </vt:variant>
      <vt:variant>
        <vt:i4>3</vt:i4>
      </vt:variant>
      <vt:variant>
        <vt:i4>0</vt:i4>
      </vt:variant>
      <vt:variant>
        <vt:i4>5</vt:i4>
      </vt:variant>
      <vt:variant>
        <vt:lpwstr>https://www.nationalgrideso.com/industry-information/codes/connection-and-use-system-code-cusc-old/modifications/cmp328-connections</vt:lpwstr>
      </vt:variant>
      <vt:variant>
        <vt:lpwstr/>
      </vt:variant>
      <vt:variant>
        <vt:i4>2687019</vt:i4>
      </vt:variant>
      <vt:variant>
        <vt:i4>0</vt:i4>
      </vt:variant>
      <vt:variant>
        <vt:i4>0</vt:i4>
      </vt:variant>
      <vt:variant>
        <vt:i4>5</vt:i4>
      </vt:variant>
      <vt:variant>
        <vt:lpwstr>https://www.legislation.gov.uk/uksi/2017/106/contents/made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Andy Green</cp:lastModifiedBy>
  <cp:revision>2</cp:revision>
  <cp:lastPrinted>2023-05-15T16:46:00Z</cp:lastPrinted>
  <dcterms:created xsi:type="dcterms:W3CDTF">2024-05-31T10:28:00Z</dcterms:created>
  <dcterms:modified xsi:type="dcterms:W3CDTF">2024-05-31T10:28:00Z</dcterms:modified>
  <cp:category/>
</cp:coreProperties>
</file>